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c2235de786b48a285476e43f27cbdd7"/>
        <w:lock w:val="sdtLocked"/>
        <w:richText/>
      </w:sdtPr>
      <w:sdtContent>
        <w:p>
          <w:pPr>
            <w:tabs>
              <w:tab w:val="center" w:pos="4153"/>
              <w:tab w:val="right" w:pos="8306"/>
            </w:tabs>
            <w:spacing w:line="259" w:lineRule="auto"/>
            <w:jc w:val="center"/>
            <w:rPr>
              <w:kern w:val="2"/>
              <w:sz w:val="20"/>
            </w:rPr>
          </w:pPr>
          <w:r>
            <w:rPr>
              <w:kern w:val="2"/>
              <w:sz w:val="22"/>
              <w:szCs w:val="22"/>
              <w:lang w:val="en-US"/>
            </w:rPr>
            <w:drawing>
              <wp:inline distT="0" distB="0" distL="0" distR="0" wp14:anchorId="337EBB32" wp14:editId="1FE040A3">
                <wp:extent cx="624840" cy="694785"/>
                <wp:effectExtent l="0" t="0" r="381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 r:link="rId10" cstate="print">
                          <a:extLst>
                            <a:ext uri="{28A0092B-C50C-407E-A947-70E740481C1C}">
                              <a14:useLocalDpi xmlns:a14="http://schemas.microsoft.com/office/drawing/2010/main" val="0"/>
                            </a:ext>
                          </a:extLst>
                        </a:blip>
                        <a:srcRect/>
                        <a:stretch>
                          <a:fillRect/>
                        </a:stretch>
                      </pic:blipFill>
                      <pic:spPr bwMode="auto">
                        <a:xfrm>
                          <a:off x="0" y="0"/>
                          <a:ext cx="644570" cy="716724"/>
                        </a:xfrm>
                        <a:prstGeom prst="rect">
                          <a:avLst/>
                        </a:prstGeom>
                        <a:noFill/>
                        <a:ln>
                          <a:noFill/>
                        </a:ln>
                      </pic:spPr>
                    </pic:pic>
                  </a:graphicData>
                </a:graphic>
              </wp:inline>
            </w:drawing>
          </w:r>
        </w:p>
        <w:p>
          <w:pPr>
            <w:tabs>
              <w:tab w:val="center" w:pos="4153"/>
              <w:tab w:val="right" w:pos="8306"/>
            </w:tabs>
            <w:spacing w:line="259" w:lineRule="auto"/>
            <w:jc w:val="center"/>
            <w:rPr>
              <w:kern w:val="2"/>
              <w:sz w:val="20"/>
            </w:rPr>
          </w:pPr>
        </w:p>
        <w:p>
          <w:pPr>
            <w:tabs>
              <w:tab w:val="center" w:pos="4153"/>
              <w:tab w:val="right" w:pos="8306"/>
            </w:tabs>
            <w:spacing w:line="259" w:lineRule="auto"/>
            <w:jc w:val="center"/>
            <w:rPr>
              <w:b/>
              <w:bCs/>
              <w:color w:val="000000"/>
              <w:kern w:val="2"/>
              <w:sz w:val="28"/>
              <w:szCs w:val="28"/>
            </w:rPr>
          </w:pPr>
          <w:r>
            <w:rPr>
              <w:b/>
              <w:bCs/>
              <w:color w:val="000000"/>
              <w:kern w:val="2"/>
              <w:sz w:val="28"/>
              <w:szCs w:val="28"/>
            </w:rPr>
            <w:t>LIETUVOS RESPUBLIKOS SVEIKATOS APSAUGOS MINISTERIJA</w:t>
          </w:r>
        </w:p>
        <w:p>
          <w:pPr>
            <w:tabs>
              <w:tab w:val="center" w:pos="4153"/>
              <w:tab w:val="right" w:pos="8306"/>
            </w:tabs>
            <w:spacing w:line="259" w:lineRule="auto"/>
            <w:jc w:val="center"/>
            <w:rPr>
              <w:color w:val="000000"/>
              <w:kern w:val="2"/>
              <w:szCs w:val="24"/>
            </w:rPr>
          </w:pPr>
        </w:p>
        <w:p>
          <w:pPr>
            <w:spacing w:line="259" w:lineRule="auto"/>
            <w:rPr>
              <w:rFonts w:eastAsia="Calibri"/>
              <w:color w:val="2C3335"/>
              <w:szCs w:val="24"/>
            </w:rPr>
          </w:pPr>
        </w:p>
        <w:tbl>
          <w:tblPr>
            <w:tblW w:w="9639" w:type="dxa"/>
            <w:jc w:val="center"/>
            <w:tblLayout w:type="fixed"/>
            <w:tblCellMar>
              <w:left w:w="0" w:type="dxa"/>
              <w:right w:w="0" w:type="dxa"/>
            </w:tblCellMar>
            <w:tblLook w:val="0000" w:firstRow="0" w:lastRow="0" w:firstColumn="0" w:lastColumn="0" w:noHBand="0" w:noVBand="0"/>
          </w:tblPr>
          <w:tblGrid>
            <w:gridCol w:w="5538"/>
            <w:gridCol w:w="1425"/>
            <w:gridCol w:w="426"/>
            <w:gridCol w:w="2250"/>
          </w:tblGrid>
          <w:tr>
            <w:trPr>
              <w:cantSplit/>
              <w:trHeight w:val="270"/>
              <w:jc w:val="center"/>
            </w:trPr>
            <w:tc>
              <w:tcPr>
                <w:tcW w:w="5529" w:type="dxa"/>
                <w:vMerge w:val="restart"/>
              </w:tcPr>
              <w:p>
                <w:pPr>
                  <w:ind w:right="708"/>
                  <w:rPr>
                    <w:rFonts w:eastAsia="Calibri"/>
                    <w:color w:val="000000"/>
                    <w:szCs w:val="24"/>
                  </w:rPr>
                </w:pPr>
                <w:r>
                  <w:rPr>
                    <w:szCs w:val="24"/>
                  </w:rPr>
                  <w:t>Pagal adresatų sąrašą</w:t>
                </w:r>
              </w:p>
              <w:p>
                <w:pPr>
                  <w:ind w:right="708"/>
                  <w:rPr>
                    <w:rFonts w:eastAsia="Calibri"/>
                    <w:color w:val="000000"/>
                    <w:szCs w:val="24"/>
                  </w:rPr>
                </w:pPr>
              </w:p>
            </w:tc>
            <w:tc>
              <w:tcPr>
                <w:tcW w:w="1422" w:type="dxa"/>
              </w:tcPr>
              <w:p>
                <w:pPr>
                  <w:rPr>
                    <w:rFonts w:eastAsia="Calibri"/>
                    <w:color w:val="000000"/>
                    <w:szCs w:val="24"/>
                  </w:rPr>
                </w:pPr>
                <w:r>
                  <w:rPr>
                    <w:rFonts w:eastAsia="Calibri"/>
                    <w:color w:val="000000"/>
                    <w:szCs w:val="24"/>
                  </w:rPr>
                  <w:t xml:space="preserve">2026-0  -</w:t>
                </w:r>
              </w:p>
            </w:tc>
            <w:tc>
              <w:tcPr>
                <w:tcW w:w="425" w:type="dxa"/>
              </w:tcPr>
              <w:p>
                <w:pPr>
                  <w:rPr>
                    <w:rFonts w:eastAsia="Calibri"/>
                    <w:color w:val="000000"/>
                    <w:szCs w:val="24"/>
                  </w:rPr>
                </w:pPr>
                <w:r>
                  <w:rPr>
                    <w:rFonts w:eastAsia="Calibri"/>
                    <w:color w:val="000000"/>
                    <w:szCs w:val="24"/>
                  </w:rPr>
                  <w:t>Nr.</w:t>
                </w:r>
              </w:p>
            </w:tc>
            <w:tc>
              <w:tcPr>
                <w:tcW w:w="2246" w:type="dxa"/>
              </w:tcPr>
              <w:p>
                <w:pPr>
                  <w:rPr>
                    <w:rFonts w:eastAsia="Calibri"/>
                    <w:color w:val="000000"/>
                    <w:szCs w:val="24"/>
                  </w:rPr>
                </w:pPr>
                <w:r>
                  <w:rPr>
                    <w:rFonts w:eastAsia="Calibri"/>
                    <w:color w:val="000000"/>
                    <w:szCs w:val="24"/>
                  </w:rPr>
                  <w:t>(</w:t>
                </w:r>
                <w:r>
                  <w:rPr>
                    <w:szCs w:val="24"/>
                  </w:rPr>
                  <w:t>1.1.9E-422</w:t>
                </w:r>
                <w:r>
                  <w:rPr>
                    <w:rFonts w:eastAsia="Calibri"/>
                    <w:color w:val="000000"/>
                    <w:szCs w:val="24"/>
                  </w:rPr>
                  <w:t>) 10-</w:t>
                </w:r>
              </w:p>
            </w:tc>
          </w:tr>
          <w:tr>
            <w:trPr>
              <w:cantSplit/>
              <w:trHeight w:val="270"/>
              <w:jc w:val="center"/>
            </w:trPr>
            <w:tc>
              <w:tcPr>
                <w:tcW w:w="5529" w:type="dxa"/>
                <w:vMerge/>
              </w:tcPr>
              <w:p>
                <w:pPr>
                  <w:ind w:right="708"/>
                  <w:rPr>
                    <w:rFonts w:eastAsia="Calibri"/>
                    <w:color w:val="000000"/>
                    <w:szCs w:val="24"/>
                  </w:rPr>
                </w:pPr>
              </w:p>
            </w:tc>
            <w:tc>
              <w:tcPr>
                <w:tcW w:w="1422" w:type="dxa"/>
              </w:tcPr>
              <w:p>
                <w:pPr>
                  <w:ind w:right="-142"/>
                  <w:rPr>
                    <w:rFonts w:eastAsia="Calibri"/>
                    <w:color w:val="000000"/>
                    <w:szCs w:val="24"/>
                  </w:rPr>
                </w:pPr>
              </w:p>
            </w:tc>
            <w:tc>
              <w:tcPr>
                <w:tcW w:w="425" w:type="dxa"/>
              </w:tcPr>
              <w:p>
                <w:pPr>
                  <w:rPr>
                    <w:rFonts w:eastAsia="Calibri"/>
                    <w:color w:val="000000"/>
                    <w:szCs w:val="24"/>
                  </w:rPr>
                </w:pPr>
              </w:p>
            </w:tc>
            <w:tc>
              <w:tcPr>
                <w:tcW w:w="2246" w:type="dxa"/>
              </w:tcPr>
              <w:p>
                <w:pPr>
                  <w:rPr>
                    <w:rFonts w:eastAsia="Calibri"/>
                    <w:color w:val="000000"/>
                    <w:szCs w:val="24"/>
                  </w:rPr>
                </w:pPr>
              </w:p>
            </w:tc>
          </w:tr>
        </w:tbl>
        <w:p>
          <w:pPr>
            <w:jc w:val="both"/>
            <w:rPr>
              <w:rFonts w:eastAsia="Calibri"/>
              <w:color w:val="2C3335"/>
              <w:szCs w:val="24"/>
            </w:rPr>
          </w:pPr>
        </w:p>
        <w:sdt>
          <w:sdtPr>
            <w:alias w:val="skirsnis"/>
            <w:tag w:val="part_2c4e7220b604475bb984c3b7fd7b897c"/>
            <w:lock w:val="sdtLocked"/>
            <w:richText/>
          </w:sdtPr>
          <w:sdtContent>
            <w:p>
              <w:pPr>
                <w:keepLines/>
                <w:widowControl w:val="0"/>
                <w:suppressAutoHyphens/>
                <w:spacing w:line="259" w:lineRule="auto"/>
                <w:jc w:val="both"/>
                <w:rPr>
                  <w:b/>
                  <w:bCs/>
                  <w:caps/>
                  <w:color w:val="000000"/>
                  <w:kern w:val="2"/>
                  <w:szCs w:val="24"/>
                </w:rPr>
              </w:pPr>
              <w:sdt>
                <w:sdtPr>
                  <w:alias w:val="Pavadinimas"/>
                  <w:tag w:val="title_2c4e7220b604475bb984c3b7fd7b897c"/>
                  <w:lock w:val="sdtLocked"/>
                  <w:richText/>
                </w:sdtPr>
                <w:sdtContent>
                  <w:r>
                    <w:rPr>
                      <w:rFonts w:eastAsia="Calibri"/>
                      <w:b/>
                      <w:bCs/>
                      <w:szCs w:val="24"/>
                    </w:rPr>
                    <w:t xml:space="preserve">DĖL </w:t>
                  </w:r>
                  <w:r>
                    <w:rPr>
                      <w:b/>
                      <w:bCs/>
                      <w:color w:val="000000"/>
                      <w:kern w:val="2"/>
                      <w:szCs w:val="24"/>
                    </w:rPr>
                    <w:t xml:space="preserve">LIETUVOS RESPUBLIKOS SVEIKATOS APSAUGOS MINISTRO 2011 M. LAPKRIČIO 2 D. ĮSAKYMO NR. V-941 „DĖL </w:t>
                  </w:r>
                  <w:r>
                    <w:rPr>
                      <w:b/>
                      <w:bCs/>
                      <w:caps/>
                      <w:color w:val="000000"/>
                      <w:kern w:val="2"/>
                      <w:szCs w:val="24"/>
                    </w:rPr>
                    <w:t>PRIEŠINĖS LIAUKOS (PROSTATOS) PIKTYBINIO NAVIKO AMBULATORINIO GYDYMO KOMPENSUOJAMAISIAIS VAISTAIS TVARKOS APRAŠO PATVIRTINIMO“ PAKEITIMO“ PROJEKTO</w:t>
                  </w:r>
                </w:sdtContent>
              </w:sdt>
            </w:p>
            <w:p>
              <w:pPr>
                <w:rPr>
                  <w:sz w:val="14"/>
                  <w:szCs w:val="14"/>
                </w:rPr>
              </w:pPr>
            </w:p>
            <w:p>
              <w:pPr>
                <w:jc w:val="both"/>
                <w:rPr>
                  <w:rFonts w:eastAsia="Calibri"/>
                  <w:szCs w:val="24"/>
                </w:rPr>
              </w:pPr>
            </w:p>
            <w:p>
              <w:pPr>
                <w:ind w:firstLine="709"/>
                <w:jc w:val="both"/>
                <w:rPr>
                  <w:rFonts w:eastAsia="Calibri"/>
                  <w:szCs w:val="24"/>
                </w:rPr>
              </w:pPr>
              <w:r>
                <w:rPr>
                  <w:rFonts w:eastAsia="Calibri"/>
                  <w:szCs w:val="24"/>
                </w:rPr>
                <w:t>Lietuvos Respublikos sveikatos apsaugos ministerija pakartotinai teikia derinti Lietuvos Respublikos sveikatos apsaugos ministro įsakymo „Dėl L</w:t>
              </w:r>
              <w:r>
                <w:rPr>
                  <w:color w:val="000000"/>
                  <w:kern w:val="2"/>
                  <w:szCs w:val="24"/>
                </w:rPr>
                <w:t>ietuvos Respublikos sveikatos apsaugos ministro 2011 m. lapkričio 2 d. įsakymo Nr. V-941 „Dėl Priešinės liaukos (prostatos) piktybinio naviko ambulatorinio gydymo kompensuojamaisiais vaistais tvarkos aprašo patvirtinimo“ pakeitimo“</w:t>
              </w:r>
              <w:r>
                <w:rPr>
                  <w:b/>
                  <w:bCs/>
                  <w:color w:val="000000"/>
                  <w:kern w:val="2"/>
                  <w:szCs w:val="24"/>
                </w:rPr>
                <w:t xml:space="preserve"> </w:t>
              </w:r>
              <w:r>
                <w:rPr>
                  <w:rFonts w:eastAsia="Calibri"/>
                  <w:szCs w:val="24"/>
                </w:rPr>
                <w:t xml:space="preserve"> projektą (toliau – Įsakymo projektas).</w:t>
              </w:r>
            </w:p>
            <w:p>
              <w:pPr>
                <w:widowControl w:val="0"/>
                <w:suppressAutoHyphens/>
                <w:ind w:firstLine="709"/>
                <w:jc w:val="both"/>
                <w:rPr>
                  <w:color w:val="000000"/>
                  <w:kern w:val="2"/>
                  <w:szCs w:val="24"/>
                </w:rPr>
              </w:pPr>
              <w:r>
                <w:rPr>
                  <w:rFonts w:eastAsia="Calibri"/>
                  <w:szCs w:val="24"/>
                </w:rPr>
                <w:t xml:space="preserve">Įsakymo projektas nustato </w:t>
              </w:r>
              <w:r>
                <w:rPr>
                  <w:color w:val="000000"/>
                  <w:kern w:val="2"/>
                  <w:szCs w:val="24"/>
                </w:rPr>
                <w:t>priešinės liaukos piktybinio naviko, kurio kodas pagal Tarptautinės statistinės ligų ir sveikatos sutrikimų klasifikacijos dešimtąjį pataisytą ir papildytą leidimą „Sisteminis ligų sąrašas“ (Australijos modifikacija, TLK-10-AM), į</w:t>
              </w:r>
              <w:r>
                <w:rPr>
                  <w:color w:val="000000"/>
                  <w:kern w:val="2"/>
                  <w:szCs w:val="24"/>
                  <w:shd w:val="clear" w:color="auto" w:fill="FFFFFF"/>
                </w:rPr>
                <w:t>diegtą Lietuvos Respublikos sveikatos apsaugos ministro 2011 m. vasario 23 d. įsakymu Nr. V-164 „Dėl Tarptautinės statistinės ligų ir sveikatos sutrikimų klasifikacijos dešimtojo pataisyto ir papildyto leidimo „Sisteminis ligų sąrašas“ (Australijos modifikacija, TLK-10-AM) įdiegimo“,</w:t>
              </w:r>
              <w:r>
                <w:rPr>
                  <w:color w:val="000000"/>
                  <w:kern w:val="2"/>
                  <w:szCs w:val="24"/>
                </w:rPr>
                <w:t xml:space="preserve"> yra C61 (toliau – priešinės liaukos piktybinis navikas) diagnozavimo, ambulatorinio gydymo Privalomojo sveikatos draudimo fondo (toliau – PSDF) biudžeto lėšomis kompensuojamais vaistais ir gydymo šiais vaistais efektyvumo vertinimo tvarką. </w:t>
              </w:r>
            </w:p>
            <w:p>
              <w:pPr>
                <w:widowControl w:val="0"/>
                <w:suppressAutoHyphens/>
                <w:ind w:firstLine="709"/>
                <w:jc w:val="both"/>
                <w:rPr>
                  <w:rFonts w:eastAsia="Calibri"/>
                  <w:szCs w:val="24"/>
                </w:rPr>
              </w:pPr>
              <w:r>
                <w:rPr>
                  <w:rFonts w:eastAsia="Calibri"/>
                  <w:szCs w:val="24"/>
                </w:rPr>
                <w:t xml:space="preserve">Įsakymo projekte įtraukti PSDF biudžeto lėšomis kompensuojami vaistai, nurodyti Ligų ir kompensuojamųjų vaistų joms gydyti sąraše (A sąrašas), patvirtintame Lietuvos Respublikos sveikatos apsaugos ministro 2000 m. sausio 28 d. įsakymu Nr. 49 „Dėl Kompensuojamųjų vaistų sąrašų patvirtinimo“, patikslinta priešinės liaukos piktybinio naviko diferenciacijos laipsnio, paciento rizikos grupės nustatymo, ligos diagnozavimo, </w:t>
              </w:r>
              <w:r>
                <w:rPr>
                  <w:color w:val="000000"/>
                  <w:kern w:val="2"/>
                  <w:szCs w:val="24"/>
                </w:rPr>
                <w:t xml:space="preserve">PSDF biudžeto lėšomis kompensuojamų vaistų skyrimo </w:t>
              </w:r>
              <w:r>
                <w:rPr>
                  <w:rFonts w:eastAsia="Calibri"/>
                  <w:szCs w:val="24"/>
                </w:rPr>
                <w:t>tvarka, nustatyti gydymo šiais</w:t>
              </w:r>
              <w:r>
                <w:rPr>
                  <w:color w:val="000000"/>
                  <w:kern w:val="2"/>
                  <w:szCs w:val="24"/>
                </w:rPr>
                <w:t xml:space="preserve"> vaistais efektyvumo vertinimo kriterijai, reglamentuota galimybė šeimos gydytojui, </w:t>
              </w:r>
              <w:r>
                <w:rPr>
                  <w:kern w:val="2"/>
                  <w:szCs w:val="24"/>
                  <w:lang w:eastAsia="lt-LT"/>
                </w:rPr>
                <w:t>e</w:t>
              </w:r>
              <w:r>
                <w:rPr>
                  <w:color w:val="000000"/>
                  <w:kern w:val="2"/>
                  <w:szCs w:val="24"/>
                </w:rPr>
                <w:t xml:space="preserve">sant poreikiui pasikonsultuoti dėl paciento sveikatos būklės ir (ar) gydymo, konsultuotis su gydytoju specialistu nuotoliniu būdu, o jeigu </w:t>
              </w:r>
              <w:r>
                <w:rPr>
                  <w:kern w:val="2"/>
                  <w:szCs w:val="24"/>
                </w:rPr>
                <w:t xml:space="preserve">nuotolinės šeimos gydytojo ir gydytojo specialisto konsultacijos metu priimamas sprendimas, kad yra kontaktinės paciento ir gydytojo specialisto konsultacijos poreikis, </w:t>
              </w:r>
              <w:r>
                <w:rPr>
                  <w:color w:val="000000"/>
                  <w:kern w:val="2"/>
                  <w:szCs w:val="24"/>
                </w:rPr>
                <w:t>organizuojamas paciento užregistravimas gydytojo specialisto konsultacijai gauti.</w:t>
              </w:r>
            </w:p>
            <w:p>
              <w:pPr>
                <w:ind w:firstLine="709"/>
                <w:jc w:val="both"/>
                <w:rPr>
                  <w:rFonts w:eastAsia="Calibri"/>
                  <w:szCs w:val="24"/>
                </w:rPr>
              </w:pPr>
              <w:r>
                <w:rPr>
                  <w:rFonts w:eastAsia="Calibri"/>
                  <w:szCs w:val="24"/>
                </w:rPr>
                <w:t>Įsakymo projektas neperkelia ir neįgyvendina Europos Sąjungos teisės aktų nuostatų. Įsakymo projektas nenotifikuotinas Europos Komisijai. Įsakymo projektas skelbiamas Teisės aktų informacinėje sistemoje (toliau – TAIS).</w:t>
              </w:r>
            </w:p>
            <w:p>
              <w:pPr>
                <w:ind w:firstLine="709"/>
                <w:jc w:val="both"/>
                <w:rPr>
                  <w:rFonts w:eastAsia="Calibri"/>
                  <w:szCs w:val="24"/>
                </w:rPr>
              </w:pPr>
              <w:r>
                <w:rPr>
                  <w:rFonts w:eastAsia="Calibri"/>
                  <w:szCs w:val="24"/>
                </w:rPr>
                <w:t xml:space="preserve">Įsakymo projektą parengė darbo grupė, sudaryta iš onkologijos srities gydytojų specialistų, Lietuvos Respublikos sveikatos apsaugos ministerijos, Valstybinės ligonių kasos prie Sveikatos apsaugos ministerijos, Pagalbos onkologiniams pacientams asociacijos atstovų. Įsakymo projekto tiesioginė rengėja – Lietuvos Respublikos sveikatos apsaugos ministerijos Asmens sveikatos departamento Specializuotos sveikatos priežiūros skyriaus vedėja Inga Zelbienė, el. p. </w:t>
              </w:r>
              <w:r>
                <w:rPr>
                  <w:rFonts w:eastAsia="Calibri"/>
                  <w:color w:val="467886"/>
                  <w:szCs w:val="24"/>
                  <w:u w:val="single"/>
                </w:rPr>
                <w:t>inga.zelbiene@sam.lt</w:t>
              </w:r>
              <w:r>
                <w:rPr>
                  <w:rFonts w:eastAsia="Calibri"/>
                  <w:szCs w:val="24"/>
                </w:rPr>
                <w:t>. Įsakymo projektas derintas su suinteresuotomis institucijomis (TAIS, Nr. 25-</w:t>
              </w:r>
              <w:r>
                <w:rPr>
                  <w:rFonts w:eastAsia="Calibri"/>
                  <w:szCs w:val="24"/>
                  <w:lang w:val="pt-BR"/>
                </w:rPr>
                <w:t>16030, 26-594</w:t>
              </w:r>
              <w:r>
                <w:rPr>
                  <w:rFonts w:eastAsia="Calibri"/>
                  <w:szCs w:val="24"/>
                </w:rPr>
                <w:t>) ir pagal gautas pastabas patobulintas.</w:t>
              </w:r>
            </w:p>
            <w:p>
              <w:pPr>
                <w:ind w:firstLine="567"/>
                <w:jc w:val="both"/>
                <w:rPr>
                  <w:rFonts w:eastAsia="Arial Unicode MS"/>
                  <w:kern w:val="2"/>
                  <w:szCs w:val="24"/>
                  <w:bdr w:val="nil"/>
                </w:rPr>
              </w:pPr>
              <w:r>
                <w:rPr>
                  <w:rFonts w:eastAsia="Calibri"/>
                  <w:kern w:val="2"/>
                  <w:szCs w:val="24"/>
                </w:rPr>
                <w:t>N</w:t>
              </w:r>
              <w:r>
                <w:rPr>
                  <w:rFonts w:eastAsia="Arial Unicode MS"/>
                  <w:kern w:val="2"/>
                  <w:szCs w:val="24"/>
                  <w:bdr w:val="nil"/>
                </w:rPr>
                <w:t xml:space="preserve">umatomo teisinio reguliavimo poveikio vertinimas neatliekamas, nes teisės aktu nenumatoma reglamentuoti iki tol nereglamentuotų santykių ar iš esmės keisti teisinį reguliavimą, kaip nustatyta Lietuvos Respublikos teisėkūros pagrindų įstatymo 15 str. 1 d. </w:t>
              </w:r>
            </w:p>
            <w:p>
              <w:pPr>
                <w:ind w:firstLine="709"/>
                <w:jc w:val="both"/>
                <w:rPr>
                  <w:rFonts w:eastAsia="Calibri"/>
                  <w:szCs w:val="24"/>
                </w:rPr>
              </w:pPr>
              <w:r>
                <w:rPr>
                  <w:rFonts w:eastAsia="Calibri"/>
                  <w:szCs w:val="24"/>
                </w:rPr>
                <w:t>Prašome pateikti pasiūlymus Įsakymo projektui tobulinti per 10 darbo dienų nuo Įsakymo projekto paskelbimo TAIS. Negavus pasiūlymų iki nurodytos datos, laikysime, kad Įsakymo projektui pritariate.</w:t>
              </w:r>
            </w:p>
            <w:p>
              <w:pPr>
                <w:ind w:firstLine="709"/>
                <w:jc w:val="both"/>
                <w:rPr>
                  <w:rFonts w:eastAsia="Calibri"/>
                  <w:szCs w:val="24"/>
                </w:rPr>
              </w:pPr>
              <w:r>
                <w:rPr>
                  <w:rFonts w:eastAsia="Calibri"/>
                  <w:szCs w:val="24"/>
                </w:rPr>
                <w:t>PRIDEDAMA. Įsakymo projektas, 12 lapų.</w:t>
              </w:r>
            </w:p>
            <w:p>
              <w:pPr>
                <w:tabs>
                  <w:tab w:val="right" w:pos="9498"/>
                </w:tabs>
                <w:rPr>
                  <w:rFonts w:eastAsia="Calibri"/>
                  <w:szCs w:val="24"/>
                </w:rPr>
              </w:pPr>
            </w:p>
            <w:p>
              <w:pPr>
                <w:tabs>
                  <w:tab w:val="right" w:pos="9498"/>
                </w:tabs>
                <w:rPr>
                  <w:rFonts w:eastAsia="Calibri"/>
                  <w:szCs w:val="24"/>
                </w:rPr>
              </w:pPr>
            </w:p>
            <w:p>
              <w:pPr>
                <w:tabs>
                  <w:tab w:val="right" w:pos="9638"/>
                </w:tabs>
                <w:rPr>
                  <w:rFonts w:eastAsia="Calibri"/>
                  <w:szCs w:val="24"/>
                </w:rPr>
              </w:pPr>
              <w:r>
                <w:rPr>
                  <w:rFonts w:eastAsia="Calibri"/>
                  <w:szCs w:val="24"/>
                </w:rPr>
                <w:t xml:space="preserve">Sveikatos apsaugos viceministrė </w:t>
                <w:tab/>
                <w:t>Laimutė Vaidelienė</w:t>
              </w:r>
            </w:p>
            <w:p>
              <w:pPr>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rFonts w:eastAsia="Calibri"/>
                  <w:szCs w:val="24"/>
                </w:rPr>
              </w:pPr>
            </w:p>
            <w:p>
              <w:pPr>
                <w:spacing w:line="259" w:lineRule="auto"/>
                <w:rPr>
                  <w:kern w:val="2"/>
                  <w:sz w:val="22"/>
                  <w:szCs w:val="22"/>
                </w:rPr>
              </w:pPr>
              <w:r>
                <w:rPr>
                  <w:rFonts w:eastAsia="Calibri"/>
                  <w:szCs w:val="24"/>
                </w:rPr>
                <w:t>Inga Zelbienė, tel. +370 5 2661478, el. p. inga.zelbiene</w:t>
              </w:r>
              <w:r>
                <w:rPr>
                  <w:rFonts w:eastAsia="Calibri"/>
                  <w:szCs w:val="24"/>
                </w:rPr>
                <w:t>@sam.lt</w:t>
              </w:r>
            </w:p>
            <w:p>
              <w:pPr>
                <w:spacing w:line="259" w:lineRule="auto"/>
                <w:rPr>
                  <w:kern w:val="2"/>
                  <w:sz w:val="22"/>
                  <w:szCs w:val="22"/>
                </w:rPr>
              </w:pPr>
            </w:p>
          </w:sdtContent>
        </w:sdt>
        <w:sdt>
          <w:sdtPr>
            <w:alias w:val="skirsnis"/>
            <w:tag w:val="part_51e1beb7f28b4abaa947f8a6e82a7183"/>
            <w:lock w:val="sdtLocked"/>
            <w:richText/>
          </w:sdtPr>
          <w:sdtContent>
            <w:p>
              <w:pPr>
                <w:tabs>
                  <w:tab w:val="right" w:pos="9638"/>
                </w:tabs>
                <w:spacing w:line="259" w:lineRule="auto"/>
                <w:jc w:val="center"/>
                <w:rPr>
                  <w:b/>
                  <w:bCs/>
                  <w:kern w:val="2"/>
                  <w:szCs w:val="24"/>
                  <w:lang w:eastAsia="lt-LT"/>
                </w:rPr>
              </w:pPr>
              <w:sdt>
                <w:sdtPr>
                  <w:alias w:val="Pavadinimas"/>
                  <w:tag w:val="title_51e1beb7f28b4abaa947f8a6e82a7183"/>
                  <w:lock w:val="sdtLocked"/>
                  <w:richText/>
                </w:sdtPr>
                <w:sdtContent>
                  <w:r>
                    <w:rPr>
                      <w:b/>
                      <w:bCs/>
                      <w:kern w:val="2"/>
                      <w:szCs w:val="24"/>
                      <w:lang w:eastAsia="lt-LT"/>
                    </w:rPr>
                    <w:t xml:space="preserve">LR SVEIKATOS APSAUGOS MINISTERIJOS 2026 M.          RAŠTO NR.</w:t>
                  </w:r>
                </w:sdtContent>
              </w:sdt>
            </w:p>
            <w:p>
              <w:pPr>
                <w:rPr>
                  <w:sz w:val="14"/>
                  <w:szCs w:val="14"/>
                </w:rPr>
              </w:pPr>
            </w:p>
          </w:sdtContent>
        </w:sdt>
        <w:sdt>
          <w:sdtPr>
            <w:alias w:val="skirsnis"/>
            <w:tag w:val="part_adb0c04660094a45b8ddfedd76d1e58e"/>
            <w:lock w:val="sdtLocked"/>
            <w:richText/>
          </w:sdtPr>
          <w:sdtContent>
            <w:p>
              <w:pPr>
                <w:tabs>
                  <w:tab w:val="right" w:pos="9638"/>
                </w:tabs>
                <w:spacing w:line="259" w:lineRule="auto"/>
                <w:jc w:val="center"/>
                <w:rPr>
                  <w:kern w:val="2"/>
                  <w:szCs w:val="24"/>
                  <w:lang w:eastAsia="lt-LT"/>
                </w:rPr>
              </w:pPr>
              <w:sdt>
                <w:sdtPr>
                  <w:alias w:val="Pavadinimas"/>
                  <w:tag w:val="title_adb0c04660094a45b8ddfedd76d1e58e"/>
                  <w:lock w:val="sdtLocked"/>
                  <w:richText/>
                </w:sdtPr>
                <w:sdtContent>
                  <w:r>
                    <w:rPr>
                      <w:b/>
                      <w:bCs/>
                      <w:kern w:val="2"/>
                      <w:szCs w:val="24"/>
                      <w:lang w:eastAsia="lt-LT"/>
                    </w:rPr>
                    <w:t>ADRESATŲ SĄRAŠAS</w:t>
                  </w:r>
                </w:sdtContent>
              </w:sdt>
            </w:p>
            <w:p>
              <w:pPr>
                <w:rPr>
                  <w:sz w:val="14"/>
                  <w:szCs w:val="14"/>
                </w:rPr>
              </w:pPr>
            </w:p>
            <w:p>
              <w:pPr>
                <w:tabs>
                  <w:tab w:val="right" w:pos="9638"/>
                </w:tabs>
                <w:spacing w:line="259" w:lineRule="auto"/>
                <w:rPr>
                  <w:kern w:val="2"/>
                  <w:szCs w:val="24"/>
                  <w:lang w:eastAsia="lt-LT"/>
                </w:rPr>
              </w:pPr>
            </w:p>
            <w:p>
              <w:pPr>
                <w:rPr>
                  <w:sz w:val="14"/>
                  <w:szCs w:val="14"/>
                </w:rPr>
              </w:pPr>
            </w:p>
            <w:p>
              <w:pPr>
                <w:spacing w:line="259" w:lineRule="auto"/>
                <w:rPr>
                  <w:spacing w:val="-6"/>
                  <w:kern w:val="2"/>
                  <w:szCs w:val="24"/>
                </w:rPr>
              </w:pPr>
              <w:r>
                <w:rPr>
                  <w:spacing w:val="-6"/>
                  <w:kern w:val="2"/>
                  <w:szCs w:val="24"/>
                </w:rPr>
                <w:t>VšĮ Vilniaus universiteto ligoninė Santaros klinikos;</w:t>
              </w:r>
            </w:p>
            <w:p>
              <w:pPr>
                <w:rPr>
                  <w:sz w:val="14"/>
                  <w:szCs w:val="14"/>
                </w:rPr>
              </w:pPr>
            </w:p>
            <w:p>
              <w:pPr>
                <w:spacing w:line="259" w:lineRule="auto"/>
                <w:rPr>
                  <w:rFonts w:eastAsia="Calibri"/>
                  <w:kern w:val="2"/>
                  <w:szCs w:val="24"/>
                </w:rPr>
              </w:pPr>
              <w:r>
                <w:rPr>
                  <w:rFonts w:eastAsia="Calibri"/>
                  <w:kern w:val="2"/>
                  <w:szCs w:val="24"/>
                </w:rPr>
                <w:t>VšĮ Vilniaus universiteto ligoninės Santaros klinikų filialas Nacionalinis vėžio centras;</w:t>
              </w:r>
            </w:p>
            <w:p>
              <w:pPr>
                <w:rPr>
                  <w:sz w:val="14"/>
                  <w:szCs w:val="14"/>
                </w:rPr>
              </w:pPr>
            </w:p>
            <w:p>
              <w:pPr>
                <w:spacing w:line="259" w:lineRule="auto"/>
                <w:rPr>
                  <w:spacing w:val="-6"/>
                  <w:kern w:val="2"/>
                  <w:szCs w:val="24"/>
                </w:rPr>
              </w:pPr>
              <w:r>
                <w:rPr>
                  <w:spacing w:val="-6"/>
                  <w:kern w:val="2"/>
                  <w:szCs w:val="24"/>
                </w:rPr>
                <w:t>Lietuvos sveikatos mokslų universiteto ligoninė Kauno klinikos;</w:t>
              </w:r>
            </w:p>
            <w:p>
              <w:pPr>
                <w:rPr>
                  <w:sz w:val="14"/>
                  <w:szCs w:val="14"/>
                </w:rPr>
              </w:pPr>
            </w:p>
            <w:p>
              <w:pPr>
                <w:tabs>
                  <w:tab w:val="left" w:pos="567"/>
                  <w:tab w:val="right" w:pos="9638"/>
                </w:tabs>
                <w:spacing w:line="259" w:lineRule="auto"/>
                <w:jc w:val="both"/>
                <w:rPr>
                  <w:kern w:val="2"/>
                  <w:szCs w:val="24"/>
                </w:rPr>
              </w:pPr>
              <w:r>
                <w:rPr>
                  <w:kern w:val="2"/>
                  <w:szCs w:val="24"/>
                </w:rPr>
                <w:t>VšĮ Klaipėdos universiteto ligoninė;</w:t>
              </w:r>
            </w:p>
            <w:p>
              <w:pPr>
                <w:rPr>
                  <w:sz w:val="14"/>
                  <w:szCs w:val="14"/>
                </w:rPr>
              </w:pPr>
            </w:p>
            <w:p>
              <w:pPr>
                <w:tabs>
                  <w:tab w:val="left" w:pos="567"/>
                  <w:tab w:val="right" w:pos="9638"/>
                </w:tabs>
                <w:spacing w:line="259" w:lineRule="auto"/>
                <w:jc w:val="both"/>
                <w:rPr>
                  <w:kern w:val="2"/>
                  <w:szCs w:val="24"/>
                  <w:lang w:eastAsia="lt-LT"/>
                </w:rPr>
              </w:pPr>
              <w:r>
                <w:rPr>
                  <w:kern w:val="2"/>
                  <w:szCs w:val="24"/>
                </w:rPr>
                <w:t>VšĮ Respublikinė Šiaulių ligoninė;</w:t>
              </w:r>
            </w:p>
            <w:p>
              <w:pPr>
                <w:rPr>
                  <w:sz w:val="14"/>
                  <w:szCs w:val="14"/>
                </w:rPr>
              </w:pPr>
            </w:p>
            <w:p>
              <w:pPr>
                <w:tabs>
                  <w:tab w:val="left" w:pos="567"/>
                  <w:tab w:val="right" w:pos="9638"/>
                </w:tabs>
                <w:spacing w:line="259" w:lineRule="auto"/>
                <w:jc w:val="both"/>
                <w:rPr>
                  <w:kern w:val="2"/>
                  <w:szCs w:val="24"/>
                  <w:lang w:eastAsia="lt-LT"/>
                </w:rPr>
              </w:pPr>
              <w:r>
                <w:rPr>
                  <w:rFonts w:eastAsia="Calibri"/>
                  <w:kern w:val="2"/>
                  <w:szCs w:val="24"/>
                </w:rPr>
                <w:t>VšĮ Respublikinė Panevėžio ligoninė;</w:t>
              </w:r>
            </w:p>
            <w:p>
              <w:pPr>
                <w:rPr>
                  <w:sz w:val="14"/>
                  <w:szCs w:val="14"/>
                </w:rPr>
              </w:pPr>
            </w:p>
            <w:p>
              <w:pPr>
                <w:spacing w:line="259" w:lineRule="auto"/>
                <w:jc w:val="both"/>
                <w:rPr>
                  <w:bCs/>
                  <w:kern w:val="2"/>
                  <w:szCs w:val="24"/>
                  <w:lang w:eastAsia="lt-LT"/>
                </w:rPr>
              </w:pPr>
              <w:r>
                <w:rPr>
                  <w:bCs/>
                  <w:kern w:val="2"/>
                  <w:szCs w:val="24"/>
                  <w:lang w:eastAsia="lt-LT"/>
                </w:rPr>
                <w:t>Valstybinė ligonių kasa prie Sveikatos apsaugos ministerijos;</w:t>
              </w:r>
            </w:p>
            <w:p>
              <w:pPr>
                <w:rPr>
                  <w:sz w:val="14"/>
                  <w:szCs w:val="14"/>
                </w:rPr>
              </w:pPr>
            </w:p>
            <w:p>
              <w:pPr>
                <w:spacing w:line="259" w:lineRule="auto"/>
                <w:jc w:val="both"/>
                <w:rPr>
                  <w:bCs/>
                  <w:kern w:val="2"/>
                  <w:szCs w:val="24"/>
                  <w:lang w:eastAsia="lt-LT"/>
                </w:rPr>
              </w:pPr>
              <w:r>
                <w:rPr>
                  <w:bCs/>
                  <w:kern w:val="2"/>
                  <w:szCs w:val="24"/>
                  <w:lang w:eastAsia="lt-LT"/>
                </w:rPr>
                <w:t>Valstybinė vaistų kontrolės tarnyba prie Sveikatos apsaugos ministerijos;</w:t>
              </w:r>
            </w:p>
            <w:p>
              <w:pPr>
                <w:rPr>
                  <w:sz w:val="14"/>
                  <w:szCs w:val="14"/>
                </w:rPr>
              </w:pPr>
            </w:p>
          </w:sdtContent>
        </w:sdt>
        <w:sdt>
          <w:sdtPr>
            <w:alias w:val="signatura"/>
            <w:tag w:val="part_9dedd2d63c4c409b87034af2ae7984fe"/>
            <w:lock w:val="sdtLocked"/>
            <w:richText/>
          </w:sdtPr>
          <w:sdtContent>
            <w:p>
              <w:pPr>
                <w:spacing w:line="259" w:lineRule="auto"/>
                <w:jc w:val="both"/>
                <w:rPr>
                  <w:bCs/>
                  <w:kern w:val="2"/>
                  <w:szCs w:val="24"/>
                  <w:lang w:eastAsia="lt-LT"/>
                </w:rPr>
              </w:pPr>
              <w:r>
                <w:rPr>
                  <w:bCs/>
                  <w:kern w:val="2"/>
                  <w:szCs w:val="24"/>
                  <w:lang w:eastAsia="lt-LT"/>
                </w:rPr>
                <w:t>Pagalbos onkologiniams ligoniams asociacija (POLA);</w:t>
              </w:r>
            </w:p>
            <w:p>
              <w:pPr>
                <w:rPr>
                  <w:sz w:val="14"/>
                  <w:szCs w:val="14"/>
                </w:rPr>
              </w:pPr>
            </w:p>
            <w:p>
              <w:pPr>
                <w:spacing w:line="259" w:lineRule="auto"/>
                <w:jc w:val="both"/>
                <w:rPr>
                  <w:bCs/>
                  <w:kern w:val="2"/>
                  <w:szCs w:val="24"/>
                  <w:lang w:eastAsia="lt-LT"/>
                </w:rPr>
              </w:pPr>
              <w:r>
                <w:rPr>
                  <w:bCs/>
                  <w:kern w:val="2"/>
                  <w:szCs w:val="24"/>
                  <w:lang w:eastAsia="lt-LT"/>
                </w:rPr>
                <w:t>Lietuvos urologų draugija;</w:t>
              </w:r>
            </w:p>
            <w:p>
              <w:pPr>
                <w:rPr>
                  <w:sz w:val="14"/>
                  <w:szCs w:val="14"/>
                </w:rPr>
              </w:pPr>
            </w:p>
            <w:p>
              <w:pPr>
                <w:spacing w:line="259" w:lineRule="auto"/>
                <w:jc w:val="both"/>
                <w:rPr>
                  <w:bCs/>
                  <w:kern w:val="2"/>
                  <w:szCs w:val="24"/>
                  <w:lang w:eastAsia="lt-LT"/>
                </w:rPr>
              </w:pPr>
              <w:r>
                <w:rPr>
                  <w:bCs/>
                  <w:kern w:val="2"/>
                  <w:szCs w:val="24"/>
                  <w:lang w:eastAsia="lt-LT"/>
                </w:rPr>
                <w:t>Lietuvos onkologų chemoterapeutų draugija;</w:t>
              </w:r>
            </w:p>
            <w:p>
              <w:pPr>
                <w:rPr>
                  <w:sz w:val="14"/>
                  <w:szCs w:val="14"/>
                </w:rPr>
              </w:pPr>
            </w:p>
            <w:p>
              <w:pPr>
                <w:spacing w:line="259" w:lineRule="auto"/>
                <w:jc w:val="both"/>
                <w:rPr>
                  <w:bCs/>
                  <w:kern w:val="2"/>
                  <w:szCs w:val="24"/>
                  <w:lang w:eastAsia="lt-LT"/>
                </w:rPr>
              </w:pPr>
              <w:r>
                <w:rPr>
                  <w:bCs/>
                  <w:kern w:val="2"/>
                  <w:szCs w:val="24"/>
                  <w:lang w:eastAsia="lt-LT"/>
                </w:rPr>
                <w:t>Lietuvos šeimos gydytojų profesinė sąjunga</w:t>
              </w:r>
            </w:p>
            <w:p>
              <w:pPr>
                <w:rPr>
                  <w:sz w:val="14"/>
                  <w:szCs w:val="14"/>
                </w:rPr>
              </w:pPr>
            </w:p>
            <w:p>
              <w:pPr>
                <w:spacing w:line="259" w:lineRule="auto"/>
                <w:jc w:val="both"/>
                <w:rPr>
                  <w:bCs/>
                  <w:kern w:val="2"/>
                  <w:szCs w:val="24"/>
                  <w:lang w:eastAsia="lt-LT"/>
                </w:rPr>
              </w:pPr>
              <w:r>
                <w:rPr>
                  <w:bCs/>
                  <w:kern w:val="2"/>
                  <w:szCs w:val="24"/>
                  <w:lang w:eastAsia="lt-LT"/>
                </w:rPr>
                <w:t>TAIS</w:t>
              </w:r>
            </w:p>
            <w:p>
              <w:pPr>
                <w:rPr>
                  <w:sz w:val="14"/>
                  <w:szCs w:val="14"/>
                </w:rPr>
              </w:pPr>
            </w:p>
            <w:p>
              <w:pPr>
                <w:tabs>
                  <w:tab w:val="right" w:pos="9638"/>
                </w:tabs>
                <w:spacing w:line="259" w:lineRule="auto"/>
                <w:rPr>
                  <w:kern w:val="2"/>
                  <w:szCs w:val="24"/>
                  <w:lang w:eastAsia="lt-LT"/>
                </w:rPr>
              </w:pPr>
            </w:p>
            <w:p>
              <w:pPr>
                <w:rPr>
                  <w:sz w:val="14"/>
                  <w:szCs w:val="14"/>
                </w:rPr>
              </w:pPr>
            </w:p>
            <w:p>
              <w:pPr>
                <w:tabs>
                  <w:tab w:val="right" w:pos="9638"/>
                </w:tabs>
                <w:spacing w:line="259" w:lineRule="auto"/>
                <w:rPr>
                  <w:kern w:val="2"/>
                  <w:szCs w:val="24"/>
                </w:rPr>
              </w:pPr>
            </w:p>
            <w:p>
              <w:pPr>
                <w:rPr>
                  <w:sz w:val="14"/>
                  <w:szCs w:val="14"/>
                </w:rPr>
              </w:pPr>
            </w:p>
            <w:p>
              <w:pPr>
                <w:spacing w:line="259" w:lineRule="auto"/>
                <w:rPr>
                  <w:kern w:val="2"/>
                  <w:szCs w:val="24"/>
                </w:rPr>
              </w:pPr>
            </w:p>
            <w:p>
              <w:pPr>
                <w:spacing w:line="259" w:lineRule="auto"/>
                <w:rPr>
                  <w:kern w:val="2"/>
                  <w:szCs w:val="24"/>
                </w:rPr>
              </w:pPr>
            </w:p>
          </w:sdtContent>
        </w:sdt>
      </w:sdtContent>
    </w:sdt>
    <w:sectPr>
      <w:headerReference w:type="even" r:id="rId13"/>
      <w:headerReference w:type="default" r:id="rId14"/>
      <w:footerReference w:type="even" r:id="rId15"/>
      <w:footerReference w:type="default" r:id="rId16"/>
      <w:headerReference w:type="first" r:id="rId17"/>
      <w:footerReference w:type="first" r:id="rId18"/>
      <w:pgSz w:w="11906" w:h="16838" w:code="9"/>
      <w:pgMar w:top="1134" w:right="707" w:bottom="1134" w:left="1701" w:header="1134" w:footer="1134" w:gutter="0"/>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ACF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venir Next">
    <w:altName w:val="Calibri"/>
    <w:charset w:val="00"/>
    <w:family w:val="swiss"/>
    <w:pitch w:val="variable"/>
    <w:sig w:usb0="8000002F" w:usb1="5000204A" w:usb2="00000000" w:usb3="00000000" w:csb0="0000009B"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right" w:pos="9638"/>
      </w:tabs>
      <w:spacing w:line="360" w:lineRule="auto"/>
      <w:rPr>
        <w:rFonts w:ascii="Avenir Next" w:eastAsia="Calibri" w:hAnsi="Avenir Next"/>
        <w:kern w:val="2"/>
        <w:sz w:val="2"/>
        <w:szCs w:val="2"/>
        <w:lang w:eastAsia="lt-LT"/>
      </w:rPr>
    </w:pPr>
  </w:p>
  <w:tbl>
    <w:tblPr>
      <w:tblW w:w="0" w:type="auto"/>
      <w:tblBorders>
        <w:top w:val="single" w:sz="4" w:space="0" w:color="auto"/>
      </w:tblBorders>
      <w:tblLook w:val="04A0" w:firstRow="1" w:lastRow="0" w:firstColumn="1" w:lastColumn="0" w:noHBand="0" w:noVBand="1"/>
    </w:tblPr>
    <w:tblGrid>
      <w:gridCol w:w="1541"/>
      <w:gridCol w:w="1820"/>
      <w:gridCol w:w="3632"/>
      <w:gridCol w:w="2505"/>
    </w:tblGrid>
    <w:tr>
      <w:tc>
        <w:tcPr>
          <w:tcW w:w="1555" w:type="dxa"/>
          <w:vAlign w:val="center"/>
        </w:tcPr>
        <w:p>
          <w:pPr>
            <w:rPr>
              <w:sz w:val="10"/>
              <w:szCs w:val="10"/>
            </w:rPr>
          </w:pPr>
        </w:p>
        <w:p>
          <w:pPr>
            <w:rPr>
              <w:sz w:val="22"/>
              <w:szCs w:val="22"/>
            </w:rPr>
          </w:pPr>
          <w:r>
            <w:rPr>
              <w:sz w:val="22"/>
              <w:szCs w:val="22"/>
              <w:lang w:val="en-US"/>
            </w:rPr>
            <w:drawing>
              <wp:inline distT="0" distB="0" distL="0" distR="0" wp14:anchorId="739CD5E7" wp14:editId="62C6FC32">
                <wp:extent cx="533400" cy="628608"/>
                <wp:effectExtent l="0" t="0" r="0" b="635"/>
                <wp:docPr id="1414753542" name="Paveikslėlis 1" descr="Paveikslėlis, kuriame yra logotipas, varinis kastetas, dizain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varinis kastetas, dizainas  Automatiškai sugeneruotas aprašym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5239" cy="642560"/>
                        </a:xfrm>
                        <a:prstGeom prst="rect">
                          <a:avLst/>
                        </a:prstGeom>
                        <a:noFill/>
                        <a:ln>
                          <a:noFill/>
                        </a:ln>
                      </pic:spPr>
                    </pic:pic>
                  </a:graphicData>
                </a:graphic>
              </wp:inline>
            </w:drawing>
          </w:r>
        </w:p>
      </w:tc>
      <w:tc>
        <w:tcPr>
          <w:tcW w:w="1842" w:type="dxa"/>
          <w:vAlign w:val="center"/>
        </w:tcPr>
        <w:p>
          <w:pPr>
            <w:rPr>
              <w:rFonts w:eastAsia="Calibri"/>
              <w:color w:val="000000"/>
              <w:sz w:val="18"/>
              <w:szCs w:val="18"/>
              <w:lang w:eastAsia="lt-LT"/>
            </w:rPr>
          </w:pPr>
          <w:r>
            <w:rPr>
              <w:rFonts w:eastAsia="Calibri"/>
              <w:color w:val="000000"/>
              <w:sz w:val="18"/>
              <w:szCs w:val="18"/>
              <w:lang w:eastAsia="lt-LT"/>
            </w:rPr>
            <w:t>Biudžetinė įstaiga</w:t>
          </w:r>
        </w:p>
        <w:p>
          <w:pPr>
            <w:rPr>
              <w:rFonts w:eastAsia="Calibri"/>
              <w:color w:val="000000"/>
              <w:sz w:val="18"/>
              <w:szCs w:val="18"/>
              <w:lang w:eastAsia="lt-LT"/>
            </w:rPr>
          </w:pPr>
          <w:r>
            <w:rPr>
              <w:rFonts w:eastAsia="Calibri"/>
              <w:color w:val="000000"/>
              <w:sz w:val="18"/>
              <w:szCs w:val="18"/>
              <w:lang w:eastAsia="lt-LT"/>
            </w:rPr>
            <w:t>Vilniaus g. 33</w:t>
          </w:r>
        </w:p>
        <w:p>
          <w:pPr>
            <w:rPr>
              <w:rFonts w:eastAsia="Calibri"/>
              <w:color w:val="000000"/>
              <w:sz w:val="18"/>
              <w:szCs w:val="18"/>
              <w:lang w:eastAsia="lt-LT"/>
            </w:rPr>
          </w:pPr>
          <w:r>
            <w:rPr>
              <w:rFonts w:eastAsia="Calibri"/>
              <w:color w:val="000000"/>
              <w:sz w:val="18"/>
              <w:szCs w:val="18"/>
              <w:lang w:eastAsia="lt-LT"/>
            </w:rPr>
            <w:t>LT-01402 Vilnius</w:t>
          </w:r>
        </w:p>
      </w:tc>
      <w:tc>
        <w:tcPr>
          <w:tcW w:w="3686" w:type="dxa"/>
          <w:vAlign w:val="center"/>
        </w:tcPr>
        <w:p>
          <w:pPr>
            <w:rPr>
              <w:rFonts w:eastAsia="Calibri"/>
              <w:color w:val="000000"/>
              <w:sz w:val="18"/>
              <w:szCs w:val="18"/>
              <w:lang w:eastAsia="lt-LT"/>
            </w:rPr>
          </w:pPr>
          <w:r>
            <w:rPr>
              <w:rFonts w:eastAsia="Calibri"/>
              <w:color w:val="000000"/>
              <w:sz w:val="18"/>
              <w:szCs w:val="18"/>
              <w:lang w:eastAsia="lt-LT"/>
            </w:rPr>
            <w:t>Tel. +370 800 66 004</w:t>
          </w:r>
        </w:p>
        <w:p>
          <w:pPr>
            <w:rPr>
              <w:rFonts w:eastAsia="Calibri"/>
              <w:sz w:val="18"/>
              <w:szCs w:val="18"/>
              <w:lang w:eastAsia="lt-LT"/>
            </w:rPr>
          </w:pPr>
          <w:r>
            <w:rPr>
              <w:rFonts w:eastAsia="Calibri"/>
              <w:color w:val="000000"/>
              <w:sz w:val="18"/>
              <w:szCs w:val="18"/>
              <w:lang w:eastAsia="lt-LT"/>
            </w:rPr>
            <w:t xml:space="preserve">El. p. </w:t>
          </w:r>
          <w:r>
            <w:rPr>
              <w:rFonts w:eastAsia="Calibri"/>
              <w:sz w:val="18"/>
              <w:szCs w:val="18"/>
              <w:lang w:eastAsia="lt-LT"/>
            </w:rPr>
            <w:t>ministerija@sam.lt</w:t>
          </w:r>
          <w:r>
            <w:rPr>
              <w:rFonts w:eastAsia="Calibri"/>
              <w:color w:val="000000"/>
              <w:sz w:val="18"/>
              <w:szCs w:val="18"/>
              <w:lang w:eastAsia="lt-LT"/>
            </w:rPr>
            <w:t xml:space="preserve">, </w:t>
          </w:r>
          <w:r>
            <w:rPr>
              <w:rFonts w:eastAsia="Calibri"/>
              <w:sz w:val="18"/>
              <w:szCs w:val="18"/>
              <w:lang w:eastAsia="lt-LT"/>
            </w:rPr>
            <w:t>https://sam.lrv.lt</w:t>
          </w:r>
        </w:p>
        <w:p>
          <w:pPr>
            <w:rPr>
              <w:sz w:val="22"/>
              <w:szCs w:val="22"/>
              <w:lang w:val="pt-BR"/>
            </w:rPr>
          </w:pPr>
          <w:r>
            <w:rPr>
              <w:rFonts w:eastAsia="Calibri"/>
              <w:color w:val="000000"/>
              <w:sz w:val="18"/>
              <w:szCs w:val="18"/>
              <w:lang w:eastAsia="lt-LT"/>
            </w:rPr>
            <w:t>E. pristatymo dėžutės adresas 18860347</w:t>
          </w:r>
          <w:r>
            <w:rPr>
              <w:rFonts w:eastAsia="Calibri"/>
              <w:color w:val="000000"/>
              <w:sz w:val="18"/>
              <w:szCs w:val="18"/>
              <w:lang w:val="pt-BR" w:eastAsia="lt-LT"/>
            </w:rPr>
            <w:t>2</w:t>
          </w:r>
        </w:p>
      </w:tc>
      <w:tc>
        <w:tcPr>
          <w:tcW w:w="2545" w:type="dxa"/>
          <w:vAlign w:val="center"/>
        </w:tcPr>
        <w:p>
          <w:pPr>
            <w:rPr>
              <w:rFonts w:eastAsia="Calibri"/>
              <w:color w:val="000000"/>
              <w:sz w:val="18"/>
              <w:szCs w:val="18"/>
              <w:lang w:eastAsia="lt-LT"/>
            </w:rPr>
          </w:pPr>
          <w:r>
            <w:rPr>
              <w:rFonts w:eastAsia="Calibri"/>
              <w:color w:val="000000"/>
              <w:sz w:val="18"/>
              <w:szCs w:val="18"/>
              <w:lang w:eastAsia="lt-LT"/>
            </w:rPr>
            <w:t>Duomenys kaupiami ir saugomi Juridinių asmenų registre</w:t>
          </w:r>
        </w:p>
        <w:p>
          <w:pPr>
            <w:rPr>
              <w:sz w:val="22"/>
              <w:szCs w:val="22"/>
            </w:rPr>
          </w:pPr>
          <w:r>
            <w:rPr>
              <w:rFonts w:eastAsia="Calibri"/>
              <w:color w:val="000000"/>
              <w:sz w:val="18"/>
              <w:szCs w:val="18"/>
              <w:lang w:eastAsia="lt-LT"/>
            </w:rPr>
            <w:t>Kodas 188603472</w:t>
          </w:r>
        </w:p>
      </w:tc>
    </w:tr>
  </w:tbl>
  <w:p>
    <w:pPr>
      <w:tabs>
        <w:tab w:val="right" w:pos="9638"/>
      </w:tabs>
      <w:spacing w:line="360" w:lineRule="auto"/>
      <w:rPr>
        <w:rFonts w:ascii="Avenir Next" w:eastAsia="Calibri" w:hAnsi="Avenir Next"/>
        <w:kern w:val="2"/>
        <w:sz w:val="2"/>
        <w:szCs w:val="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kern w:val="2"/>
        <w:sz w:val="22"/>
        <w:szCs w:val="22"/>
      </w:rPr>
    </w:pPr>
    <w:r>
      <w:rPr>
        <w:kern w:val="2"/>
        <w:sz w:val="22"/>
        <w:szCs w:val="22"/>
      </w:rPr>
      <w:fldChar w:fldCharType="begin"/>
    </w:r>
    <w:r>
      <w:rPr>
        <w:kern w:val="2"/>
        <w:sz w:val="22"/>
        <w:szCs w:val="22"/>
      </w:rPr>
      <w:instrText xml:space="preserve">PAGE  </w:instrText>
    </w:r>
    <w:r>
      <w:rPr>
        <w:kern w:val="2"/>
        <w:sz w:val="22"/>
        <w:szCs w:val="22"/>
      </w:rPr>
      <w:fldChar w:fldCharType="end"/>
    </w:r>
  </w:p>
  <w:p>
    <w:pPr>
      <w:tabs>
        <w:tab w:val="center" w:pos="4819"/>
        <w:tab w:val="right" w:pos="9638"/>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pPr>
      <w:tabs>
        <w:tab w:val="center" w:pos="4819"/>
        <w:tab w:val="right" w:pos="9638"/>
      </w:tabs>
      <w:rPr>
        <w:kern w:val="2"/>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20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BA4070-3436-4698-B9A3-85B8BF25799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ode="External" Target="cid:image010.jpg@01DA495F.B01CF720"/>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image" Target="media/image1.jpeg"/>
</Relationships>

</file>

<file path=word/_rels/footer3.xml.rels><?xml version="1.0" encoding="UTF-8"?>

<Relationships xmlns="http://schemas.openxmlformats.org/package/2006/relationships">
  <Relationship Id="rId1"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12" ma:contentTypeDescription="Kurkite naują dokumentą." ma:contentTypeScope="" ma:versionID="e798c655c011fb6cf360004fe5b585d1">
  <xsd:schema xmlns:xsd="http://www.w3.org/2001/XMLSchema" xmlns:xs="http://www.w3.org/2001/XMLSchema" xmlns:p="http://schemas.microsoft.com/office/2006/metadata/properties" xmlns:ns2="1f08f849-cb30-4d50-b098-b22668634d80" xmlns:ns3="7f216368-8434-4da0-b8c5-4172b9ea0f9c" targetNamespace="http://schemas.microsoft.com/office/2006/metadata/properties" ma:root="true" ma:fieldsID="e952587b1a52d42881050b11b502339c" ns2:_="" ns3:_="">
    <xsd:import namespace="1f08f849-cb30-4d50-b098-b22668634d80"/>
    <xsd:import namespace="7f216368-8434-4da0-b8c5-4172b9ea0f9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ObjectDetectorVersions" minOccurs="0"/>
                <xsd:element ref="ns3:SharedWithUsers" minOccurs="0"/>
                <xsd:element ref="ns3:SharedWithDetails" minOccurs="0"/>
                <xsd:element ref="ns2:MediaServiceSearchPropertie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08f849-cb30-4d50-b098-b22668634d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216368-8434-4da0-b8c5-4172b9ea0f9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2f23a98309804aa481181560cbc3794f" PartId="8c2235de786b48a285476e43f27cbdd7">
    <Part Type="skirsnis" Title="DĖL LIETUVOS RESPUBLIKOS SVEIKATOS APSAUGOS MINISTRO 2011 M. LAPKRIČIO 2 D. ĮSAKYMO NR. V-941 „DĖL PRIEŠINĖS LIAUKOS (PROSTATOS) PIKTYBINIO NAVIKO AMBULATORINIO GYDYMO KOMPENSUOJAMAISIAIS VAISTAIS TVARKOS APRAŠO PATVIRTINIMO“ PAKEITIMO“ PROJEKTO" DocPartId="55cb010633db4e1c863d9255cb838331" PartId="2c4e7220b604475bb984c3b7fd7b897c"/>
    <Part Type="skirsnis" Title="LR SVEIKATOS APSAUGOS MINISTERIJOS 2026 M. RAŠTO NR." DocPartId="48c5a7b1f2dc4115aadfd934d765349f" PartId="51e1beb7f28b4abaa947f8a6e82a7183"/>
    <Part Type="skirsnis" Title="ADRESATŲ SĄRAŠAS" DocPartId="c6dfdc5734394b19812ba823c36ed964" PartId="adb0c04660094a45b8ddfedd76d1e58e"/>
    <Part Type="signatura" DocPartId="ccc2a0abda264e339661ec104aa6a47b" PartId="9dedd2d63c4c409b87034af2ae7984fe"/>
  </Part>
</Parts>
</file>

<file path=customXml/itemProps1.xml><?xml version="1.0" encoding="utf-8"?>
<ds:datastoreItem xmlns:ds="http://schemas.openxmlformats.org/officeDocument/2006/customXml" ds:itemID="{80D3A51A-3CCD-4D44-B486-C2806117CA24}">
  <ds:schemaRefs>
    <ds:schemaRef ds:uri="http://schemas.microsoft.com/sharepoint/v3/contenttype/forms"/>
  </ds:schemaRefs>
</ds:datastoreItem>
</file>

<file path=customXml/itemProps2.xml><?xml version="1.0" encoding="utf-8"?>
<ds:datastoreItem xmlns:ds="http://schemas.openxmlformats.org/officeDocument/2006/customXml" ds:itemID="{D3CDB3CB-A468-46B7-8011-C3EDCC0E797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6E75706-80F1-41B3-94C7-17331CA386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08f849-cb30-4d50-b098-b22668634d80"/>
    <ds:schemaRef ds:uri="7f216368-8434-4da0-b8c5-4172b9ea0f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8359114-6D9A-4404-9213-C6B479AFB1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554</Words>
  <Characters>4279</Characters>
  <Application>Microsoft Office Word</Application>
  <DocSecurity>4</DocSecurity>
  <Lines>125</Lines>
  <Paragraphs>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4798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2026-07-09T16:44:00Z</dcterms:created>
  <dc:creator>Oksana Kavaliauskienė</dc:creator>
  <lastModifiedBy>adlibuser</lastModifiedBy>
  <dcterms:modified xsi:type="dcterms:W3CDTF">2026-07-09T16:44:00Z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0x010100958BDF1B7149A445B634534142DB2BA2</vt:lpwstr>
  </property>
</Properties>
</file>