
<file path=[Content_Types].xml><?xml version="1.0" encoding="utf-8"?>
<Types xmlns="http://schemas.openxmlformats.org/package/2006/content-types">
  <Default Extension="odttf" ContentType="application/vnd.openxmlformats-officedocument.obfuscatedFont"/>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8ed4091e39846b287a7b97bc3f4fe23"/>
        <w:lock w:val="sdtLocked"/>
        <w:richText/>
      </w:sdtPr>
      <w:sdtContent>
        <w:p w14:paraId="16A35D0F" w14:textId="77777777">
          <w:pPr>
            <w:tabs>
              <w:tab w:val="center" w:pos="4153"/>
              <w:tab w:val="right" w:pos="8306"/>
            </w:tabs>
            <w:rPr>
              <w:szCs w:val="24"/>
              <w:lang w:val="lt" w:eastAsia="lt-LT"/>
            </w:rPr>
          </w:pPr>
        </w:p>
        <w:p w14:paraId="50CA2B4A" w14:textId="47ADE320">
          <w:pPr>
            <w:keepLines/>
            <w:widowControl w:val="0"/>
            <w:rPr>
              <w:color w:val="000000"/>
              <w:szCs w:val="24"/>
              <w:lang w:val="lt" w:eastAsia="lt-LT"/>
            </w:rPr>
          </w:pPr>
        </w:p>
      </w:sdtContent>
    </w:sdt>
    <w:sdt>
      <w:sdtPr>
        <w:alias w:val="patvirtinta"/>
        <w:tag w:val="part_671b60a7fa5840998e45d533a3d250e9"/>
        <w:lock w:val="sdtLocked"/>
        <w:richText/>
      </w:sdtPr>
      <w:sdtContent>
        <w:p w14:paraId="50CA2B4B" w14:textId="77777777">
          <w:pPr>
            <w:keepLines/>
            <w:widowControl w:val="0"/>
            <w:ind w:left="4535" w:firstLine="648"/>
            <w:rPr>
              <w:color w:val="000000"/>
              <w:szCs w:val="24"/>
              <w:lang w:val="lt" w:eastAsia="lt-LT"/>
            </w:rPr>
          </w:pPr>
          <w:r>
            <w:rPr>
              <w:color w:val="000000"/>
              <w:szCs w:val="24"/>
              <w:lang w:val="lt" w:eastAsia="lt-LT"/>
            </w:rPr>
            <w:t>PATVIRTINTA</w:t>
          </w:r>
        </w:p>
        <w:p w14:paraId="50CA2B4C" w14:textId="77777777">
          <w:pPr>
            <w:keepLines/>
            <w:widowControl w:val="0"/>
            <w:ind w:left="4535" w:firstLine="648"/>
            <w:rPr>
              <w:color w:val="000000"/>
              <w:szCs w:val="24"/>
              <w:lang w:val="lt" w:eastAsia="lt-LT"/>
            </w:rPr>
          </w:pPr>
          <w:r>
            <w:rPr>
              <w:color w:val="000000"/>
              <w:szCs w:val="24"/>
              <w:lang w:val="lt" w:eastAsia="lt-LT"/>
            </w:rPr>
            <w:t xml:space="preserve">Lietuvos Respublikos </w:t>
          </w:r>
        </w:p>
        <w:p w14:paraId="50CA2B4D" w14:textId="77777777">
          <w:pPr>
            <w:keepLines/>
            <w:widowControl w:val="0"/>
            <w:ind w:left="4535" w:firstLine="648"/>
            <w:rPr>
              <w:color w:val="000000"/>
              <w:szCs w:val="24"/>
              <w:lang w:val="lt" w:eastAsia="lt-LT"/>
            </w:rPr>
          </w:pPr>
          <w:r>
            <w:rPr>
              <w:color w:val="000000"/>
              <w:szCs w:val="24"/>
              <w:lang w:val="lt" w:eastAsia="lt-LT"/>
            </w:rPr>
            <w:t xml:space="preserve">sveikatos apsaugos ministro </w:t>
          </w:r>
        </w:p>
        <w:p w14:paraId="50CA2B4E" w14:textId="77777777">
          <w:pPr>
            <w:keepLines/>
            <w:widowControl w:val="0"/>
            <w:ind w:left="4535" w:firstLine="648"/>
            <w:rPr>
              <w:color w:val="000000"/>
              <w:szCs w:val="24"/>
              <w:lang w:val="lt" w:eastAsia="lt-LT"/>
            </w:rPr>
          </w:pPr>
          <w:r>
            <w:rPr>
              <w:color w:val="000000"/>
              <w:szCs w:val="24"/>
              <w:lang w:val="lt" w:eastAsia="lt-LT"/>
            </w:rPr>
            <w:t>2011 m. lapkričio 2 d. įsakymu Nr. V-941</w:t>
          </w:r>
        </w:p>
        <w:p w14:paraId="50CA2B4F" w14:textId="77777777">
          <w:pPr>
            <w:keepLines/>
            <w:widowControl w:val="0"/>
            <w:ind w:left="4535" w:firstLine="648"/>
            <w:rPr>
              <w:color w:val="000000"/>
              <w:szCs w:val="24"/>
              <w:lang w:val="lt" w:eastAsia="lt-LT"/>
            </w:rPr>
          </w:pPr>
          <w:r>
            <w:rPr>
              <w:color w:val="000000"/>
              <w:szCs w:val="24"/>
              <w:lang w:val="lt" w:eastAsia="lt-LT"/>
            </w:rPr>
            <w:t xml:space="preserve">(Lietuvos Respublikos </w:t>
          </w:r>
        </w:p>
        <w:p w14:paraId="50CA2B50" w14:textId="77777777">
          <w:pPr>
            <w:keepLines/>
            <w:widowControl w:val="0"/>
            <w:ind w:left="4535" w:firstLine="648"/>
            <w:rPr>
              <w:color w:val="000000"/>
              <w:szCs w:val="24"/>
              <w:lang w:val="lt" w:eastAsia="lt-LT"/>
            </w:rPr>
          </w:pPr>
          <w:r>
            <w:rPr>
              <w:color w:val="000000"/>
              <w:szCs w:val="24"/>
              <w:lang w:val="lt" w:eastAsia="lt-LT"/>
            </w:rPr>
            <w:t xml:space="preserve">sveikatos apsaugos ministro </w:t>
          </w:r>
        </w:p>
        <w:p w14:paraId="50CA2B51" w14:textId="77777777">
          <w:pPr>
            <w:keepLines/>
            <w:widowControl w:val="0"/>
            <w:ind w:left="4535" w:firstLine="648"/>
            <w:rPr>
              <w:color w:val="000000"/>
              <w:szCs w:val="24"/>
              <w:lang w:val="lt" w:eastAsia="lt-LT"/>
            </w:rPr>
          </w:pPr>
          <w:r>
            <w:rPr>
              <w:color w:val="000000"/>
              <w:szCs w:val="24"/>
              <w:lang w:val="lt" w:eastAsia="lt-LT"/>
            </w:rPr>
            <w:t xml:space="preserve">2026 m.                      d. įsakymo Nr. V-</w:t>
          </w:r>
        </w:p>
        <w:p w14:paraId="50CA2B52" w14:textId="77777777">
          <w:pPr>
            <w:keepLines/>
            <w:widowControl w:val="0"/>
            <w:ind w:left="4535" w:firstLine="648"/>
            <w:rPr>
              <w:color w:val="000000"/>
              <w:szCs w:val="24"/>
              <w:lang w:val="lt" w:eastAsia="lt-LT"/>
            </w:rPr>
          </w:pPr>
          <w:r>
            <w:rPr>
              <w:color w:val="000000"/>
              <w:szCs w:val="24"/>
              <w:lang w:val="lt" w:eastAsia="lt-LT"/>
            </w:rPr>
            <w:t>redakcija)</w:t>
          </w:r>
        </w:p>
        <w:p w14:paraId="50CA2B53" w14:textId="77777777">
          <w:pPr>
            <w:widowControl w:val="0"/>
            <w:ind w:firstLine="567"/>
            <w:jc w:val="both"/>
            <w:rPr>
              <w:color w:val="000000"/>
              <w:szCs w:val="24"/>
              <w:lang w:val="lt" w:eastAsia="lt-LT"/>
            </w:rPr>
          </w:pPr>
        </w:p>
        <w:p w14:paraId="50CA2B54" w14:textId="77777777">
          <w:pPr>
            <w:keepLines/>
            <w:widowControl w:val="0"/>
            <w:jc w:val="center"/>
            <w:rPr>
              <w:b/>
              <w:bCs/>
              <w:smallCaps/>
              <w:color w:val="000000"/>
              <w:szCs w:val="24"/>
              <w:lang w:val="lt" w:eastAsia="lt-LT"/>
            </w:rPr>
          </w:pPr>
          <w:sdt>
            <w:sdtPr>
              <w:alias w:val="Pavadinimas"/>
              <w:tag w:val="title_671b60a7fa5840998e45d533a3d250e9"/>
              <w:lock w:val="sdtLocked"/>
              <w:richText/>
            </w:sdtPr>
            <w:sdtContent>
              <w:r>
                <w:rPr>
                  <w:b/>
                  <w:bCs/>
                  <w:smallCaps/>
                  <w:color w:val="000000"/>
                  <w:szCs w:val="24"/>
                  <w:lang w:val="lt" w:eastAsia="lt-LT"/>
                </w:rPr>
                <w:t>PRIEŠINĖS LIAUKOS PIKTYBINIO NAVIKO DIAGNOSTIKOS IR AMBULATORINIO GYDYMO PRIVALOMOJO SVEIKATOS DRAUDIMO FONDO BIUDŽETO LĖŠOMIS KOMPENSUOJAMAIS VAISTAIS TVARKOS APRAŠAS</w:t>
              </w:r>
            </w:sdtContent>
          </w:sdt>
        </w:p>
        <w:p w14:paraId="50CA2B55" w14:textId="77777777">
          <w:pPr>
            <w:widowControl w:val="0"/>
            <w:ind w:firstLine="567"/>
            <w:jc w:val="both"/>
            <w:rPr>
              <w:color w:val="000000"/>
              <w:szCs w:val="24"/>
              <w:lang w:val="lt" w:eastAsia="lt-LT"/>
            </w:rPr>
          </w:pPr>
        </w:p>
        <w:sdt>
          <w:sdtPr>
            <w:alias w:val="skyrius"/>
            <w:tag w:val="part_98937063c4564bffb69a4620aee5dd37"/>
            <w:lock w:val="sdtLocked"/>
            <w:richText/>
          </w:sdtPr>
          <w:sdtContent>
            <w:p w14:paraId="50CA2B56" w14:textId="77777777">
              <w:pPr>
                <w:keepLines/>
                <w:widowControl w:val="0"/>
                <w:jc w:val="center"/>
                <w:rPr>
                  <w:b/>
                  <w:bCs/>
                  <w:smallCaps/>
                  <w:color w:val="000000"/>
                  <w:szCs w:val="24"/>
                  <w:lang w:val="lt" w:eastAsia="lt-LT"/>
                </w:rPr>
              </w:pPr>
              <w:sdt>
                <w:sdtPr>
                  <w:alias w:val="Numeris"/>
                  <w:tag w:val="nr_98937063c4564bffb69a4620aee5dd37"/>
                  <w:lock w:val="sdtLocked"/>
                  <w:richText/>
                </w:sdtPr>
                <w:sdtContent>
                  <w:r>
                    <w:rPr>
                      <w:b/>
                      <w:bCs/>
                      <w:smallCaps/>
                      <w:color w:val="000000"/>
                      <w:szCs w:val="24"/>
                      <w:lang w:val="lt" w:eastAsia="lt-LT"/>
                    </w:rPr>
                    <w:t>I</w:t>
                  </w:r>
                </w:sdtContent>
              </w:sdt>
              <w:r>
                <w:rPr>
                  <w:b/>
                  <w:bCs/>
                  <w:smallCaps/>
                  <w:color w:val="000000"/>
                  <w:szCs w:val="24"/>
                  <w:lang w:val="lt" w:eastAsia="lt-LT"/>
                </w:rPr>
                <w:t xml:space="preserve"> SKYRIUS</w:t>
              </w:r>
            </w:p>
            <w:p w14:paraId="50CA2B57" w14:textId="77777777">
              <w:pPr>
                <w:keepLines/>
                <w:widowControl w:val="0"/>
                <w:jc w:val="center"/>
                <w:rPr>
                  <w:b/>
                  <w:bCs/>
                  <w:smallCaps/>
                  <w:color w:val="000000"/>
                  <w:szCs w:val="24"/>
                  <w:lang w:val="lt" w:eastAsia="lt-LT"/>
                </w:rPr>
              </w:pPr>
              <w:sdt>
                <w:sdtPr>
                  <w:alias w:val="Pavadinimas"/>
                  <w:tag w:val="title_98937063c4564bffb69a4620aee5dd37"/>
                  <w:lock w:val="sdtLocked"/>
                  <w:richText/>
                </w:sdtPr>
                <w:sdtContent>
                  <w:r>
                    <w:rPr>
                      <w:b/>
                      <w:bCs/>
                      <w:smallCaps/>
                      <w:color w:val="000000"/>
                      <w:szCs w:val="24"/>
                      <w:lang w:val="lt" w:eastAsia="lt-LT"/>
                    </w:rPr>
                    <w:t>BENDROSIOS NUOSTATOS</w:t>
                  </w:r>
                </w:sdtContent>
              </w:sdt>
            </w:p>
            <w:p w14:paraId="50CA2B58" w14:textId="77777777">
              <w:pPr>
                <w:widowControl w:val="0"/>
                <w:ind w:firstLine="567"/>
                <w:jc w:val="both"/>
                <w:rPr>
                  <w:color w:val="000000"/>
                  <w:szCs w:val="24"/>
                  <w:lang w:val="lt" w:eastAsia="lt-LT"/>
                </w:rPr>
              </w:pPr>
            </w:p>
            <w:sdt>
              <w:sdtPr>
                <w:alias w:val="1 p."/>
                <w:tag w:val="part_3f0ecedec8074ae58ef102422f0f4801"/>
                <w:lock w:val="sdtLocked"/>
                <w:richText/>
              </w:sdtPr>
              <w:sdtContent>
                <w:p w14:paraId="50CA2B59" w14:textId="77777777">
                  <w:pPr>
                    <w:widowControl w:val="0"/>
                    <w:ind w:firstLine="709"/>
                    <w:jc w:val="both"/>
                    <w:rPr>
                      <w:color w:val="000000"/>
                      <w:szCs w:val="24"/>
                      <w:lang w:val="lt" w:eastAsia="lt-LT"/>
                    </w:rPr>
                  </w:pPr>
                  <w:sdt>
                    <w:sdtPr>
                      <w:alias w:val="Numeris"/>
                      <w:tag w:val="nr_3f0ecedec8074ae58ef102422f0f4801"/>
                      <w:lock w:val="sdtLocked"/>
                      <w:richText/>
                    </w:sdtPr>
                    <w:sdtContent>
                      <w:r>
                        <w:rPr>
                          <w:color w:val="000000"/>
                          <w:szCs w:val="24"/>
                          <w:lang w:val="lt" w:eastAsia="lt-LT"/>
                        </w:rPr>
                        <w:t>1</w:t>
                      </w:r>
                    </w:sdtContent>
                  </w:sdt>
                  <w:r>
                    <w:rPr>
                      <w:color w:val="000000"/>
                      <w:szCs w:val="24"/>
                      <w:lang w:val="lt" w:eastAsia="lt-LT"/>
                    </w:rPr>
                    <w:t>. Priešinės liaukos piktybinio naviko diagnostikos ir ambulatorinio gydymo Privalomojo sveikatos draudimo fondo biudžeto lėšomis kompensuojamais vaistais tvarkos aprašas (toliau – Aprašas) nustato priešinės liaukos piktybinio naviko, kuris pagal Tarptautinės statistinės ligų ir sveikatos sutrikimų klasifikacijos dešimtąjį pataisytą ir papildytą leidimą „Sisteminis ligų sąrašas“ (Australijos modifikacija, TLK-10-AM), įdiegtą Lietuvos Respublikos sveikatos apsaugos ministro 2011 m. vasario 23 d. įsakymu Nr. V-164 „Dėl Tarptautinės statistinės ligų ir sveikatos sutrikimų klasifikacijos dešimtojo pataisyto ir papildyto leidimo „Sisteminis ligų sąrašas“ (Australijos modifikacija, TLK-10-AM) įdiegimo“, žymimas kodu C61 (toliau – priešinės liaukos piktybinis navikas), diagnozavimo, ambulatorinio gydymo Privalomojo sveikatos draudimo fondo (toliau – PSDF) biudžeto lėšomis kompensuojamais vaistais ir gydymo šiais vaistais efektyvumo vertinimo tvarką.</w:t>
                  </w:r>
                </w:p>
              </w:sdtContent>
            </w:sdt>
            <w:sdt>
              <w:sdtPr>
                <w:alias w:val="2 p."/>
                <w:tag w:val="part_109c796dcdfe44c0ba01ddb65b516e3e"/>
                <w:lock w:val="sdtLocked"/>
                <w:richText/>
              </w:sdtPr>
              <w:sdtContent>
                <w:p w14:paraId="50CA2B5A" w14:textId="77777777">
                  <w:pPr>
                    <w:widowControl w:val="0"/>
                    <w:ind w:firstLine="709"/>
                    <w:jc w:val="both"/>
                    <w:rPr>
                      <w:color w:val="000000"/>
                      <w:szCs w:val="24"/>
                      <w:lang w:val="lt" w:eastAsia="lt-LT"/>
                    </w:rPr>
                  </w:pPr>
                  <w:sdt>
                    <w:sdtPr>
                      <w:alias w:val="Numeris"/>
                      <w:tag w:val="nr_109c796dcdfe44c0ba01ddb65b516e3e"/>
                      <w:lock w:val="sdtLocked"/>
                      <w:richText/>
                    </w:sdtPr>
                    <w:sdtContent>
                      <w:r>
                        <w:rPr>
                          <w:color w:val="000000"/>
                          <w:szCs w:val="24"/>
                          <w:lang w:val="lt" w:eastAsia="lt-LT"/>
                        </w:rPr>
                        <w:t>2</w:t>
                      </w:r>
                    </w:sdtContent>
                  </w:sdt>
                  <w:r>
                    <w:rPr>
                      <w:color w:val="000000"/>
                      <w:szCs w:val="24"/>
                      <w:lang w:val="lt" w:eastAsia="lt-LT"/>
                    </w:rPr>
                    <w:t>. Apraše vartojamos sąvokos:</w:t>
                  </w:r>
                </w:p>
                <w:sdt>
                  <w:sdtPr>
                    <w:alias w:val="2.1 pp."/>
                    <w:tag w:val="part_26ab6c644b534756aec66ea3ca28ef54"/>
                    <w:lock w:val="sdtLocked"/>
                    <w:richText/>
                  </w:sdtPr>
                  <w:sdtContent>
                    <w:p w14:paraId="50CA2B5B" w14:textId="77777777">
                      <w:pPr>
                        <w:widowControl w:val="0"/>
                        <w:ind w:firstLine="709"/>
                        <w:jc w:val="both"/>
                        <w:rPr>
                          <w:color w:val="000000"/>
                          <w:szCs w:val="24"/>
                          <w:lang w:val="lt" w:eastAsia="lt-LT"/>
                        </w:rPr>
                      </w:pPr>
                      <w:sdt>
                        <w:sdtPr>
                          <w:alias w:val="Numeris"/>
                          <w:tag w:val="nr_26ab6c644b534756aec66ea3ca28ef54"/>
                          <w:lock w:val="sdtLocked"/>
                          <w:richText/>
                        </w:sdtPr>
                        <w:sdtContent>
                          <w:r>
                            <w:rPr>
                              <w:color w:val="000000"/>
                              <w:szCs w:val="24"/>
                              <w:lang w:val="lt" w:eastAsia="lt-LT"/>
                            </w:rPr>
                            <w:t>2.1</w:t>
                          </w:r>
                        </w:sdtContent>
                      </w:sdt>
                      <w:r>
                        <w:rPr>
                          <w:color w:val="000000"/>
                          <w:szCs w:val="24"/>
                          <w:lang w:val="lt" w:eastAsia="lt-LT"/>
                        </w:rPr>
                        <w:t>.</w:t>
                      </w:r>
                      <w:r>
                        <w:rPr>
                          <w:b/>
                          <w:bCs/>
                          <w:color w:val="000000"/>
                          <w:szCs w:val="24"/>
                          <w:lang w:val="lt" w:eastAsia="lt-LT"/>
                        </w:rPr>
                        <w:t xml:space="preserve"> Adjuvantinė hormonų terapija </w:t>
                      </w:r>
                      <w:r>
                        <w:rPr>
                          <w:color w:val="000000"/>
                          <w:szCs w:val="24"/>
                          <w:lang w:val="lt" w:eastAsia="lt-LT"/>
                        </w:rPr>
                        <w:t>– priešinės liaukos piktybinio naviko</w:t>
                      </w:r>
                      <w:r>
                        <w:rPr>
                          <w:b/>
                          <w:bCs/>
                          <w:color w:val="000000"/>
                          <w:szCs w:val="24"/>
                          <w:lang w:val="lt" w:eastAsia="lt-LT"/>
                        </w:rPr>
                        <w:t xml:space="preserve"> </w:t>
                      </w:r>
                      <w:r>
                        <w:rPr>
                          <w:color w:val="000000"/>
                          <w:szCs w:val="24"/>
                          <w:lang w:val="lt" w:eastAsia="lt-LT"/>
                        </w:rPr>
                        <w:t xml:space="preserve">gydymas hormoniniais vaistais po taikyto radikaliojo gydymo. </w:t>
                      </w:r>
                    </w:p>
                  </w:sdtContent>
                </w:sdt>
                <w:sdt>
                  <w:sdtPr>
                    <w:alias w:val="2.2 pp."/>
                    <w:tag w:val="part_4e1085f3476240fe81decf54a96aec36"/>
                    <w:lock w:val="sdtLocked"/>
                    <w:richText/>
                  </w:sdtPr>
                  <w:sdtContent>
                    <w:p w14:paraId="50CA2B5C" w14:textId="4B4B121F">
                      <w:pPr>
                        <w:widowControl w:val="0"/>
                        <w:ind w:firstLine="709"/>
                        <w:jc w:val="both"/>
                        <w:rPr>
                          <w:color w:val="000000"/>
                          <w:szCs w:val="24"/>
                          <w:lang w:val="lt" w:eastAsia="lt-LT"/>
                        </w:rPr>
                      </w:pPr>
                      <w:sdt>
                        <w:sdtPr>
                          <w:alias w:val="Numeris"/>
                          <w:tag w:val="nr_4e1085f3476240fe81decf54a96aec36"/>
                          <w:lock w:val="sdtLocked"/>
                          <w:richText/>
                        </w:sdtPr>
                        <w:sdtContent>
                          <w:r>
                            <w:rPr>
                              <w:color w:val="000000"/>
                              <w:szCs w:val="24"/>
                              <w:lang w:val="lt" w:eastAsia="lt-LT"/>
                            </w:rPr>
                            <w:t>2.2</w:t>
                          </w:r>
                        </w:sdtContent>
                      </w:sdt>
                      <w:r>
                        <w:rPr>
                          <w:color w:val="000000"/>
                          <w:szCs w:val="24"/>
                          <w:lang w:val="lt" w:eastAsia="lt-LT"/>
                        </w:rPr>
                        <w:t>.</w:t>
                      </w:r>
                      <w:r>
                        <w:rPr>
                          <w:b/>
                          <w:bCs/>
                          <w:color w:val="000000"/>
                          <w:szCs w:val="24"/>
                          <w:lang w:val="lt" w:eastAsia="lt-LT"/>
                        </w:rPr>
                        <w:t xml:space="preserve"> Biocheminis atkrytis po radikaliosios prostatektomijos </w:t>
                      </w:r>
                      <w:r>
                        <w:rPr>
                          <w:color w:val="000000"/>
                          <w:szCs w:val="24"/>
                          <w:lang w:val="lt" w:eastAsia="lt-LT"/>
                        </w:rPr>
                        <w:t>– du kartus iš eilės atlikto tyrimo metu nustatytas prostatos specifinio antigeno dydis 0,2 ng/ml ir daugiau.</w:t>
                      </w:r>
                    </w:p>
                  </w:sdtContent>
                </w:sdt>
                <w:sdt>
                  <w:sdtPr>
                    <w:alias w:val="2.3 pp."/>
                    <w:tag w:val="part_fba44928ecf241aa9f347df7f030fa19"/>
                    <w:lock w:val="sdtLocked"/>
                    <w:richText/>
                  </w:sdtPr>
                  <w:sdtContent>
                    <w:p w14:paraId="50CA2B5D" w14:textId="77777777">
                      <w:pPr>
                        <w:widowControl w:val="0"/>
                        <w:ind w:firstLine="709"/>
                        <w:jc w:val="both"/>
                        <w:rPr>
                          <w:color w:val="000000"/>
                          <w:szCs w:val="24"/>
                          <w:lang w:val="lt" w:eastAsia="lt-LT"/>
                        </w:rPr>
                      </w:pPr>
                      <w:sdt>
                        <w:sdtPr>
                          <w:alias w:val="Numeris"/>
                          <w:tag w:val="nr_fba44928ecf241aa9f347df7f030fa19"/>
                          <w:lock w:val="sdtLocked"/>
                          <w:richText/>
                        </w:sdtPr>
                        <w:sdtContent>
                          <w:r>
                            <w:rPr>
                              <w:color w:val="000000"/>
                              <w:szCs w:val="24"/>
                              <w:lang w:val="lt" w:eastAsia="lt-LT"/>
                            </w:rPr>
                            <w:t>2.3</w:t>
                          </w:r>
                        </w:sdtContent>
                      </w:sdt>
                      <w:r>
                        <w:rPr>
                          <w:color w:val="000000"/>
                          <w:szCs w:val="24"/>
                          <w:lang w:val="lt" w:eastAsia="lt-LT"/>
                        </w:rPr>
                        <w:t>.</w:t>
                      </w:r>
                      <w:r>
                        <w:rPr>
                          <w:b/>
                          <w:bCs/>
                          <w:color w:val="000000"/>
                          <w:szCs w:val="24"/>
                          <w:lang w:val="lt" w:eastAsia="lt-LT"/>
                        </w:rPr>
                        <w:t xml:space="preserve"> Biocheminis atkrytis po radikaliojo radioterapinio priešinės liaukos piktybinio naviko gydymo</w:t>
                      </w:r>
                      <w:r>
                        <w:rPr>
                          <w:color w:val="000000"/>
                          <w:szCs w:val="24"/>
                          <w:lang w:val="lt" w:eastAsia="lt-LT"/>
                        </w:rPr>
                        <w:t xml:space="preserve"> – prostatos specifinio antigeno padidėjimas, palyginti su žemiausiu pasiektu prostatos specifinio antigeno lygiu po radikaliojo radioterapinio gydymo, 2 ng/ml arba daugiau.  </w:t>
                      </w:r>
                    </w:p>
                  </w:sdtContent>
                </w:sdt>
                <w:sdt>
                  <w:sdtPr>
                    <w:alias w:val="2.4 pp."/>
                    <w:tag w:val="part_eb9712f39f044ceaaba9f4cd42aed0a7"/>
                    <w:lock w:val="sdtLocked"/>
                    <w:richText/>
                  </w:sdtPr>
                  <w:sdtContent>
                    <w:p w14:paraId="66F436F3" w14:textId="77777777">
                      <w:pPr>
                        <w:widowControl w:val="0"/>
                        <w:suppressAutoHyphens/>
                        <w:ind w:firstLine="709"/>
                        <w:jc w:val="both"/>
                        <w:rPr>
                          <w:color w:val="000000"/>
                          <w:szCs w:val="24"/>
                          <w:lang w:val="lt" w:eastAsia="lt-LT"/>
                        </w:rPr>
                      </w:pPr>
                      <w:sdt>
                        <w:sdtPr>
                          <w:alias w:val="Numeris"/>
                          <w:tag w:val="nr_eb9712f39f044ceaaba9f4cd42aed0a7"/>
                          <w:lock w:val="sdtLocked"/>
                          <w:richText/>
                        </w:sdtPr>
                        <w:sdtContent>
                          <w:r>
                            <w:rPr>
                              <w:color w:val="000000"/>
                              <w:szCs w:val="24"/>
                              <w:lang w:val="lt" w:eastAsia="lt-LT"/>
                            </w:rPr>
                            <w:t>2.4</w:t>
                          </w:r>
                        </w:sdtContent>
                      </w:sdt>
                      <w:r>
                        <w:rPr>
                          <w:color w:val="000000"/>
                          <w:szCs w:val="24"/>
                          <w:lang w:val="lt" w:eastAsia="lt-LT"/>
                        </w:rPr>
                        <w:t xml:space="preserve">. </w:t>
                      </w:r>
                      <w:r>
                        <w:rPr>
                          <w:b/>
                          <w:bCs/>
                          <w:color w:val="000000"/>
                          <w:szCs w:val="24"/>
                          <w:lang w:val="lt" w:eastAsia="lt-LT"/>
                        </w:rPr>
                        <w:t>Child</w:t>
                      </w:r>
                      <w:r>
                        <w:rPr>
                          <w:color w:val="000000"/>
                          <w:szCs w:val="24"/>
                          <w:lang w:val="lt" w:eastAsia="lt-LT"/>
                        </w:rPr>
                        <w:t>-</w:t>
                      </w:r>
                      <w:r>
                        <w:rPr>
                          <w:b/>
                          <w:bCs/>
                          <w:color w:val="000000"/>
                          <w:szCs w:val="24"/>
                          <w:lang w:val="lt" w:eastAsia="lt-LT"/>
                        </w:rPr>
                        <w:t xml:space="preserve">Pugh skalė </w:t>
                      </w:r>
                      <w:r>
                        <w:rPr>
                          <w:color w:val="000000"/>
                          <w:szCs w:val="24"/>
                          <w:lang w:val="lt" w:eastAsia="lt-LT"/>
                        </w:rPr>
                        <w:t>–</w:t>
                      </w:r>
                      <w:r>
                        <w:rPr>
                          <w:b/>
                          <w:bCs/>
                          <w:color w:val="000000"/>
                          <w:szCs w:val="24"/>
                          <w:lang w:val="lt" w:eastAsia="lt-LT"/>
                        </w:rPr>
                        <w:t xml:space="preserve"> </w:t>
                      </w:r>
                      <w:r>
                        <w:rPr>
                          <w:color w:val="000000"/>
                          <w:szCs w:val="24"/>
                          <w:lang w:val="lt" w:eastAsia="lt-LT"/>
                        </w:rPr>
                        <w:t>skalė, kuria išreiškiamas kepenų nepakankamumo lygis.</w:t>
                      </w:r>
                    </w:p>
                  </w:sdtContent>
                </w:sdt>
                <w:sdt>
                  <w:sdtPr>
                    <w:alias w:val="2.5 pp."/>
                    <w:tag w:val="part_30fbbb2d957a48b7a66de25d53305dbe"/>
                    <w:lock w:val="sdtLocked"/>
                    <w:richText/>
                  </w:sdtPr>
                  <w:sdtContent>
                    <w:p w14:paraId="50CA2B5E" w14:textId="6A84F831">
                      <w:pPr>
                        <w:widowControl w:val="0"/>
                        <w:suppressAutoHyphens/>
                        <w:ind w:firstLine="709"/>
                        <w:jc w:val="both"/>
                        <w:rPr>
                          <w:color w:val="000000"/>
                          <w:szCs w:val="24"/>
                          <w:lang w:val="lt" w:eastAsia="lt-LT"/>
                        </w:rPr>
                      </w:pPr>
                      <w:sdt>
                        <w:sdtPr>
                          <w:alias w:val="Numeris"/>
                          <w:tag w:val="nr_30fbbb2d957a48b7a66de25d53305dbe"/>
                          <w:lock w:val="sdtLocked"/>
                          <w:richText/>
                        </w:sdtPr>
                        <w:sdtContent>
                          <w:r>
                            <w:rPr>
                              <w:color w:val="000000"/>
                              <w:szCs w:val="24"/>
                              <w:lang w:val="lt" w:eastAsia="lt-LT"/>
                            </w:rPr>
                            <w:t>2.5</w:t>
                          </w:r>
                        </w:sdtContent>
                      </w:sdt>
                      <w:r>
                        <w:rPr>
                          <w:color w:val="000000"/>
                          <w:szCs w:val="24"/>
                          <w:lang w:val="lt" w:eastAsia="lt-LT"/>
                        </w:rPr>
                        <w:t xml:space="preserve">. </w:t>
                      </w:r>
                      <w:r>
                        <w:rPr>
                          <w:b/>
                          <w:bCs/>
                          <w:color w:val="000000"/>
                          <w:szCs w:val="24"/>
                          <w:lang w:val="lt" w:eastAsia="lt-LT"/>
                        </w:rPr>
                        <w:t>Chirurginė kastracija</w:t>
                      </w:r>
                      <w:r>
                        <w:rPr>
                          <w:color w:val="000000"/>
                          <w:szCs w:val="24"/>
                          <w:lang w:val="lt" w:eastAsia="lt-LT"/>
                        </w:rPr>
                        <w:t xml:space="preserve"> – d</w:t>
                      </w:r>
                      <w:r>
                        <w:rPr>
                          <w:szCs w:val="24"/>
                          <w:lang w:val="lt" w:eastAsia="lt-LT"/>
                        </w:rPr>
                        <w:t>alinis (enukleacija) arba visiškas (orchiektomija) sėklidžių pašalinimas.</w:t>
                      </w:r>
                    </w:p>
                  </w:sdtContent>
                </w:sdt>
                <w:sdt>
                  <w:sdtPr>
                    <w:alias w:val="2.6 pp."/>
                    <w:tag w:val="part_0f51744a702b4186bbda7b1cd7cb29ea"/>
                    <w:lock w:val="sdtLocked"/>
                    <w:richText/>
                  </w:sdtPr>
                  <w:sdtContent>
                    <w:p w14:paraId="50CA2B5F" w14:textId="47ACF9D3">
                      <w:pPr>
                        <w:widowControl w:val="0"/>
                        <w:ind w:firstLine="709"/>
                        <w:jc w:val="both"/>
                        <w:rPr>
                          <w:color w:val="000000"/>
                          <w:szCs w:val="24"/>
                          <w:lang w:val="lt" w:eastAsia="lt-LT"/>
                        </w:rPr>
                      </w:pPr>
                      <w:sdt>
                        <w:sdtPr>
                          <w:alias w:val="Numeris"/>
                          <w:tag w:val="nr_0f51744a702b4186bbda7b1cd7cb29ea"/>
                          <w:lock w:val="sdtLocked"/>
                          <w:richText/>
                        </w:sdtPr>
                        <w:sdtContent>
                          <w:r>
                            <w:rPr>
                              <w:szCs w:val="24"/>
                              <w:lang w:val="lt" w:eastAsia="lt-LT"/>
                            </w:rPr>
                            <w:t>2.6</w:t>
                          </w:r>
                        </w:sdtContent>
                      </w:sdt>
                      <w:r>
                        <w:rPr>
                          <w:szCs w:val="24"/>
                          <w:lang w:val="lt" w:eastAsia="lt-LT"/>
                        </w:rPr>
                        <w:t>.</w:t>
                      </w:r>
                      <w:r>
                        <w:rPr>
                          <w:b/>
                          <w:bCs/>
                          <w:szCs w:val="24"/>
                          <w:lang w:val="lt" w:eastAsia="lt-LT"/>
                        </w:rPr>
                        <w:t xml:space="preserve"> ECOG skalė</w:t>
                      </w:r>
                      <w:r>
                        <w:rPr>
                          <w:szCs w:val="24"/>
                          <w:lang w:val="lt" w:eastAsia="lt-LT"/>
                        </w:rPr>
                        <w:t xml:space="preserve"> – Rytų jungtinės onkologijos grupės (angl. </w:t>
                      </w:r>
                      <w:r>
                        <w:rPr>
                          <w:i/>
                          <w:iCs/>
                          <w:szCs w:val="24"/>
                          <w:lang w:val="lt" w:eastAsia="lt-LT"/>
                        </w:rPr>
                        <w:t>Eastern Cooperative Oncology Group)</w:t>
                      </w:r>
                      <w:r>
                        <w:rPr>
                          <w:szCs w:val="24"/>
                          <w:lang w:val="lt" w:eastAsia="lt-LT"/>
                        </w:rPr>
                        <w:t xml:space="preserve"> sukurta pacientų funkcinės būklės vertinimo skalė.</w:t>
                      </w:r>
                    </w:p>
                  </w:sdtContent>
                </w:sdt>
                <w:sdt>
                  <w:sdtPr>
                    <w:alias w:val="2.7 pp."/>
                    <w:tag w:val="part_0318c2a12835427bbb4478d29af41de4"/>
                    <w:lock w:val="sdtLocked"/>
                    <w:richText/>
                  </w:sdtPr>
                  <w:sdtContent>
                    <w:p w14:paraId="50CA2B60" w14:textId="57B8958E">
                      <w:pPr>
                        <w:widowControl w:val="0"/>
                        <w:ind w:firstLine="709"/>
                        <w:jc w:val="both"/>
                        <w:rPr>
                          <w:color w:val="333333"/>
                          <w:szCs w:val="24"/>
                          <w:lang w:val="lt" w:eastAsia="lt-LT"/>
                        </w:rPr>
                      </w:pPr>
                      <w:sdt>
                        <w:sdtPr>
                          <w:alias w:val="Numeris"/>
                          <w:tag w:val="nr_0318c2a12835427bbb4478d29af41de4"/>
                          <w:lock w:val="sdtLocked"/>
                          <w:richText/>
                        </w:sdtPr>
                        <w:sdtContent>
                          <w:r>
                            <w:rPr>
                              <w:szCs w:val="24"/>
                              <w:lang w:val="lt" w:eastAsia="lt-LT"/>
                            </w:rPr>
                            <w:t>2.7</w:t>
                          </w:r>
                        </w:sdtContent>
                      </w:sdt>
                      <w:r>
                        <w:rPr>
                          <w:szCs w:val="24"/>
                          <w:lang w:val="lt" w:eastAsia="lt-LT"/>
                        </w:rPr>
                        <w:t>.</w:t>
                      </w:r>
                      <w:r>
                        <w:rPr>
                          <w:b/>
                          <w:bCs/>
                          <w:szCs w:val="24"/>
                          <w:lang w:val="lt" w:eastAsia="lt-LT"/>
                        </w:rPr>
                        <w:t xml:space="preserve"> Gleasono sistema</w:t>
                      </w:r>
                      <w:r>
                        <w:rPr>
                          <w:szCs w:val="24"/>
                          <w:lang w:val="lt" w:eastAsia="lt-LT"/>
                        </w:rPr>
                        <w:t xml:space="preserve"> (angl. </w:t>
                      </w:r>
                      <w:r>
                        <w:rPr>
                          <w:i/>
                          <w:iCs/>
                          <w:szCs w:val="24"/>
                          <w:lang w:val="lt" w:eastAsia="lt-LT"/>
                        </w:rPr>
                        <w:t>Gleason score</w:t>
                      </w:r>
                      <w:r>
                        <w:rPr>
                          <w:szCs w:val="24"/>
                          <w:lang w:val="lt" w:eastAsia="lt-LT"/>
                        </w:rPr>
                        <w:t>) – priešinės liaukos piktybinio naviko diferenciacijos laipsnio vertinimo sistema, kurią taikant mikroskopiškai vertinama naviko ląstelių struktūra ir sudedami dviejų labiausiai paplitusių struktūrų balai.</w:t>
                      </w:r>
                      <w:r>
                        <w:rPr>
                          <w:color w:val="333333"/>
                          <w:szCs w:val="24"/>
                          <w:lang w:val="lt" w:eastAsia="lt-LT"/>
                        </w:rPr>
                        <w:t xml:space="preserve"> </w:t>
                      </w:r>
                    </w:p>
                  </w:sdtContent>
                </w:sdt>
                <w:sdt>
                  <w:sdtPr>
                    <w:alias w:val="2.8 pp."/>
                    <w:tag w:val="part_c2ccb535ae0346baa2ea6f56e51a41aa"/>
                    <w:lock w:val="sdtLocked"/>
                    <w:richText/>
                  </w:sdtPr>
                  <w:sdtContent>
                    <w:p w14:paraId="50CA2B61" w14:textId="5831C2F3">
                      <w:pPr>
                        <w:widowControl w:val="0"/>
                        <w:ind w:firstLine="709"/>
                        <w:jc w:val="both"/>
                        <w:rPr>
                          <w:szCs w:val="24"/>
                          <w:lang w:val="lt" w:eastAsia="lt-LT"/>
                        </w:rPr>
                      </w:pPr>
                      <w:sdt>
                        <w:sdtPr>
                          <w:alias w:val="Numeris"/>
                          <w:tag w:val="nr_c2ccb535ae0346baa2ea6f56e51a41aa"/>
                          <w:lock w:val="sdtLocked"/>
                          <w:richText/>
                        </w:sdtPr>
                        <w:sdtContent>
                          <w:r>
                            <w:rPr>
                              <w:color w:val="333333"/>
                              <w:szCs w:val="24"/>
                              <w:lang w:val="lt" w:eastAsia="lt-LT"/>
                            </w:rPr>
                            <w:t>2.8</w:t>
                          </w:r>
                        </w:sdtContent>
                      </w:sdt>
                      <w:r>
                        <w:rPr>
                          <w:color w:val="333333"/>
                          <w:szCs w:val="24"/>
                          <w:lang w:val="lt" w:eastAsia="lt-LT"/>
                        </w:rPr>
                        <w:t xml:space="preserve">. </w:t>
                      </w:r>
                      <w:r>
                        <w:rPr>
                          <w:b/>
                          <w:bCs/>
                          <w:szCs w:val="24"/>
                          <w:lang w:val="lt" w:eastAsia="lt-LT"/>
                        </w:rPr>
                        <w:t xml:space="preserve">Gleasono balai </w:t>
                      </w:r>
                      <w:r>
                        <w:rPr>
                          <w:szCs w:val="24"/>
                          <w:lang w:val="lt" w:eastAsia="lt-LT"/>
                        </w:rPr>
                        <w:t>– pagal Gleasono sistemą vertinamos priešinės liaukos piktybinio naviko ląstelių struktūros pokytis (diferenciacijos laipsnis), išreikštas balais.</w:t>
                      </w:r>
                    </w:p>
                  </w:sdtContent>
                </w:sdt>
                <w:sdt>
                  <w:sdtPr>
                    <w:alias w:val="2.9 pp."/>
                    <w:tag w:val="part_1e842dfc34684b73aafc99ea316b12b2"/>
                    <w:lock w:val="sdtLocked"/>
                    <w:richText/>
                  </w:sdtPr>
                  <w:sdtContent>
                    <w:p w14:paraId="50CA2B62" w14:textId="07909D19">
                      <w:pPr>
                        <w:widowControl w:val="0"/>
                        <w:ind w:firstLine="709"/>
                        <w:jc w:val="both"/>
                        <w:rPr>
                          <w:b/>
                          <w:bCs/>
                          <w:color w:val="000000"/>
                          <w:szCs w:val="24"/>
                          <w:lang w:val="lt" w:eastAsia="lt-LT"/>
                        </w:rPr>
                      </w:pPr>
                      <w:sdt>
                        <w:sdtPr>
                          <w:alias w:val="Numeris"/>
                          <w:tag w:val="nr_1e842dfc34684b73aafc99ea316b12b2"/>
                          <w:lock w:val="sdtLocked"/>
                          <w:richText/>
                        </w:sdtPr>
                        <w:sdtContent>
                          <w:r>
                            <w:rPr>
                              <w:color w:val="000000"/>
                              <w:szCs w:val="24"/>
                              <w:lang w:val="lt" w:eastAsia="lt-LT"/>
                            </w:rPr>
                            <w:t>2.9</w:t>
                          </w:r>
                        </w:sdtContent>
                      </w:sdt>
                      <w:r>
                        <w:rPr>
                          <w:color w:val="000000"/>
                          <w:szCs w:val="24"/>
                          <w:lang w:val="lt" w:eastAsia="lt-LT"/>
                        </w:rPr>
                        <w:t>.</w:t>
                      </w:r>
                      <w:r>
                        <w:rPr>
                          <w:b/>
                          <w:bCs/>
                          <w:color w:val="000000"/>
                          <w:szCs w:val="24"/>
                          <w:lang w:val="lt" w:eastAsia="lt-LT"/>
                        </w:rPr>
                        <w:t xml:space="preserve"> Kastracijai atsparus priešinės liaukos piktybinis navikas</w:t>
                      </w:r>
                      <w:r>
                        <w:rPr>
                          <w:color w:val="000000"/>
                          <w:szCs w:val="24"/>
                          <w:lang w:val="lt" w:eastAsia="lt-LT"/>
                        </w:rPr>
                        <w:t xml:space="preserve"> – priešinės liaukos piktybinis navikas, kai </w:t>
                      </w:r>
                      <w:r>
                        <w:rPr>
                          <w:szCs w:val="24"/>
                          <w:lang w:val="lt" w:eastAsia="lt-LT"/>
                        </w:rPr>
                        <w:t>gydant vaistais arba chirurgine kastracija</w:t>
                      </w:r>
                      <w:r>
                        <w:rPr>
                          <w:color w:val="000000"/>
                          <w:szCs w:val="24"/>
                          <w:lang w:val="lt" w:eastAsia="lt-LT"/>
                        </w:rPr>
                        <w:t>, tris kartus iš eilės 2 savaičių periodiškumu atlikto paskutinio tyrimo metu nustatomas prostatos specifinio antigeno dydis 2 ng/ml ir daugiau, o kastracinis testosterono lygis kraujo serume yra mažesnis nei 1,7 nmol/l.</w:t>
                      </w:r>
                    </w:p>
                    <w:p w14:paraId="50CA2B63" w14:textId="77777777">
                      <w:pPr>
                        <w:widowControl w:val="0"/>
                        <w:ind w:firstLine="62"/>
                        <w:jc w:val="both"/>
                        <w:rPr>
                          <w:color w:val="000000"/>
                          <w:szCs w:val="24"/>
                          <w:lang w:val="lt" w:eastAsia="lt-LT"/>
                        </w:rPr>
                      </w:pPr>
                    </w:p>
                    <w:p w14:paraId="50CA2B64" w14:textId="77777777">
                      <w:pPr>
                        <w:widowControl w:val="0"/>
                        <w:jc w:val="both"/>
                        <w:rPr>
                          <w:color w:val="000000"/>
                          <w:szCs w:val="24"/>
                          <w:lang w:val="lt" w:eastAsia="lt-LT"/>
                        </w:rPr>
                      </w:pPr>
                    </w:p>
                    <w:p w14:paraId="50CA2B65" w14:textId="77777777">
                      <w:pPr>
                        <w:widowControl w:val="0"/>
                        <w:jc w:val="both"/>
                        <w:rPr>
                          <w:color w:val="000000"/>
                          <w:szCs w:val="24"/>
                          <w:lang w:val="lt" w:eastAsia="lt-LT"/>
                        </w:rPr>
                      </w:pPr>
                    </w:p>
                  </w:sdtContent>
                </w:sdt>
                <w:sdt>
                  <w:sdtPr>
                    <w:alias w:val="2.10 pp."/>
                    <w:tag w:val="part_011df3d4055647c39f27a1196d5e0fdf"/>
                    <w:lock w:val="sdtLocked"/>
                    <w:richText/>
                  </w:sdtPr>
                  <w:sdtContent>
                    <w:p w14:paraId="50CA2B66" w14:textId="2F0352E2">
                      <w:pPr>
                        <w:widowControl w:val="0"/>
                        <w:ind w:firstLine="709"/>
                        <w:jc w:val="both"/>
                        <w:rPr>
                          <w:szCs w:val="24"/>
                          <w:lang w:val="lt" w:eastAsia="lt-LT"/>
                        </w:rPr>
                      </w:pPr>
                      <w:sdt>
                        <w:sdtPr>
                          <w:alias w:val="Numeris"/>
                          <w:tag w:val="nr_011df3d4055647c39f27a1196d5e0fdf"/>
                          <w:lock w:val="sdtLocked"/>
                          <w:richText/>
                        </w:sdtPr>
                        <w:sdtContent>
                          <w:r>
                            <w:rPr>
                              <w:szCs w:val="24"/>
                              <w:lang w:val="lt" w:eastAsia="lt-LT"/>
                            </w:rPr>
                            <w:t>2.10</w:t>
                          </w:r>
                        </w:sdtContent>
                      </w:sdt>
                      <w:r>
                        <w:rPr>
                          <w:szCs w:val="24"/>
                          <w:lang w:val="lt" w:eastAsia="lt-LT"/>
                        </w:rPr>
                        <w:t>.</w:t>
                      </w:r>
                      <w:r>
                        <w:rPr>
                          <w:b/>
                          <w:bCs/>
                          <w:szCs w:val="24"/>
                          <w:lang w:val="lt" w:eastAsia="lt-LT"/>
                        </w:rPr>
                        <w:t xml:space="preserve"> Kastracijai jautrus priešinės liaukos piktybinis navikas</w:t>
                      </w:r>
                      <w:r>
                        <w:rPr>
                          <w:szCs w:val="24"/>
                          <w:lang w:val="lt" w:eastAsia="lt-LT"/>
                        </w:rPr>
                        <w:t xml:space="preserve"> – priešinės liaukos piktybinis navikas, </w:t>
                      </w:r>
                      <w:r>
                        <w:rPr>
                          <w:color w:val="000000"/>
                          <w:szCs w:val="24"/>
                          <w:lang w:val="lt" w:eastAsia="lt-LT"/>
                        </w:rPr>
                        <w:t>kai</w:t>
                      </w:r>
                      <w:r>
                        <w:rPr>
                          <w:szCs w:val="24"/>
                          <w:lang w:val="lt" w:eastAsia="lt-LT"/>
                        </w:rPr>
                        <w:t xml:space="preserve"> gydant vaistais arba chirurgine kastracija</w:t>
                      </w:r>
                      <w:r>
                        <w:rPr>
                          <w:color w:val="000000"/>
                          <w:szCs w:val="24"/>
                          <w:lang w:val="lt" w:eastAsia="lt-LT"/>
                        </w:rPr>
                        <w:t>,</w:t>
                      </w:r>
                      <w:r>
                        <w:rPr>
                          <w:szCs w:val="24"/>
                          <w:lang w:val="lt" w:eastAsia="lt-LT"/>
                        </w:rPr>
                        <w:t xml:space="preserve"> </w:t>
                      </w:r>
                      <w:r>
                        <w:rPr>
                          <w:color w:val="000000"/>
                          <w:szCs w:val="24"/>
                          <w:lang w:val="lt" w:eastAsia="lt-LT"/>
                        </w:rPr>
                        <w:t>kastracinis testosterono lygis kraujo serume yra mažesnis nei 1,7 nmol/l,</w:t>
                      </w:r>
                      <w:r>
                        <w:rPr>
                          <w:szCs w:val="24"/>
                          <w:lang w:val="lt" w:eastAsia="lt-LT"/>
                        </w:rPr>
                        <w:t xml:space="preserve"> o prostatos specifinio antigeno lygis, palyginti su buvusiu gydymo pradžioje, sumažėjęs.</w:t>
                      </w:r>
                    </w:p>
                  </w:sdtContent>
                </w:sdt>
                <w:sdt>
                  <w:sdtPr>
                    <w:alias w:val="2.11 pp."/>
                    <w:tag w:val="part_51a37363ab2544198b6d91c60b88c9e0"/>
                    <w:lock w:val="sdtLocked"/>
                    <w:richText/>
                  </w:sdtPr>
                  <w:sdtContent>
                    <w:p w14:paraId="08D342F7" w14:textId="77777777">
                      <w:pPr>
                        <w:widowControl w:val="0"/>
                        <w:ind w:firstLine="709"/>
                        <w:jc w:val="both"/>
                        <w:rPr>
                          <w:szCs w:val="24"/>
                          <w:lang w:val="lt" w:eastAsia="lt-LT"/>
                        </w:rPr>
                      </w:pPr>
                      <w:sdt>
                        <w:sdtPr>
                          <w:alias w:val="Numeris"/>
                          <w:tag w:val="nr_51a37363ab2544198b6d91c60b88c9e0"/>
                          <w:lock w:val="sdtLocked"/>
                          <w:richText/>
                        </w:sdtPr>
                        <w:sdtContent>
                          <w:r>
                            <w:rPr>
                              <w:color w:val="000000"/>
                              <w:szCs w:val="24"/>
                              <w:lang w:val="lt" w:eastAsia="lt-LT"/>
                            </w:rPr>
                            <w:t>2.11</w:t>
                          </w:r>
                        </w:sdtContent>
                      </w:sdt>
                      <w:r>
                        <w:rPr>
                          <w:color w:val="000000"/>
                          <w:szCs w:val="24"/>
                          <w:lang w:val="lt" w:eastAsia="lt-LT"/>
                        </w:rPr>
                        <w:t>.</w:t>
                      </w:r>
                      <w:r>
                        <w:rPr>
                          <w:b/>
                          <w:bCs/>
                          <w:color w:val="000000"/>
                          <w:szCs w:val="24"/>
                          <w:lang w:val="lt" w:eastAsia="lt-LT"/>
                        </w:rPr>
                        <w:t xml:space="preserve"> Kastracija vaistais </w:t>
                      </w:r>
                      <w:r>
                        <w:rPr>
                          <w:color w:val="000000"/>
                          <w:szCs w:val="24"/>
                          <w:lang w:val="lt" w:eastAsia="lt-LT"/>
                        </w:rPr>
                        <w:t xml:space="preserve">– testosterono gamybos slopinimas sėklidėse skiriant gydymą </w:t>
                      </w:r>
                      <w:r>
                        <w:rPr>
                          <w:szCs w:val="24"/>
                          <w:lang w:val="lt" w:eastAsia="lt-LT"/>
                        </w:rPr>
                        <w:t xml:space="preserve">gonadotropino išskyrimą skatinančio </w:t>
                      </w:r>
                      <w:r>
                        <w:rPr>
                          <w:color w:val="000000"/>
                          <w:szCs w:val="24"/>
                          <w:lang w:val="lt" w:eastAsia="lt-LT"/>
                        </w:rPr>
                        <w:t xml:space="preserve">hormono </w:t>
                      </w:r>
                      <w:r>
                        <w:rPr>
                          <w:szCs w:val="24"/>
                          <w:lang w:val="lt" w:eastAsia="lt-LT"/>
                        </w:rPr>
                        <w:t xml:space="preserve">analogais ar gonadotropino išskyrimą skatinančiu hormonu. </w:t>
                      </w:r>
                    </w:p>
                  </w:sdtContent>
                </w:sdt>
                <w:sdt>
                  <w:sdtPr>
                    <w:alias w:val="2.12 pp."/>
                    <w:tag w:val="part_ac97ce5401e7462bb099bd03d643d106"/>
                    <w:lock w:val="sdtLocked"/>
                    <w:richText/>
                  </w:sdtPr>
                  <w:sdtContent>
                    <w:p w14:paraId="50CA2B67" w14:textId="3A05BF22">
                      <w:pPr>
                        <w:widowControl w:val="0"/>
                        <w:ind w:firstLine="709"/>
                        <w:jc w:val="both"/>
                        <w:rPr>
                          <w:b/>
                          <w:bCs/>
                          <w:color w:val="000000"/>
                          <w:szCs w:val="24"/>
                          <w:lang w:val="lt" w:eastAsia="lt-LT"/>
                        </w:rPr>
                      </w:pPr>
                      <w:sdt>
                        <w:sdtPr>
                          <w:alias w:val="Numeris"/>
                          <w:tag w:val="nr_ac97ce5401e7462bb099bd03d643d106"/>
                          <w:lock w:val="sdtLocked"/>
                          <w:richText/>
                        </w:sdtPr>
                        <w:sdtContent>
                          <w:r>
                            <w:rPr>
                              <w:color w:val="000000"/>
                              <w:szCs w:val="24"/>
                              <w:lang w:val="lt" w:eastAsia="lt-LT"/>
                            </w:rPr>
                            <w:t>2.12</w:t>
                          </w:r>
                        </w:sdtContent>
                      </w:sdt>
                      <w:r>
                        <w:rPr>
                          <w:color w:val="000000"/>
                          <w:szCs w:val="24"/>
                          <w:lang w:val="lt" w:eastAsia="lt-LT"/>
                        </w:rPr>
                        <w:t xml:space="preserve">. </w:t>
                      </w:r>
                      <w:r>
                        <w:rPr>
                          <w:b/>
                          <w:bCs/>
                          <w:color w:val="000000"/>
                          <w:szCs w:val="24"/>
                          <w:lang w:val="lt" w:eastAsia="lt-LT"/>
                        </w:rPr>
                        <w:t>Kaulų metastazių gydymo atsako kriterijai (</w:t>
                      </w:r>
                      <w:r>
                        <w:rPr>
                          <w:color w:val="000000"/>
                          <w:szCs w:val="24"/>
                          <w:lang w:val="lt" w:eastAsia="lt-LT"/>
                        </w:rPr>
                        <w:t xml:space="preserve">angl. </w:t>
                      </w:r>
                      <w:r>
                        <w:rPr>
                          <w:i/>
                          <w:iCs/>
                          <w:szCs w:val="24"/>
                          <w:lang w:val="lt" w:eastAsia="lt-LT"/>
                        </w:rPr>
                        <w:t>Prostate Cancer Working Group 3 Response Criteria</w:t>
                      </w:r>
                      <w:r>
                        <w:rPr>
                          <w:color w:val="4D4D4D"/>
                          <w:szCs w:val="24"/>
                          <w:lang w:val="lt" w:eastAsia="lt-LT"/>
                        </w:rPr>
                        <w:t xml:space="preserve">) </w:t>
                      </w:r>
                      <w:r>
                        <w:rPr>
                          <w:color w:val="000000"/>
                          <w:szCs w:val="24"/>
                          <w:lang w:val="lt" w:eastAsia="lt-LT"/>
                        </w:rPr>
                        <w:t>–</w:t>
                      </w:r>
                      <w:r>
                        <w:rPr>
                          <w:szCs w:val="24"/>
                          <w:lang w:val="lt" w:eastAsia="lt-LT"/>
                        </w:rPr>
                        <w:t xml:space="preserve"> kriterijai, pagal kuriuos vertinamas kaulų navikų gydymo efektyvumas.</w:t>
                      </w:r>
                      <w:r>
                        <w:rPr>
                          <w:color w:val="000000"/>
                          <w:szCs w:val="24"/>
                          <w:lang w:val="lt" w:eastAsia="lt-LT"/>
                        </w:rPr>
                        <w:t xml:space="preserve"> </w:t>
                      </w:r>
                    </w:p>
                  </w:sdtContent>
                </w:sdt>
                <w:sdt>
                  <w:sdtPr>
                    <w:alias w:val="2.13 pp."/>
                    <w:tag w:val="part_763be768b9234aa6ba2091bf2620ea0b"/>
                    <w:lock w:val="sdtLocked"/>
                    <w:richText/>
                  </w:sdtPr>
                  <w:sdtContent>
                    <w:p w14:paraId="50CA2B68" w14:textId="6733742C">
                      <w:pPr>
                        <w:widowControl w:val="0"/>
                        <w:ind w:firstLine="709"/>
                        <w:jc w:val="both"/>
                        <w:rPr>
                          <w:color w:val="000000"/>
                          <w:szCs w:val="24"/>
                          <w:lang w:val="lt" w:eastAsia="lt-LT"/>
                        </w:rPr>
                      </w:pPr>
                      <w:sdt>
                        <w:sdtPr>
                          <w:alias w:val="Numeris"/>
                          <w:tag w:val="nr_763be768b9234aa6ba2091bf2620ea0b"/>
                          <w:lock w:val="sdtLocked"/>
                          <w:richText/>
                        </w:sdtPr>
                        <w:sdtContent>
                          <w:r>
                            <w:rPr>
                              <w:color w:val="000000"/>
                              <w:szCs w:val="24"/>
                              <w:lang w:val="lt" w:eastAsia="lt-LT"/>
                            </w:rPr>
                            <w:t>2.13</w:t>
                          </w:r>
                        </w:sdtContent>
                      </w:sdt>
                      <w:r>
                        <w:rPr>
                          <w:color w:val="000000"/>
                          <w:szCs w:val="24"/>
                          <w:lang w:val="lt" w:eastAsia="lt-LT"/>
                        </w:rPr>
                        <w:t>.</w:t>
                      </w:r>
                      <w:r>
                        <w:rPr>
                          <w:b/>
                          <w:bCs/>
                          <w:color w:val="000000"/>
                          <w:szCs w:val="24"/>
                          <w:lang w:val="lt" w:eastAsia="lt-LT"/>
                        </w:rPr>
                        <w:t xml:space="preserve"> Neoadjuvantinė hormonų terapija </w:t>
                      </w:r>
                      <w:r>
                        <w:rPr>
                          <w:color w:val="000000"/>
                          <w:szCs w:val="24"/>
                          <w:lang w:val="lt" w:eastAsia="lt-LT"/>
                        </w:rPr>
                        <w:t>– priešinės liaukos piktybinio naviko</w:t>
                      </w:r>
                      <w:r>
                        <w:rPr>
                          <w:b/>
                          <w:bCs/>
                          <w:color w:val="000000"/>
                          <w:szCs w:val="24"/>
                          <w:lang w:val="lt" w:eastAsia="lt-LT"/>
                        </w:rPr>
                        <w:t xml:space="preserve"> </w:t>
                      </w:r>
                      <w:r>
                        <w:rPr>
                          <w:color w:val="000000"/>
                          <w:szCs w:val="24"/>
                          <w:lang w:val="lt" w:eastAsia="lt-LT"/>
                        </w:rPr>
                        <w:t>gydymas hormoniniais vaistais prieš taikant radikalųjį gydymą.</w:t>
                      </w:r>
                    </w:p>
                  </w:sdtContent>
                </w:sdt>
                <w:sdt>
                  <w:sdtPr>
                    <w:alias w:val="2.14 pp."/>
                    <w:tag w:val="part_831e1ef69fa8463cac97a94b9c554b02"/>
                    <w:lock w:val="sdtLocked"/>
                    <w:richText/>
                  </w:sdtPr>
                  <w:sdtContent>
                    <w:p w14:paraId="50CA2B69" w14:textId="644EAE59">
                      <w:pPr>
                        <w:widowControl w:val="0"/>
                        <w:ind w:firstLine="709"/>
                        <w:jc w:val="both"/>
                        <w:rPr>
                          <w:szCs w:val="24"/>
                          <w:lang w:val="lt" w:eastAsia="lt-LT"/>
                        </w:rPr>
                      </w:pPr>
                      <w:sdt>
                        <w:sdtPr>
                          <w:alias w:val="Numeris"/>
                          <w:tag w:val="nr_831e1ef69fa8463cac97a94b9c554b02"/>
                          <w:lock w:val="sdtLocked"/>
                          <w:richText/>
                        </w:sdtPr>
                        <w:sdtContent>
                          <w:r>
                            <w:rPr>
                              <w:szCs w:val="24"/>
                              <w:lang w:val="lt" w:eastAsia="lt-LT"/>
                            </w:rPr>
                            <w:t>2.14</w:t>
                          </w:r>
                        </w:sdtContent>
                      </w:sdt>
                      <w:r>
                        <w:rPr>
                          <w:szCs w:val="24"/>
                          <w:lang w:val="lt" w:eastAsia="lt-LT"/>
                        </w:rPr>
                        <w:t>.</w:t>
                      </w:r>
                      <w:r>
                        <w:rPr>
                          <w:b/>
                          <w:bCs/>
                          <w:szCs w:val="24"/>
                          <w:lang w:val="lt" w:eastAsia="lt-LT"/>
                        </w:rPr>
                        <w:t xml:space="preserve"> Priešinės liaukos piktybinio naviko laipsnio grupė</w:t>
                      </w:r>
                      <w:r>
                        <w:rPr>
                          <w:szCs w:val="24"/>
                          <w:lang w:val="lt" w:eastAsia="lt-LT"/>
                        </w:rPr>
                        <w:t xml:space="preserve"> (angl. </w:t>
                      </w:r>
                      <w:r>
                        <w:rPr>
                          <w:i/>
                          <w:iCs/>
                          <w:szCs w:val="24"/>
                          <w:lang w:val="lt" w:eastAsia="lt-LT"/>
                        </w:rPr>
                        <w:t>Grade Group</w:t>
                      </w:r>
                      <w:r>
                        <w:rPr>
                          <w:szCs w:val="24"/>
                          <w:lang w:val="lt" w:eastAsia="lt-LT"/>
                        </w:rPr>
                        <w:t>) – pagal priešinės liaukos piktybinio naviko diferenciacijos laipsnio vertinimo sistemą, kurią taikant mikroskopiškai vertinama naviko ląstelių struktūra, atsižvelgiant į dviejų labiausiai paplitusių struktūrų balų sumą nustatoma piktybinio naviko rizikos grupė (nuo 1 iki 5).</w:t>
                      </w:r>
                    </w:p>
                  </w:sdtContent>
                </w:sdt>
                <w:sdt>
                  <w:sdtPr>
                    <w:alias w:val="2.15 pp."/>
                    <w:tag w:val="part_cc8a4eabce2148d38d36bee1a7f490d2"/>
                    <w:lock w:val="sdtLocked"/>
                    <w:richText/>
                  </w:sdtPr>
                  <w:sdtContent>
                    <w:p w14:paraId="50CA2B6B" w14:textId="03ED3564">
                      <w:pPr>
                        <w:widowControl w:val="0"/>
                        <w:ind w:firstLine="709"/>
                        <w:jc w:val="both"/>
                        <w:rPr>
                          <w:color w:val="000000"/>
                          <w:szCs w:val="24"/>
                          <w:lang w:val="lt" w:eastAsia="lt-LT"/>
                        </w:rPr>
                      </w:pPr>
                      <w:sdt>
                        <w:sdtPr>
                          <w:alias w:val="Numeris"/>
                          <w:tag w:val="nr_cc8a4eabce2148d38d36bee1a7f490d2"/>
                          <w:lock w:val="sdtLocked"/>
                          <w:richText/>
                        </w:sdtPr>
                        <w:sdtContent>
                          <w:r>
                            <w:rPr>
                              <w:color w:val="000000"/>
                              <w:szCs w:val="24"/>
                              <w:lang w:val="lt" w:eastAsia="lt-LT"/>
                            </w:rPr>
                            <w:t>2.15</w:t>
                          </w:r>
                        </w:sdtContent>
                      </w:sdt>
                      <w:r>
                        <w:rPr>
                          <w:color w:val="000000"/>
                          <w:szCs w:val="24"/>
                          <w:lang w:val="lt" w:eastAsia="lt-LT"/>
                        </w:rPr>
                        <w:t>.</w:t>
                      </w:r>
                      <w:r>
                        <w:rPr>
                          <w:b/>
                          <w:bCs/>
                          <w:color w:val="000000"/>
                          <w:szCs w:val="24"/>
                          <w:lang w:val="lt" w:eastAsia="lt-LT"/>
                        </w:rPr>
                        <w:t xml:space="preserve"> Radikalioji prostatektomija</w:t>
                      </w:r>
                      <w:r>
                        <w:rPr>
                          <w:color w:val="000000"/>
                          <w:szCs w:val="24"/>
                          <w:lang w:val="lt" w:eastAsia="lt-LT"/>
                        </w:rPr>
                        <w:t xml:space="preserve"> – radikalus chirurginis lokalaus priešinės liaukos piktybinio naviko gydymas, pašalinant visą priešinę liauką kartu su sėklinėmis pūslelėmis.</w:t>
                      </w:r>
                    </w:p>
                  </w:sdtContent>
                </w:sdt>
                <w:sdt>
                  <w:sdtPr>
                    <w:alias w:val="2.16 pp."/>
                    <w:tag w:val="part_170ea3b3e9ae4b269d23eb19a5465d21"/>
                    <w:lock w:val="sdtLocked"/>
                    <w:richText/>
                  </w:sdtPr>
                  <w:sdtContent>
                    <w:p w14:paraId="50CA2B6C" w14:textId="4DD3A031">
                      <w:pPr>
                        <w:widowControl w:val="0"/>
                        <w:ind w:firstLine="709"/>
                        <w:jc w:val="both"/>
                        <w:rPr>
                          <w:b/>
                          <w:bCs/>
                          <w:color w:val="000000"/>
                          <w:szCs w:val="24"/>
                          <w:lang w:val="lt" w:eastAsia="lt-LT"/>
                        </w:rPr>
                      </w:pPr>
                      <w:sdt>
                        <w:sdtPr>
                          <w:alias w:val="Numeris"/>
                          <w:tag w:val="nr_170ea3b3e9ae4b269d23eb19a5465d21"/>
                          <w:lock w:val="sdtLocked"/>
                          <w:richText/>
                        </w:sdtPr>
                        <w:sdtContent>
                          <w:r>
                            <w:rPr>
                              <w:color w:val="000000"/>
                              <w:szCs w:val="24"/>
                              <w:lang w:val="lt" w:eastAsia="lt-LT"/>
                            </w:rPr>
                            <w:t>2.16</w:t>
                          </w:r>
                        </w:sdtContent>
                      </w:sdt>
                      <w:r>
                        <w:rPr>
                          <w:color w:val="000000"/>
                          <w:szCs w:val="24"/>
                          <w:lang w:val="lt" w:eastAsia="lt-LT"/>
                        </w:rPr>
                        <w:t>.</w:t>
                      </w:r>
                      <w:r>
                        <w:rPr>
                          <w:b/>
                          <w:bCs/>
                          <w:color w:val="000000"/>
                          <w:szCs w:val="24"/>
                          <w:lang w:val="lt" w:eastAsia="lt-LT"/>
                        </w:rPr>
                        <w:t xml:space="preserve"> </w:t>
                      </w:r>
                      <w:r>
                        <w:rPr>
                          <w:b/>
                          <w:bCs/>
                          <w:szCs w:val="24"/>
                          <w:lang w:val="lt" w:eastAsia="lt-LT"/>
                        </w:rPr>
                        <w:t xml:space="preserve">Solidinių navikų gydymo poveikio kriterijai </w:t>
                      </w:r>
                      <w:r>
                        <w:rPr>
                          <w:color w:val="000000"/>
                          <w:szCs w:val="24"/>
                          <w:lang w:val="lt" w:eastAsia="lt-LT"/>
                        </w:rPr>
                        <w:t xml:space="preserve">(angl. </w:t>
                      </w:r>
                      <w:r>
                        <w:rPr>
                          <w:i/>
                          <w:iCs/>
                          <w:color w:val="000000"/>
                          <w:szCs w:val="24"/>
                          <w:lang w:val="lt" w:eastAsia="lt-LT"/>
                        </w:rPr>
                        <w:t>Response Evaluation Criteria in Solid Tumors</w:t>
                      </w:r>
                      <w:r>
                        <w:rPr>
                          <w:color w:val="000000"/>
                          <w:szCs w:val="24"/>
                          <w:lang w:val="lt" w:eastAsia="lt-LT"/>
                        </w:rPr>
                        <w:t>) –</w:t>
                      </w:r>
                      <w:r>
                        <w:rPr>
                          <w:szCs w:val="24"/>
                          <w:lang w:val="lt" w:eastAsia="lt-LT"/>
                        </w:rPr>
                        <w:t xml:space="preserve"> kriterijai, pagal kuriuos vertinamas solidinių navikų gydymo efektyvumas.</w:t>
                      </w:r>
                      <w:r>
                        <w:rPr>
                          <w:b/>
                          <w:bCs/>
                          <w:color w:val="000000"/>
                          <w:szCs w:val="24"/>
                          <w:lang w:val="lt" w:eastAsia="lt-LT"/>
                        </w:rPr>
                        <w:t xml:space="preserve"> </w:t>
                      </w:r>
                    </w:p>
                  </w:sdtContent>
                </w:sdt>
              </w:sdtContent>
            </w:sdt>
            <w:sdt>
              <w:sdtPr>
                <w:alias w:val="3 p."/>
                <w:tag w:val="part_9428a242e054468cbe41070717e0bee1"/>
                <w:lock w:val="sdtLocked"/>
                <w:richText/>
              </w:sdtPr>
              <w:sdtContent>
                <w:p w14:paraId="50CA2B6E" w14:textId="01FF766E">
                  <w:pPr>
                    <w:widowControl w:val="0"/>
                    <w:ind w:firstLine="709"/>
                    <w:jc w:val="both"/>
                    <w:rPr>
                      <w:color w:val="000000"/>
                      <w:szCs w:val="24"/>
                      <w:lang w:val="lt" w:eastAsia="lt-LT"/>
                    </w:rPr>
                  </w:pPr>
                  <w:sdt>
                    <w:sdtPr>
                      <w:alias w:val="Numeris"/>
                      <w:tag w:val="nr_9428a242e054468cbe41070717e0bee1"/>
                      <w:lock w:val="sdtLocked"/>
                      <w:richText/>
                    </w:sdtPr>
                    <w:sdtContent>
                      <w:r>
                        <w:rPr>
                          <w:color w:val="000000"/>
                          <w:szCs w:val="24"/>
                          <w:lang w:val="lt" w:eastAsia="lt-LT"/>
                        </w:rPr>
                        <w:t>3</w:t>
                      </w:r>
                    </w:sdtContent>
                  </w:sdt>
                  <w:r>
                    <w:rPr>
                      <w:color w:val="000000"/>
                      <w:szCs w:val="24"/>
                      <w:lang w:val="lt" w:eastAsia="lt-LT"/>
                    </w:rPr>
                    <w:t xml:space="preserve">. Šeimos gydytojas ar kitos profesinės kvalifikacijos gydytojas pagal savo kompetenciją pacientą, kuriam, atlikus tyrimus, pirmą kartą nustato priešinės liaukos piktybinį naviką, siunčia į onkologijos klasteriui priklausančią asmens sveikatos priežiūros įstaigą (toliau – ASPĮ), nurodytą Onkologinėmis ligomis sergančių pacientų srautų valdymo ir paslaugų organizavimo reikalavimų apraše, patvirtintame Lietuvos Respublikos sveikatos apsaugos ministro 2017 m. vasario 17 d. įsakymu Nr. V-156 „Dėl Onkologinėmis ligomis sergančių pacientų srautų valdymo ir paslaugų organizavimo reikalavimų aprašo patvirtinimo“ (toliau – Onkologinėmis ligomis sergančių pacientų srautų valdymo aprašas), Onkologinėmis ligomis sergančių pacientų srautų valdymo apraše nustatyta tvarka. Pacientui, kuriam pirmą kartą nustatyta priešinės liaukos piktybinio naviko diagnozė, diagnostikos ir gydymo taktiką nustato onkologijos klasteriui priklausančios ASPĮ daugiadalykė gydytojų specialistų komanda, </w:t>
                  </w:r>
                  <w:r>
                    <w:rPr>
                      <w:szCs w:val="24"/>
                      <w:lang w:val="lt" w:eastAsia="lt-LT"/>
                    </w:rPr>
                    <w:t>kurią sudaro gydytojas urologas, gydytojas onkologas chemoterapeutas, gydytojas onkologas radioterapeutas, gydytojas radiologas ir kitos (-ų) profesinės (-ių) kvalifikacijos (-ų) gydytojas (-ai) pagal poreikį.</w:t>
                  </w:r>
                </w:p>
                <w:p w14:paraId="50CA2B6F" w14:textId="77777777">
                  <w:pPr>
                    <w:widowControl w:val="0"/>
                    <w:ind w:firstLine="567"/>
                    <w:jc w:val="right"/>
                    <w:rPr>
                      <w:color w:val="000000"/>
                      <w:szCs w:val="24"/>
                      <w:lang w:val="lt" w:eastAsia="lt-LT"/>
                    </w:rPr>
                  </w:pPr>
                </w:p>
              </w:sdtContent>
            </w:sdt>
          </w:sdtContent>
        </w:sdt>
        <w:sdt>
          <w:sdtPr>
            <w:alias w:val="skyrius"/>
            <w:tag w:val="part_74a7d79914fe4944b6fccdb295230aab"/>
            <w:lock w:val="sdtLocked"/>
            <w:richText/>
          </w:sdtPr>
          <w:sdtContent>
            <w:p w14:paraId="50CA2B70" w14:textId="77777777">
              <w:pPr>
                <w:keepLines/>
                <w:widowControl w:val="0"/>
                <w:jc w:val="center"/>
                <w:rPr>
                  <w:b/>
                  <w:bCs/>
                  <w:smallCaps/>
                  <w:color w:val="000000"/>
                  <w:szCs w:val="24"/>
                  <w:lang w:val="lt" w:eastAsia="lt-LT"/>
                </w:rPr>
              </w:pPr>
              <w:sdt>
                <w:sdtPr>
                  <w:alias w:val="Numeris"/>
                  <w:tag w:val="nr_74a7d79914fe4944b6fccdb295230aab"/>
                  <w:lock w:val="sdtLocked"/>
                  <w:richText/>
                </w:sdtPr>
                <w:sdtContent>
                  <w:r>
                    <w:rPr>
                      <w:b/>
                      <w:bCs/>
                      <w:smallCaps/>
                      <w:color w:val="000000"/>
                      <w:szCs w:val="24"/>
                      <w:lang w:val="lt" w:eastAsia="lt-LT"/>
                    </w:rPr>
                    <w:t>II</w:t>
                  </w:r>
                </w:sdtContent>
              </w:sdt>
              <w:r>
                <w:rPr>
                  <w:b/>
                  <w:bCs/>
                  <w:smallCaps/>
                  <w:color w:val="000000"/>
                  <w:szCs w:val="24"/>
                  <w:lang w:val="lt" w:eastAsia="lt-LT"/>
                </w:rPr>
                <w:t xml:space="preserve"> SKYRIUS</w:t>
              </w:r>
            </w:p>
            <w:p w14:paraId="50CA2B71" w14:textId="77777777">
              <w:pPr>
                <w:keepLines/>
                <w:widowControl w:val="0"/>
                <w:jc w:val="center"/>
                <w:rPr>
                  <w:b/>
                  <w:bCs/>
                  <w:smallCaps/>
                  <w:color w:val="000000"/>
                  <w:szCs w:val="24"/>
                  <w:lang w:val="lt" w:eastAsia="lt-LT"/>
                </w:rPr>
              </w:pPr>
              <w:sdt>
                <w:sdtPr>
                  <w:alias w:val="Pavadinimas"/>
                  <w:tag w:val="title_74a7d79914fe4944b6fccdb295230aab"/>
                  <w:lock w:val="sdtLocked"/>
                  <w:richText/>
                </w:sdtPr>
                <w:sdtContent>
                  <w:r>
                    <w:rPr>
                      <w:b/>
                      <w:bCs/>
                      <w:smallCaps/>
                      <w:color w:val="000000"/>
                      <w:szCs w:val="24"/>
                      <w:lang w:val="lt" w:eastAsia="lt-LT"/>
                    </w:rPr>
                    <w:t>PRIEŠINĖS LIAUKOS PIKTYBINIO NAVIKO DIAGNOZAVIMO TVARKA</w:t>
                  </w:r>
                </w:sdtContent>
              </w:sdt>
            </w:p>
            <w:p w14:paraId="50CA2B72" w14:textId="77777777">
              <w:pPr>
                <w:widowControl w:val="0"/>
                <w:ind w:firstLine="567"/>
                <w:jc w:val="both"/>
                <w:rPr>
                  <w:color w:val="000000"/>
                  <w:szCs w:val="24"/>
                  <w:lang w:val="lt" w:eastAsia="lt-LT"/>
                </w:rPr>
              </w:pPr>
            </w:p>
            <w:sdt>
              <w:sdtPr>
                <w:alias w:val="4 p."/>
                <w:tag w:val="part_bd24158eae044b20a34f88c67494cc7c"/>
                <w:lock w:val="sdtLocked"/>
                <w:richText/>
              </w:sdtPr>
              <w:sdtContent>
                <w:p w14:paraId="50CA2B73" w14:textId="00E48209">
                  <w:pPr>
                    <w:widowControl w:val="0"/>
                    <w:ind w:firstLine="709"/>
                    <w:jc w:val="both"/>
                    <w:rPr>
                      <w:strike/>
                      <w:szCs w:val="24"/>
                      <w:lang w:val="lt" w:eastAsia="lt-LT"/>
                    </w:rPr>
                  </w:pPr>
                  <w:sdt>
                    <w:sdtPr>
                      <w:alias w:val="Numeris"/>
                      <w:tag w:val="nr_bd24158eae044b20a34f88c67494cc7c"/>
                      <w:lock w:val="sdtLocked"/>
                      <w:richText/>
                    </w:sdtPr>
                    <w:sdtContent>
                      <w:r>
                        <w:rPr>
                          <w:color w:val="000000"/>
                          <w:szCs w:val="24"/>
                          <w:lang w:val="lt" w:eastAsia="lt-LT"/>
                        </w:rPr>
                        <w:t>4</w:t>
                      </w:r>
                    </w:sdtContent>
                  </w:sdt>
                  <w:r>
                    <w:rPr>
                      <w:color w:val="000000"/>
                      <w:szCs w:val="24"/>
                      <w:lang w:val="lt" w:eastAsia="lt-LT"/>
                    </w:rPr>
                    <w:t xml:space="preserve">. Priešinės liaukos piktybinio naviko diagnozė patvirtinama </w:t>
                  </w:r>
                  <w:r>
                    <w:rPr>
                      <w:szCs w:val="24"/>
                      <w:lang w:val="lt" w:eastAsia="lt-LT"/>
                    </w:rPr>
                    <w:t xml:space="preserve">onkologijos klasteriui priklausančioje ASPĮ, nurodytoje </w:t>
                  </w:r>
                  <w:r>
                    <w:rPr>
                      <w:color w:val="000000"/>
                      <w:szCs w:val="24"/>
                      <w:lang w:val="lt" w:eastAsia="lt-LT"/>
                    </w:rPr>
                    <w:t>Onkologinėmis ligomis sergančių pacientų srautų valdymo apraše</w:t>
                  </w:r>
                  <w:r>
                    <w:rPr>
                      <w:szCs w:val="24"/>
                      <w:lang w:val="lt" w:eastAsia="lt-LT"/>
                    </w:rPr>
                    <w:t xml:space="preserve">, </w:t>
                  </w:r>
                  <w:r>
                    <w:rPr>
                      <w:color w:val="000000"/>
                      <w:szCs w:val="24"/>
                      <w:lang w:val="lt" w:eastAsia="lt-LT"/>
                    </w:rPr>
                    <w:t xml:space="preserve">Onkologinėmis ligomis sergančių pacientų srautų valdymo apraše </w:t>
                  </w:r>
                  <w:r>
                    <w:rPr>
                      <w:szCs w:val="24"/>
                      <w:lang w:val="lt" w:eastAsia="lt-LT"/>
                    </w:rPr>
                    <w:t xml:space="preserve">nustatyta tvarka. </w:t>
                  </w:r>
                </w:p>
              </w:sdtContent>
            </w:sdt>
            <w:sdt>
              <w:sdtPr>
                <w:alias w:val="5 p."/>
                <w:tag w:val="part_bbe8bb5999124882b187d74349a20e13"/>
                <w:lock w:val="sdtLocked"/>
                <w:richText/>
              </w:sdtPr>
              <w:sdtContent>
                <w:p w14:paraId="50CA2B74" w14:textId="77777777">
                  <w:pPr>
                    <w:widowControl w:val="0"/>
                    <w:ind w:firstLine="709"/>
                    <w:jc w:val="both"/>
                    <w:rPr>
                      <w:strike/>
                      <w:szCs w:val="24"/>
                      <w:lang w:val="lt" w:eastAsia="lt-LT"/>
                    </w:rPr>
                  </w:pPr>
                  <w:sdt>
                    <w:sdtPr>
                      <w:alias w:val="Numeris"/>
                      <w:tag w:val="nr_bbe8bb5999124882b187d74349a20e13"/>
                      <w:lock w:val="sdtLocked"/>
                      <w:richText/>
                    </w:sdtPr>
                    <w:sdtContent>
                      <w:r>
                        <w:rPr>
                          <w:color w:val="000000"/>
                          <w:szCs w:val="24"/>
                          <w:lang w:val="lt" w:eastAsia="lt-LT"/>
                        </w:rPr>
                        <w:t>5</w:t>
                      </w:r>
                    </w:sdtContent>
                  </w:sdt>
                  <w:r>
                    <w:rPr>
                      <w:color w:val="000000"/>
                      <w:szCs w:val="24"/>
                      <w:lang w:val="lt" w:eastAsia="lt-LT"/>
                    </w:rPr>
                    <w:t>. Priešinės liaukos piktybinio naviko diagnozė patvirtinama:</w:t>
                  </w:r>
                </w:p>
                <w:sdt>
                  <w:sdtPr>
                    <w:alias w:val="5.1 pp."/>
                    <w:tag w:val="part_1c373d597b4940feaa64f110efbe0fd7"/>
                    <w:lock w:val="sdtLocked"/>
                    <w:richText/>
                  </w:sdtPr>
                  <w:sdtContent>
                    <w:p w14:paraId="50CA2B75" w14:textId="77777777">
                      <w:pPr>
                        <w:widowControl w:val="0"/>
                        <w:ind w:firstLine="709"/>
                        <w:jc w:val="both"/>
                        <w:rPr>
                          <w:strike/>
                          <w:szCs w:val="24"/>
                          <w:lang w:val="lt" w:eastAsia="lt-LT"/>
                        </w:rPr>
                      </w:pPr>
                      <w:sdt>
                        <w:sdtPr>
                          <w:alias w:val="Numeris"/>
                          <w:tag w:val="nr_1c373d597b4940feaa64f110efbe0fd7"/>
                          <w:lock w:val="sdtLocked"/>
                          <w:richText/>
                        </w:sdtPr>
                        <w:sdtContent>
                          <w:r>
                            <w:rPr>
                              <w:color w:val="000000"/>
                              <w:szCs w:val="24"/>
                              <w:lang w:val="lt" w:eastAsia="lt-LT"/>
                            </w:rPr>
                            <w:t>5.1</w:t>
                          </w:r>
                        </w:sdtContent>
                      </w:sdt>
                      <w:r>
                        <w:rPr>
                          <w:color w:val="000000"/>
                          <w:szCs w:val="24"/>
                          <w:lang w:val="lt" w:eastAsia="lt-LT"/>
                        </w:rPr>
                        <w:t>. įvertinus prostatos specifinio antigeno (toliau – PSA) tyrimo rezultatus;</w:t>
                      </w:r>
                    </w:p>
                  </w:sdtContent>
                </w:sdt>
                <w:sdt>
                  <w:sdtPr>
                    <w:alias w:val="5.2 pp."/>
                    <w:tag w:val="part_c507b78988ec496d94342d03afaffd42"/>
                    <w:lock w:val="sdtLocked"/>
                    <w:richText/>
                  </w:sdtPr>
                  <w:sdtContent>
                    <w:p w14:paraId="50CA2B76" w14:textId="595D4E29">
                      <w:pPr>
                        <w:widowControl w:val="0"/>
                        <w:ind w:firstLine="709"/>
                        <w:jc w:val="both"/>
                        <w:rPr>
                          <w:strike/>
                          <w:szCs w:val="24"/>
                          <w:lang w:val="lt" w:eastAsia="lt-LT"/>
                        </w:rPr>
                      </w:pPr>
                      <w:sdt>
                        <w:sdtPr>
                          <w:alias w:val="Numeris"/>
                          <w:tag w:val="nr_c507b78988ec496d94342d03afaffd42"/>
                          <w:lock w:val="sdtLocked"/>
                          <w:richText/>
                        </w:sdtPr>
                        <w:sdtContent>
                          <w:r>
                            <w:rPr>
                              <w:color w:val="000000"/>
                              <w:szCs w:val="24"/>
                              <w:lang w:val="lt" w:eastAsia="lt-LT"/>
                            </w:rPr>
                            <w:t>5.2</w:t>
                          </w:r>
                        </w:sdtContent>
                      </w:sdt>
                      <w:r>
                        <w:rPr>
                          <w:color w:val="000000"/>
                          <w:szCs w:val="24"/>
                          <w:lang w:val="lt" w:eastAsia="lt-LT"/>
                        </w:rPr>
                        <w:t>. įvertinus radiologinių tyrimų (ultragarsinio tyrimo, kompiuterinės tomografijos (toliau  – KT) tyrimo, magnetinio rezonanso tomografijos (toliau – MRT) tyrimo ir kt.) duomenis;</w:t>
                      </w:r>
                    </w:p>
                  </w:sdtContent>
                </w:sdt>
                <w:sdt>
                  <w:sdtPr>
                    <w:alias w:val="5.3 pp."/>
                    <w:tag w:val="part_5a79faf9d9e340fd8cd038e10986a31c"/>
                    <w:lock w:val="sdtLocked"/>
                    <w:richText/>
                  </w:sdtPr>
                  <w:sdtContent>
                    <w:p w14:paraId="50CA2B77" w14:textId="77777777">
                      <w:pPr>
                        <w:ind w:firstLine="709"/>
                        <w:jc w:val="both"/>
                        <w:rPr>
                          <w:szCs w:val="24"/>
                          <w:lang w:val="lt" w:eastAsia="lt-LT"/>
                        </w:rPr>
                      </w:pPr>
                      <w:sdt>
                        <w:sdtPr>
                          <w:alias w:val="Numeris"/>
                          <w:tag w:val="nr_5a79faf9d9e340fd8cd038e10986a31c"/>
                          <w:lock w:val="sdtLocked"/>
                          <w:richText/>
                        </w:sdtPr>
                        <w:sdtContent>
                          <w:r>
                            <w:rPr>
                              <w:color w:val="000000"/>
                              <w:szCs w:val="24"/>
                              <w:lang w:val="lt" w:eastAsia="lt-LT"/>
                            </w:rPr>
                            <w:t>5.3</w:t>
                          </w:r>
                        </w:sdtContent>
                      </w:sdt>
                      <w:r>
                        <w:rPr>
                          <w:color w:val="000000"/>
                          <w:szCs w:val="24"/>
                          <w:lang w:val="lt" w:eastAsia="lt-LT"/>
                        </w:rPr>
                        <w:t xml:space="preserve">. po atlikto MRT tyrimo esant indikacijų atlikti priešinės liaukos biopsiją – atlikus priešinės liaukos biopsiją ir įvertinus biopsinės medžiagos histologinio tyrimo duomenis (nustatoma naviko diferenciacijos laipsnis pagal Gleasono balų sumą ir piktybinio naviko proporcija (procentais) </w:t>
                      </w:r>
                      <w:r>
                        <w:rPr>
                          <w:szCs w:val="24"/>
                          <w:lang w:val="lt" w:eastAsia="lt-LT"/>
                        </w:rPr>
                        <w:t xml:space="preserve">biopsiniame stulpelyje).  </w:t>
                      </w:r>
                    </w:p>
                  </w:sdtContent>
                </w:sdt>
              </w:sdtContent>
            </w:sdt>
            <w:sdt>
              <w:sdtPr>
                <w:alias w:val="6 p."/>
                <w:tag w:val="part_4cef26a4f2164e208d7899de48802b73"/>
                <w:lock w:val="sdtLocked"/>
                <w:richText/>
              </w:sdtPr>
              <w:sdtContent>
                <w:p w14:paraId="50CA2B78" w14:textId="77777777">
                  <w:pPr>
                    <w:widowControl w:val="0"/>
                    <w:ind w:firstLine="709"/>
                    <w:jc w:val="both"/>
                    <w:rPr>
                      <w:strike/>
                      <w:szCs w:val="24"/>
                      <w:lang w:val="lt" w:eastAsia="lt-LT"/>
                    </w:rPr>
                  </w:pPr>
                  <w:sdt>
                    <w:sdtPr>
                      <w:alias w:val="Numeris"/>
                      <w:tag w:val="nr_4cef26a4f2164e208d7899de48802b73"/>
                      <w:lock w:val="sdtLocked"/>
                      <w:richText/>
                    </w:sdtPr>
                    <w:sdtContent>
                      <w:r>
                        <w:rPr>
                          <w:color w:val="000000"/>
                          <w:szCs w:val="24"/>
                          <w:lang w:val="lt" w:eastAsia="lt-LT"/>
                        </w:rPr>
                        <w:t>6</w:t>
                      </w:r>
                    </w:sdtContent>
                  </w:sdt>
                  <w:r>
                    <w:rPr>
                      <w:color w:val="000000"/>
                      <w:szCs w:val="24"/>
                      <w:lang w:val="lt" w:eastAsia="lt-LT"/>
                    </w:rPr>
                    <w:t>. Po transuretrinės priešinės liaukos rezekcijos ar atviros prostatektomijos histologiškai nustačius priešinės liaukos adenokarcinomą, nustatoma naviko proporcija (procentais) priešinės liaukos audinių mėginiuose ir diferenciacija pagal Gleasono balų sumą.</w:t>
                  </w:r>
                </w:p>
              </w:sdtContent>
            </w:sdt>
            <w:sdt>
              <w:sdtPr>
                <w:alias w:val="7 p."/>
                <w:tag w:val="part_1832519a0efc4cb2a42fb0c59e50885f"/>
                <w:lock w:val="sdtLocked"/>
                <w:richText/>
              </w:sdtPr>
              <w:sdtContent>
                <w:p w14:paraId="50CA2B79" w14:textId="77777777">
                  <w:pPr>
                    <w:widowControl w:val="0"/>
                    <w:ind w:firstLine="709"/>
                    <w:jc w:val="both"/>
                    <w:rPr>
                      <w:szCs w:val="24"/>
                      <w:lang w:val="lt" w:eastAsia="lt-LT"/>
                    </w:rPr>
                  </w:pPr>
                  <w:sdt>
                    <w:sdtPr>
                      <w:alias w:val="Numeris"/>
                      <w:tag w:val="nr_1832519a0efc4cb2a42fb0c59e50885f"/>
                      <w:lock w:val="sdtLocked"/>
                      <w:richText/>
                    </w:sdtPr>
                    <w:sdtContent>
                      <w:r>
                        <w:rPr>
                          <w:color w:val="000000"/>
                          <w:szCs w:val="24"/>
                          <w:lang w:val="lt" w:eastAsia="lt-LT"/>
                        </w:rPr>
                        <w:t>7</w:t>
                      </w:r>
                    </w:sdtContent>
                  </w:sdt>
                  <w:r>
                    <w:rPr>
                      <w:color w:val="000000"/>
                      <w:szCs w:val="24"/>
                      <w:lang w:val="lt" w:eastAsia="lt-LT"/>
                    </w:rPr>
                    <w:t>. Įtariant atokiąsias (tolimąsias) metastazes ar norint įvertinti priešinės liaukos piktybinio naviko išplitimą, gali būti atliekama:</w:t>
                  </w:r>
                </w:p>
                <w:sdt>
                  <w:sdtPr>
                    <w:alias w:val="7.1 pp."/>
                    <w:tag w:val="part_a6376197043245c9bf69e1a016d53e0a"/>
                    <w:lock w:val="sdtLocked"/>
                    <w:richText/>
                  </w:sdtPr>
                  <w:sdtContent>
                    <w:p w14:paraId="50CA2B7A" w14:textId="77777777">
                      <w:pPr>
                        <w:widowControl w:val="0"/>
                        <w:ind w:firstLine="709"/>
                        <w:jc w:val="both"/>
                        <w:rPr>
                          <w:strike/>
                          <w:color w:val="000000"/>
                          <w:szCs w:val="24"/>
                          <w:lang w:val="lt" w:eastAsia="lt-LT"/>
                        </w:rPr>
                      </w:pPr>
                      <w:sdt>
                        <w:sdtPr>
                          <w:alias w:val="Numeris"/>
                          <w:tag w:val="nr_a6376197043245c9bf69e1a016d53e0a"/>
                          <w:lock w:val="sdtLocked"/>
                          <w:richText/>
                        </w:sdtPr>
                        <w:sdtContent>
                          <w:r>
                            <w:rPr>
                              <w:color w:val="000000"/>
                              <w:szCs w:val="24"/>
                              <w:lang w:val="lt" w:eastAsia="lt-LT"/>
                            </w:rPr>
                            <w:t>7.1</w:t>
                          </w:r>
                        </w:sdtContent>
                      </w:sdt>
                      <w:r>
                        <w:rPr>
                          <w:color w:val="000000"/>
                          <w:szCs w:val="24"/>
                          <w:lang w:val="lt" w:eastAsia="lt-LT"/>
                        </w:rPr>
                        <w:t>. kaulų scintigrafija, įtariant metastazes kauluose nepalankios vidutinės rizikos, aukštos ir labai aukštos ligos progresavimo rizikos grupėms priklausantiems pacientams ir (ar) esant aiškiems ligos simptomams;</w:t>
                      </w:r>
                    </w:p>
                  </w:sdtContent>
                </w:sdt>
                <w:sdt>
                  <w:sdtPr>
                    <w:alias w:val="7.2 pp."/>
                    <w:tag w:val="part_69049d802dd34f2d803a461f4ae0fc15"/>
                    <w:lock w:val="sdtLocked"/>
                    <w:richText/>
                  </w:sdtPr>
                  <w:sdtContent>
                    <w:p w14:paraId="50CA2B7B" w14:textId="06081A7B">
                      <w:pPr>
                        <w:widowControl w:val="0"/>
                        <w:ind w:firstLine="709"/>
                        <w:jc w:val="both"/>
                        <w:rPr>
                          <w:strike/>
                          <w:szCs w:val="24"/>
                          <w:lang w:val="lt" w:eastAsia="lt-LT"/>
                        </w:rPr>
                      </w:pPr>
                      <w:sdt>
                        <w:sdtPr>
                          <w:alias w:val="Numeris"/>
                          <w:tag w:val="nr_69049d802dd34f2d803a461f4ae0fc15"/>
                          <w:lock w:val="sdtLocked"/>
                          <w:richText/>
                        </w:sdtPr>
                        <w:sdtContent>
                          <w:r>
                            <w:rPr>
                              <w:szCs w:val="24"/>
                              <w:lang w:val="lt" w:eastAsia="lt-LT"/>
                            </w:rPr>
                            <w:t>7.</w:t>
                          </w:r>
                          <w:r>
                            <w:rPr>
                              <w:color w:val="000000"/>
                              <w:szCs w:val="24"/>
                              <w:lang w:val="lt" w:eastAsia="lt-LT"/>
                            </w:rPr>
                            <w:t>2</w:t>
                          </w:r>
                        </w:sdtContent>
                      </w:sdt>
                      <w:r>
                        <w:rPr>
                          <w:color w:val="000000"/>
                          <w:szCs w:val="24"/>
                          <w:lang w:val="lt" w:eastAsia="lt-LT"/>
                        </w:rPr>
                        <w:t xml:space="preserve">. KT tyrimas priešinės liaukos ir dubens limfmazgių būklei įvertinti, numatant skirti radikalų gydymą, </w:t>
                      </w:r>
                      <w:r>
                        <w:rPr>
                          <w:szCs w:val="24"/>
                          <w:lang w:val="lt" w:eastAsia="lt-LT"/>
                        </w:rPr>
                        <w:t xml:space="preserve">vadovaujantis Lietuvos Respublikos sveikatos apsaugos </w:t>
                      </w:r>
                      <w:r>
                        <w:rPr>
                          <w:color w:val="000000"/>
                          <w:szCs w:val="24"/>
                          <w:lang w:val="lt" w:eastAsia="lt-LT"/>
                        </w:rPr>
                        <w:t>1999 m. gegužės 10 d. įsakymu Nr. 229 „Dėl</w:t>
                      </w:r>
                      <w:r>
                        <w:rPr>
                          <w:szCs w:val="24"/>
                          <w:lang w:val="lt" w:eastAsia="lt-LT"/>
                        </w:rPr>
                        <w:t xml:space="preserve"> </w:t>
                      </w:r>
                      <w:r>
                        <w:rPr>
                          <w:color w:val="000000"/>
                          <w:szCs w:val="24"/>
                          <w:lang w:val="lt" w:eastAsia="lt-LT"/>
                        </w:rPr>
                        <w:t>Kompiuterinės tomografijos ir magnetinio rezonanso tomografijos tyrimų, daugiafazių kontrastinių kompiuterinės tomografijos ir magnetinio rezonanso tomografijos tyrimų bei kompiuterinės tomografijos angiografijos ir magnetinio rezonanso angiografijos tyrimų atlikimo tvarkos aprašo ir Ligų ir būklių, kurioms esant iš Privalomojo sveikatos draudimo fondo biudžeto apmokami kompiuterinės tomografijos ir magnetinio rezonanso tomografijos, daugiafaziai kontrastiniai kompiuterinės tomografijos ir magnetinio rezonanso tomografijos bei  kompiuterinės tomografijos angiografijos ir magnetinio rezonanso angiografijos tyrimai, sąrašų patvirtinimo“ (toliau – įsakymas Nr. 229);</w:t>
                      </w:r>
                    </w:p>
                  </w:sdtContent>
                </w:sdt>
                <w:sdt>
                  <w:sdtPr>
                    <w:alias w:val="7.3 pp."/>
                    <w:tag w:val="part_6c60d45d04d445a2997bb1007538203e"/>
                    <w:lock w:val="sdtLocked"/>
                    <w:richText/>
                  </w:sdtPr>
                  <w:sdtContent>
                    <w:p w14:paraId="50CA2B7C" w14:textId="77777777">
                      <w:pPr>
                        <w:widowControl w:val="0"/>
                        <w:ind w:firstLine="709"/>
                        <w:jc w:val="both"/>
                        <w:rPr>
                          <w:strike/>
                          <w:szCs w:val="24"/>
                          <w:lang w:val="lt" w:eastAsia="lt-LT"/>
                        </w:rPr>
                      </w:pPr>
                      <w:sdt>
                        <w:sdtPr>
                          <w:alias w:val="Numeris"/>
                          <w:tag w:val="nr_6c60d45d04d445a2997bb1007538203e"/>
                          <w:lock w:val="sdtLocked"/>
                          <w:richText/>
                        </w:sdtPr>
                        <w:sdtContent>
                          <w:r>
                            <w:rPr>
                              <w:szCs w:val="24"/>
                              <w:lang w:val="lt" w:eastAsia="lt-LT"/>
                            </w:rPr>
                            <w:t>7.3</w:t>
                          </w:r>
                        </w:sdtContent>
                      </w:sdt>
                      <w:r>
                        <w:rPr>
                          <w:szCs w:val="24"/>
                          <w:lang w:val="lt" w:eastAsia="lt-LT"/>
                        </w:rPr>
                        <w:t xml:space="preserve">. </w:t>
                      </w:r>
                      <w:r>
                        <w:rPr>
                          <w:color w:val="000000"/>
                          <w:szCs w:val="24"/>
                          <w:lang w:val="lt" w:eastAsia="lt-LT"/>
                        </w:rPr>
                        <w:t>MRT tyrimas dubens ir pilvo limfmazgių bei stuburo slankstelių metastazėms patikslinti ar nugaros smegenų kompresijai patvirtinti vadovaujantis įsakymu Nr. 229;</w:t>
                      </w:r>
                    </w:p>
                  </w:sdtContent>
                </w:sdt>
                <w:sdt>
                  <w:sdtPr>
                    <w:alias w:val="7.4 pp."/>
                    <w:tag w:val="part_48a27df9ec0a4cac91d07d2730cbe2f7"/>
                    <w:lock w:val="sdtLocked"/>
                    <w:richText/>
                  </w:sdtPr>
                  <w:sdtContent>
                    <w:p w14:paraId="2A529957" w14:textId="699B3C4B">
                      <w:pPr>
                        <w:ind w:firstLine="709"/>
                        <w:jc w:val="both"/>
                        <w:rPr>
                          <w:color w:val="000000"/>
                          <w:szCs w:val="24"/>
                          <w:lang w:val="lt" w:eastAsia="lt-LT"/>
                        </w:rPr>
                      </w:pPr>
                      <w:sdt>
                        <w:sdtPr>
                          <w:alias w:val="Numeris"/>
                          <w:tag w:val="nr_48a27df9ec0a4cac91d07d2730cbe2f7"/>
                          <w:lock w:val="sdtLocked"/>
                          <w:richText/>
                        </w:sdtPr>
                        <w:sdtContent>
                          <w:r>
                            <w:rPr>
                              <w:color w:val="000000"/>
                              <w:szCs w:val="24"/>
                              <w:lang w:val="lt" w:eastAsia="lt-LT"/>
                            </w:rPr>
                            <w:t>7.4</w:t>
                          </w:r>
                        </w:sdtContent>
                      </w:sdt>
                      <w:r>
                        <w:rPr>
                          <w:color w:val="000000"/>
                          <w:szCs w:val="24"/>
                          <w:lang w:val="lt" w:eastAsia="lt-LT"/>
                        </w:rPr>
                        <w:t xml:space="preserve">. </w:t>
                      </w:r>
                      <w:r>
                        <w:rPr>
                          <w:szCs w:val="24"/>
                          <w:lang w:val="lt" w:eastAsia="lt-LT"/>
                        </w:rPr>
                        <w:t xml:space="preserve">pozitronų emisijos tomografijos tyrimas (toliau – PET) naudojant prostatos specifinius membranos antigenus </w:t>
                      </w:r>
                      <w:r>
                        <w:rPr>
                          <w:color w:val="000000"/>
                          <w:szCs w:val="24"/>
                          <w:lang w:val="lt" w:eastAsia="lt-LT"/>
                        </w:rPr>
                        <w:t>(toliau – PSMA)</w:t>
                      </w:r>
                      <w:r>
                        <w:rPr>
                          <w:szCs w:val="24"/>
                          <w:lang w:val="lt" w:eastAsia="lt-LT"/>
                        </w:rPr>
                        <w:t xml:space="preserve">, žymėtus radioaktyviuoju galiu (68Ga PSMA) ir fluoru (18F PSMA), vadovaujantis Lietuvos Respublikos sveikatos apsaugos ministro 2011 m. gegužės 9 d. įsakymu Nr. V-449 „Dėl </w:t>
                      </w:r>
                      <w:r>
                        <w:rPr>
                          <w:color w:val="000000"/>
                          <w:szCs w:val="24"/>
                          <w:lang w:val="lt" w:eastAsia="lt-LT"/>
                        </w:rPr>
                        <w:t xml:space="preserve">Ligų ir būklių, kurioms esant atliekami Privalomojo sveikatos draudimo fondo biudžeto lėšomis finansuojami pozitronų emisijos tomografijos su kompiuterine tomografija tyrimai, ir šių tyrimų atlikimo indikacijų sąrašų patvirtinimo“ (toliau – </w:t>
                      </w:r>
                      <w:r>
                        <w:rPr>
                          <w:szCs w:val="24"/>
                          <w:lang w:val="lt" w:eastAsia="lt-LT"/>
                        </w:rPr>
                        <w:t>įsakymas Nr. V-449)</w:t>
                      </w:r>
                      <w:r>
                        <w:rPr>
                          <w:color w:val="000000"/>
                          <w:szCs w:val="24"/>
                          <w:lang w:val="lt" w:eastAsia="lt-LT"/>
                        </w:rPr>
                        <w:t>;</w:t>
                      </w:r>
                    </w:p>
                  </w:sdtContent>
                </w:sdt>
                <w:sdt>
                  <w:sdtPr>
                    <w:alias w:val="7.5 pp."/>
                    <w:tag w:val="part_911a75a14288490ab0f5d544c0b109a6"/>
                    <w:lock w:val="sdtLocked"/>
                    <w:richText/>
                  </w:sdtPr>
                  <w:sdtContent>
                    <w:p w14:paraId="50CA2B7D" w14:textId="3FF4B864">
                      <w:pPr>
                        <w:ind w:firstLine="709"/>
                        <w:jc w:val="both"/>
                        <w:rPr>
                          <w:strike/>
                          <w:szCs w:val="24"/>
                          <w:lang w:val="lt" w:eastAsia="lt-LT"/>
                        </w:rPr>
                      </w:pPr>
                      <w:sdt>
                        <w:sdtPr>
                          <w:alias w:val="Numeris"/>
                          <w:tag w:val="nr_911a75a14288490ab0f5d544c0b109a6"/>
                          <w:lock w:val="sdtLocked"/>
                          <w:richText/>
                        </w:sdtPr>
                        <w:sdtContent>
                          <w:r>
                            <w:rPr>
                              <w:color w:val="000000"/>
                              <w:szCs w:val="24"/>
                              <w:lang w:val="lt" w:eastAsia="lt-LT"/>
                            </w:rPr>
                            <w:t>7.5</w:t>
                          </w:r>
                        </w:sdtContent>
                      </w:sdt>
                      <w:r>
                        <w:rPr>
                          <w:color w:val="000000"/>
                          <w:szCs w:val="24"/>
                          <w:lang w:val="lt" w:eastAsia="lt-LT"/>
                        </w:rPr>
                        <w:t>. jei reikia, kiti tyrimai.</w:t>
                      </w:r>
                    </w:p>
                  </w:sdtContent>
                </w:sdt>
              </w:sdtContent>
            </w:sdt>
            <w:sdt>
              <w:sdtPr>
                <w:alias w:val="8 p."/>
                <w:tag w:val="part_8299d9917bbd41f98bc2c0a3b7766a38"/>
                <w:lock w:val="sdtLocked"/>
                <w:richText/>
              </w:sdtPr>
              <w:sdtContent>
                <w:p w14:paraId="3770D69A" w14:textId="7FECA5B0">
                  <w:pPr>
                    <w:widowControl w:val="0"/>
                    <w:ind w:firstLine="709"/>
                    <w:jc w:val="both"/>
                    <w:rPr>
                      <w:szCs w:val="24"/>
                      <w:lang w:val="lt" w:eastAsia="lt-LT"/>
                    </w:rPr>
                  </w:pPr>
                  <w:sdt>
                    <w:sdtPr>
                      <w:alias w:val="Numeris"/>
                      <w:tag w:val="nr_8299d9917bbd41f98bc2c0a3b7766a38"/>
                      <w:lock w:val="sdtLocked"/>
                      <w:richText/>
                    </w:sdtPr>
                    <w:sdtContent>
                      <w:r>
                        <w:rPr>
                          <w:szCs w:val="24"/>
                          <w:lang w:val="lt" w:eastAsia="lt-LT"/>
                        </w:rPr>
                        <w:t>8</w:t>
                      </w:r>
                    </w:sdtContent>
                  </w:sdt>
                  <w:r>
                    <w:rPr>
                      <w:szCs w:val="24"/>
                      <w:lang w:val="lt" w:eastAsia="lt-LT"/>
                    </w:rPr>
                    <w:t>. Išduodant</w:t>
                  </w:r>
                  <w:r>
                    <w:rPr>
                      <w:color w:val="000000"/>
                      <w:szCs w:val="24"/>
                      <w:lang w:val="lt" w:eastAsia="lt-LT"/>
                    </w:rPr>
                    <w:t xml:space="preserve"> siuntimą pacientui gauti reikiamą paslaugą (konsultaciją ir (ar) tyrimą), pildomas </w:t>
                  </w:r>
                  <w:r>
                    <w:rPr>
                      <w:szCs w:val="24"/>
                      <w:lang w:val="lt" w:eastAsia="lt-LT"/>
                    </w:rPr>
                    <w:t xml:space="preserve">elektroninis medicinos dokumentas E027 „Siuntimas konsultacijai, tyrimams, gydymui“ (toliau – elektroninis medicinos dokumentas E027), nurodytas Elektroninės sveikatos paslaugų ir bendradarbiavimo infrastruktūros informacinės sistemos naudojimo tvarkos aprašo, patvirtinto Lietuvos Respublikos sveikatos apsaugos ministro 2015 m. gegužės 26 d. įsakymu Nr. V-657 „Dėl Elektroninės sveikatos paslaugų ir bendradarbiavimo infrastruktūros informacinės sistemos naudojimo tvarkos aprašo patvirtinimo“ (toliau – įsakymas Nr. V-657), priede, ir </w:t>
                  </w:r>
                  <w:r>
                    <w:rPr>
                      <w:color w:val="000000"/>
                      <w:szCs w:val="24"/>
                      <w:lang w:val="lt"/>
                    </w:rPr>
                    <w:t xml:space="preserve">ASPĮ vadovo nustatyta tvarka organizuojamas paciento registravimas paslaugai </w:t>
                  </w:r>
                  <w:r>
                    <w:rPr>
                      <w:color w:val="000000"/>
                      <w:szCs w:val="24"/>
                      <w:lang w:val="lt" w:eastAsia="lt-LT"/>
                    </w:rPr>
                    <w:t xml:space="preserve">(konsultacijai ir (ar) tyrimui) </w:t>
                  </w:r>
                  <w:r>
                    <w:rPr>
                      <w:color w:val="000000"/>
                      <w:szCs w:val="24"/>
                      <w:lang w:val="lt"/>
                    </w:rPr>
                    <w:t xml:space="preserve">gauti toje pačioje ar kitoje paciento pasirinktoje ASPĮ. Paslaugos teikimo metu pacientui atsisakius registracijos, pacientas neregistruojamas ir apie tai pažymima </w:t>
                  </w:r>
                  <w:r>
                    <w:rPr>
                      <w:szCs w:val="24"/>
                      <w:lang w:val="lt" w:eastAsia="lt-LT"/>
                    </w:rPr>
                    <w:t xml:space="preserve">elektroniniame medicinos dokumente E025 „Ambulatorinio apsilankymo aprašymas“ (toliau – elektroninis medicinos dokumentas E025), nurodytame įsakymo Nr. V-657 priede. Šiuo atveju Pacientas pats užsiregistruoja paslaugai </w:t>
                  </w:r>
                  <w:r>
                    <w:rPr>
                      <w:color w:val="000000"/>
                      <w:szCs w:val="24"/>
                      <w:lang w:val="lt" w:eastAsia="lt-LT"/>
                    </w:rPr>
                    <w:t xml:space="preserve">(konsultacijai ir (ar) tyrimui) </w:t>
                  </w:r>
                  <w:r>
                    <w:rPr>
                      <w:szCs w:val="24"/>
                      <w:lang w:val="lt" w:eastAsia="lt-LT"/>
                    </w:rPr>
                    <w:t>gauti pasirinktoje ASPĮ</w:t>
                  </w:r>
                  <w:r>
                    <w:rPr>
                      <w:color w:val="000000"/>
                      <w:szCs w:val="24"/>
                      <w:lang w:val="lt" w:eastAsia="lt-LT"/>
                    </w:rPr>
                    <w:t xml:space="preserve">. </w:t>
                  </w:r>
                </w:p>
              </w:sdtContent>
            </w:sdt>
            <w:sdt>
              <w:sdtPr>
                <w:alias w:val="9 p."/>
                <w:tag w:val="part_62ada11871bf4197a8922e5189a22bb5"/>
                <w:lock w:val="sdtLocked"/>
                <w:richText/>
              </w:sdtPr>
              <w:sdtContent>
                <w:p w14:paraId="50CA2B81" w14:textId="12E35CEE">
                  <w:pPr>
                    <w:widowControl w:val="0"/>
                    <w:ind w:firstLine="709"/>
                    <w:jc w:val="both"/>
                    <w:rPr>
                      <w:szCs w:val="24"/>
                      <w:lang w:val="lt" w:eastAsia="lt-LT"/>
                    </w:rPr>
                  </w:pPr>
                  <w:sdt>
                    <w:sdtPr>
                      <w:alias w:val="Numeris"/>
                      <w:tag w:val="nr_62ada11871bf4197a8922e5189a22bb5"/>
                      <w:lock w:val="sdtLocked"/>
                      <w:richText/>
                    </w:sdtPr>
                    <w:sdtContent>
                      <w:r>
                        <w:rPr>
                          <w:szCs w:val="24"/>
                          <w:lang w:val="lt" w:eastAsia="lt-LT"/>
                        </w:rPr>
                        <w:t>9</w:t>
                      </w:r>
                    </w:sdtContent>
                  </w:sdt>
                  <w:r>
                    <w:rPr>
                      <w:szCs w:val="24"/>
                      <w:lang w:val="lt" w:eastAsia="lt-LT"/>
                    </w:rPr>
                    <w:t xml:space="preserve">. Priešinės liaukos piktybinio naviko laipsnio grupė (angl. </w:t>
                  </w:r>
                  <w:r>
                    <w:rPr>
                      <w:i/>
                      <w:iCs/>
                      <w:szCs w:val="24"/>
                      <w:lang w:val="lt" w:eastAsia="lt-LT"/>
                    </w:rPr>
                    <w:t>Grade group</w:t>
                  </w:r>
                  <w:r>
                    <w:rPr>
                      <w:szCs w:val="24"/>
                      <w:lang w:val="lt" w:eastAsia="lt-LT"/>
                    </w:rPr>
                    <w:t>) nustatoma pagal 1 lentelėje nurodytus kriterijus.</w:t>
                  </w:r>
                </w:p>
                <w:p w14:paraId="510B4B67" w14:textId="77777777">
                  <w:pPr>
                    <w:widowControl w:val="0"/>
                    <w:jc w:val="both"/>
                    <w:rPr>
                      <w:b/>
                      <w:bCs/>
                      <w:szCs w:val="24"/>
                      <w:lang w:val="lt" w:eastAsia="lt-LT"/>
                    </w:rPr>
                  </w:pPr>
                </w:p>
                <w:p w14:paraId="50CA2B82" w14:textId="1A5885A2">
                  <w:pPr>
                    <w:widowControl w:val="0"/>
                    <w:jc w:val="both"/>
                    <w:rPr>
                      <w:szCs w:val="24"/>
                      <w:lang w:val="lt" w:eastAsia="lt-LT"/>
                    </w:rPr>
                  </w:pPr>
                  <w:r>
                    <w:rPr>
                      <w:b/>
                      <w:bCs/>
                      <w:szCs w:val="24"/>
                      <w:lang w:val="lt" w:eastAsia="lt-LT"/>
                    </w:rPr>
                    <w:t>1 lentelė</w:t>
                  </w:r>
                  <w:r>
                    <w:rPr>
                      <w:szCs w:val="24"/>
                      <w:lang w:val="lt" w:eastAsia="lt-LT"/>
                    </w:rPr>
                    <w:t xml:space="preserve">. Tarptautinės urologinės patologijos draugijos (angl. </w:t>
                  </w:r>
                  <w:r>
                    <w:rPr>
                      <w:i/>
                      <w:iCs/>
                      <w:szCs w:val="24"/>
                      <w:lang w:val="lt" w:eastAsia="lt-LT"/>
                    </w:rPr>
                    <w:t>International Society of Urological Pathology (ISUP</w:t>
                  </w:r>
                  <w:r>
                    <w:rPr>
                      <w:szCs w:val="24"/>
                      <w:lang w:val="lt" w:eastAsia="lt-LT"/>
                    </w:rPr>
                    <w:t xml:space="preserve">) parengti priešinės liaukos piktybinio naviko laipsnio grupės (angl. </w:t>
                  </w:r>
                  <w:r>
                    <w:rPr>
                      <w:i/>
                      <w:iCs/>
                      <w:szCs w:val="24"/>
                      <w:lang w:val="lt" w:eastAsia="lt-LT"/>
                    </w:rPr>
                    <w:t>Grade group</w:t>
                  </w:r>
                  <w:r>
                    <w:rPr>
                      <w:szCs w:val="24"/>
                      <w:lang w:val="lt" w:eastAsia="lt-LT"/>
                    </w:rPr>
                    <w:t>) nustatymo kriterijai</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2"/>
                    <w:gridCol w:w="3969"/>
                    <w:gridCol w:w="2410"/>
                    <w:gridCol w:w="2547"/>
                  </w:tblGrid>
                  <w:tr w14:paraId="50CA2B89" w14:textId="77777777">
                    <w:tc>
                      <w:tcPr>
                        <w:tcW w:w="562" w:type="dxa"/>
                      </w:tcPr>
                      <w:p w14:paraId="50CA2B83" w14:textId="77777777">
                        <w:pPr>
                          <w:widowControl w:val="0"/>
                          <w:jc w:val="center"/>
                          <w:rPr>
                            <w:szCs w:val="24"/>
                            <w:lang w:val="lt" w:eastAsia="lt-LT"/>
                          </w:rPr>
                        </w:pPr>
                        <w:r>
                          <w:rPr>
                            <w:szCs w:val="24"/>
                            <w:lang w:val="lt" w:eastAsia="lt-LT"/>
                          </w:rPr>
                          <w:t xml:space="preserve">Eil. Nr. </w:t>
                        </w:r>
                      </w:p>
                    </w:tc>
                    <w:tc>
                      <w:tcPr>
                        <w:tcW w:w="3969" w:type="dxa"/>
                      </w:tcPr>
                      <w:p w14:paraId="50CA2B84" w14:textId="77777777">
                        <w:pPr>
                          <w:widowControl w:val="0"/>
                          <w:jc w:val="center"/>
                          <w:rPr>
                            <w:szCs w:val="24"/>
                            <w:lang w:val="lt" w:eastAsia="lt-LT"/>
                          </w:rPr>
                        </w:pPr>
                        <w:r>
                          <w:rPr>
                            <w:szCs w:val="24"/>
                            <w:lang w:val="lt" w:eastAsia="lt-LT"/>
                          </w:rPr>
                          <w:t xml:space="preserve">Priešinės liaukos piktybinio naviko laipsnio grupė (angl. </w:t>
                        </w:r>
                        <w:r>
                          <w:rPr>
                            <w:i/>
                            <w:iCs/>
                            <w:szCs w:val="24"/>
                            <w:lang w:val="lt" w:eastAsia="lt-LT"/>
                          </w:rPr>
                          <w:t>Grade group</w:t>
                        </w:r>
                        <w:r>
                          <w:rPr>
                            <w:szCs w:val="24"/>
                            <w:lang w:val="lt" w:eastAsia="lt-LT"/>
                          </w:rPr>
                          <w:t>)</w:t>
                        </w:r>
                      </w:p>
                    </w:tc>
                    <w:tc>
                      <w:tcPr>
                        <w:tcW w:w="2410" w:type="dxa"/>
                      </w:tcPr>
                      <w:p w14:paraId="50CA2B85" w14:textId="77777777">
                        <w:pPr>
                          <w:widowControl w:val="0"/>
                          <w:jc w:val="center"/>
                          <w:rPr>
                            <w:szCs w:val="24"/>
                            <w:lang w:val="lt" w:eastAsia="lt-LT"/>
                          </w:rPr>
                        </w:pPr>
                        <w:r>
                          <w:rPr>
                            <w:szCs w:val="24"/>
                            <w:lang w:val="lt" w:eastAsia="lt-LT"/>
                          </w:rPr>
                          <w:t xml:space="preserve">Gleasono balų suma </w:t>
                        </w:r>
                      </w:p>
                      <w:p w14:paraId="50CA2B86" w14:textId="77777777">
                        <w:pPr>
                          <w:widowControl w:val="0"/>
                          <w:jc w:val="center"/>
                          <w:rPr>
                            <w:szCs w:val="24"/>
                            <w:lang w:val="lt" w:eastAsia="lt-LT"/>
                          </w:rPr>
                        </w:pPr>
                        <w:r>
                          <w:rPr>
                            <w:szCs w:val="24"/>
                            <w:lang w:val="lt" w:eastAsia="lt-LT"/>
                          </w:rPr>
                          <w:t xml:space="preserve">(angl. </w:t>
                        </w:r>
                        <w:r>
                          <w:rPr>
                            <w:i/>
                            <w:iCs/>
                            <w:szCs w:val="24"/>
                            <w:lang w:val="lt" w:eastAsia="lt-LT"/>
                          </w:rPr>
                          <w:t>Gleason score</w:t>
                        </w:r>
                        <w:r>
                          <w:rPr>
                            <w:szCs w:val="24"/>
                            <w:lang w:val="lt" w:eastAsia="lt-LT"/>
                          </w:rPr>
                          <w:t>)</w:t>
                        </w:r>
                      </w:p>
                    </w:tc>
                    <w:tc>
                      <w:tcPr>
                        <w:tcW w:w="2547" w:type="dxa"/>
                      </w:tcPr>
                      <w:p w14:paraId="50CA2B87" w14:textId="77777777">
                        <w:pPr>
                          <w:widowControl w:val="0"/>
                          <w:jc w:val="center"/>
                          <w:rPr>
                            <w:szCs w:val="24"/>
                            <w:lang w:val="lt" w:eastAsia="lt-LT"/>
                          </w:rPr>
                        </w:pPr>
                        <w:r>
                          <w:rPr>
                            <w:szCs w:val="24"/>
                            <w:lang w:val="lt" w:eastAsia="lt-LT"/>
                          </w:rPr>
                          <w:t xml:space="preserve">Gleasono balų deriniai </w:t>
                        </w:r>
                      </w:p>
                      <w:p w14:paraId="50CA2B88" w14:textId="77777777">
                        <w:pPr>
                          <w:widowControl w:val="0"/>
                          <w:jc w:val="center"/>
                          <w:rPr>
                            <w:szCs w:val="24"/>
                            <w:lang w:val="lt" w:eastAsia="lt-LT"/>
                          </w:rPr>
                        </w:pPr>
                        <w:r>
                          <w:rPr>
                            <w:szCs w:val="24"/>
                            <w:lang w:val="lt" w:eastAsia="lt-LT"/>
                          </w:rPr>
                          <w:t xml:space="preserve">(angl. </w:t>
                        </w:r>
                        <w:r>
                          <w:rPr>
                            <w:i/>
                            <w:iCs/>
                            <w:szCs w:val="24"/>
                            <w:lang w:val="lt" w:eastAsia="lt-LT"/>
                          </w:rPr>
                          <w:t>Gleason pattern</w:t>
                        </w:r>
                        <w:r>
                          <w:rPr>
                            <w:szCs w:val="24"/>
                            <w:lang w:val="lt" w:eastAsia="lt-LT"/>
                          </w:rPr>
                          <w:t>)</w:t>
                        </w:r>
                      </w:p>
                    </w:tc>
                  </w:tr>
                  <w:tr w14:paraId="50CA2B8E" w14:textId="77777777">
                    <w:tc>
                      <w:tcPr>
                        <w:tcW w:w="562" w:type="dxa"/>
                      </w:tcPr>
                      <w:p w14:paraId="50CA2B8A" w14:textId="77777777">
                        <w:pPr>
                          <w:widowControl w:val="0"/>
                          <w:jc w:val="center"/>
                          <w:rPr>
                            <w:szCs w:val="24"/>
                            <w:lang w:val="lt" w:eastAsia="lt-LT"/>
                          </w:rPr>
                        </w:pPr>
                        <w:r>
                          <w:rPr>
                            <w:szCs w:val="24"/>
                            <w:lang w:val="lt" w:eastAsia="lt-LT"/>
                          </w:rPr>
                          <w:t>1.</w:t>
                        </w:r>
                      </w:p>
                    </w:tc>
                    <w:tc>
                      <w:tcPr>
                        <w:tcW w:w="3969" w:type="dxa"/>
                      </w:tcPr>
                      <w:p w14:paraId="50CA2B8B" w14:textId="77777777">
                        <w:pPr>
                          <w:widowControl w:val="0"/>
                          <w:jc w:val="center"/>
                          <w:rPr>
                            <w:szCs w:val="24"/>
                            <w:lang w:val="lt" w:eastAsia="lt-LT"/>
                          </w:rPr>
                        </w:pPr>
                        <w:r>
                          <w:rPr>
                            <w:szCs w:val="24"/>
                            <w:lang w:val="lt" w:eastAsia="lt-LT"/>
                          </w:rPr>
                          <w:t>1</w:t>
                        </w:r>
                      </w:p>
                    </w:tc>
                    <w:tc>
                      <w:tcPr>
                        <w:tcW w:w="2410" w:type="dxa"/>
                      </w:tcPr>
                      <w:p w14:paraId="50CA2B8C" w14:textId="77777777">
                        <w:pPr>
                          <w:widowControl w:val="0"/>
                          <w:jc w:val="center"/>
                          <w:rPr>
                            <w:szCs w:val="24"/>
                            <w:lang w:val="lt" w:eastAsia="lt-LT"/>
                          </w:rPr>
                        </w:pPr>
                        <w:r>
                          <w:rPr>
                            <w:szCs w:val="24"/>
                            <w:lang w:val="lt" w:eastAsia="lt-LT"/>
                          </w:rPr>
                          <w:t>Mažiau arba lygu 6</w:t>
                        </w:r>
                      </w:p>
                    </w:tc>
                    <w:tc>
                      <w:tcPr>
                        <w:tcW w:w="2547" w:type="dxa"/>
                      </w:tcPr>
                      <w:p w14:paraId="50CA2B8D" w14:textId="77777777">
                        <w:pPr>
                          <w:widowControl w:val="0"/>
                          <w:jc w:val="center"/>
                          <w:rPr>
                            <w:szCs w:val="24"/>
                            <w:lang w:val="lt" w:eastAsia="lt-LT"/>
                          </w:rPr>
                        </w:pPr>
                        <w:r>
                          <w:rPr>
                            <w:szCs w:val="24"/>
                            <w:lang w:val="lt" w:eastAsia="lt-LT"/>
                          </w:rPr>
                          <w:t>Mažiau arba lygu 3+3</w:t>
                        </w:r>
                      </w:p>
                    </w:tc>
                  </w:tr>
                  <w:tr w14:paraId="50CA2B93" w14:textId="77777777">
                    <w:tc>
                      <w:tcPr>
                        <w:tcW w:w="562" w:type="dxa"/>
                      </w:tcPr>
                      <w:p w14:paraId="50CA2B8F" w14:textId="77777777">
                        <w:pPr>
                          <w:widowControl w:val="0"/>
                          <w:jc w:val="center"/>
                          <w:rPr>
                            <w:szCs w:val="24"/>
                            <w:lang w:val="lt" w:eastAsia="lt-LT"/>
                          </w:rPr>
                        </w:pPr>
                        <w:r>
                          <w:rPr>
                            <w:szCs w:val="24"/>
                            <w:lang w:val="lt" w:eastAsia="lt-LT"/>
                          </w:rPr>
                          <w:t>2.</w:t>
                        </w:r>
                      </w:p>
                    </w:tc>
                    <w:tc>
                      <w:tcPr>
                        <w:tcW w:w="3969" w:type="dxa"/>
                      </w:tcPr>
                      <w:p w14:paraId="50CA2B90" w14:textId="77777777">
                        <w:pPr>
                          <w:widowControl w:val="0"/>
                          <w:jc w:val="center"/>
                          <w:rPr>
                            <w:szCs w:val="24"/>
                            <w:lang w:val="lt" w:eastAsia="lt-LT"/>
                          </w:rPr>
                        </w:pPr>
                        <w:r>
                          <w:rPr>
                            <w:szCs w:val="24"/>
                            <w:lang w:val="lt" w:eastAsia="lt-LT"/>
                          </w:rPr>
                          <w:t>2</w:t>
                        </w:r>
                      </w:p>
                    </w:tc>
                    <w:tc>
                      <w:tcPr>
                        <w:tcW w:w="2410" w:type="dxa"/>
                      </w:tcPr>
                      <w:p w14:paraId="50CA2B91" w14:textId="77777777">
                        <w:pPr>
                          <w:widowControl w:val="0"/>
                          <w:jc w:val="center"/>
                          <w:rPr>
                            <w:szCs w:val="24"/>
                            <w:lang w:val="lt" w:eastAsia="lt-LT"/>
                          </w:rPr>
                        </w:pPr>
                        <w:r>
                          <w:rPr>
                            <w:szCs w:val="24"/>
                            <w:lang w:val="lt" w:eastAsia="lt-LT"/>
                          </w:rPr>
                          <w:t>7</w:t>
                        </w:r>
                      </w:p>
                    </w:tc>
                    <w:tc>
                      <w:tcPr>
                        <w:tcW w:w="2547" w:type="dxa"/>
                      </w:tcPr>
                      <w:p w14:paraId="50CA2B92" w14:textId="77777777">
                        <w:pPr>
                          <w:widowControl w:val="0"/>
                          <w:jc w:val="center"/>
                          <w:rPr>
                            <w:szCs w:val="24"/>
                            <w:lang w:val="lt" w:eastAsia="lt-LT"/>
                          </w:rPr>
                        </w:pPr>
                        <w:r>
                          <w:rPr>
                            <w:szCs w:val="24"/>
                            <w:lang w:val="lt" w:eastAsia="lt-LT"/>
                          </w:rPr>
                          <w:t>3+4</w:t>
                        </w:r>
                      </w:p>
                    </w:tc>
                  </w:tr>
                  <w:tr w14:paraId="50CA2B98" w14:textId="77777777">
                    <w:tc>
                      <w:tcPr>
                        <w:tcW w:w="562" w:type="dxa"/>
                      </w:tcPr>
                      <w:p w14:paraId="50CA2B94" w14:textId="77777777">
                        <w:pPr>
                          <w:widowControl w:val="0"/>
                          <w:jc w:val="center"/>
                          <w:rPr>
                            <w:szCs w:val="24"/>
                            <w:lang w:val="lt" w:eastAsia="lt-LT"/>
                          </w:rPr>
                        </w:pPr>
                        <w:r>
                          <w:rPr>
                            <w:szCs w:val="24"/>
                            <w:lang w:val="lt" w:eastAsia="lt-LT"/>
                          </w:rPr>
                          <w:t>3.</w:t>
                        </w:r>
                      </w:p>
                    </w:tc>
                    <w:tc>
                      <w:tcPr>
                        <w:tcW w:w="3969" w:type="dxa"/>
                      </w:tcPr>
                      <w:p w14:paraId="50CA2B95" w14:textId="77777777">
                        <w:pPr>
                          <w:widowControl w:val="0"/>
                          <w:jc w:val="center"/>
                          <w:rPr>
                            <w:szCs w:val="24"/>
                            <w:lang w:val="lt" w:eastAsia="lt-LT"/>
                          </w:rPr>
                        </w:pPr>
                        <w:r>
                          <w:rPr>
                            <w:szCs w:val="24"/>
                            <w:lang w:val="lt" w:eastAsia="lt-LT"/>
                          </w:rPr>
                          <w:t>3</w:t>
                        </w:r>
                      </w:p>
                    </w:tc>
                    <w:tc>
                      <w:tcPr>
                        <w:tcW w:w="2410" w:type="dxa"/>
                      </w:tcPr>
                      <w:p w14:paraId="50CA2B96" w14:textId="77777777">
                        <w:pPr>
                          <w:widowControl w:val="0"/>
                          <w:jc w:val="center"/>
                          <w:rPr>
                            <w:szCs w:val="24"/>
                            <w:lang w:val="lt" w:eastAsia="lt-LT"/>
                          </w:rPr>
                        </w:pPr>
                        <w:r>
                          <w:rPr>
                            <w:szCs w:val="24"/>
                            <w:lang w:val="lt" w:eastAsia="lt-LT"/>
                          </w:rPr>
                          <w:t>7</w:t>
                        </w:r>
                      </w:p>
                    </w:tc>
                    <w:tc>
                      <w:tcPr>
                        <w:tcW w:w="2547" w:type="dxa"/>
                      </w:tcPr>
                      <w:p w14:paraId="50CA2B97" w14:textId="77777777">
                        <w:pPr>
                          <w:widowControl w:val="0"/>
                          <w:jc w:val="center"/>
                          <w:rPr>
                            <w:szCs w:val="24"/>
                            <w:lang w:val="lt" w:eastAsia="lt-LT"/>
                          </w:rPr>
                        </w:pPr>
                        <w:r>
                          <w:rPr>
                            <w:szCs w:val="24"/>
                            <w:lang w:val="lt" w:eastAsia="lt-LT"/>
                          </w:rPr>
                          <w:t>4+3</w:t>
                        </w:r>
                      </w:p>
                    </w:tc>
                  </w:tr>
                  <w:tr w14:paraId="50CA2B9D" w14:textId="77777777">
                    <w:tc>
                      <w:tcPr>
                        <w:tcW w:w="562" w:type="dxa"/>
                      </w:tcPr>
                      <w:p w14:paraId="50CA2B99" w14:textId="77777777">
                        <w:pPr>
                          <w:widowControl w:val="0"/>
                          <w:jc w:val="center"/>
                          <w:rPr>
                            <w:szCs w:val="24"/>
                            <w:lang w:val="lt" w:eastAsia="lt-LT"/>
                          </w:rPr>
                        </w:pPr>
                        <w:r>
                          <w:rPr>
                            <w:szCs w:val="24"/>
                            <w:lang w:val="lt" w:eastAsia="lt-LT"/>
                          </w:rPr>
                          <w:t>4.</w:t>
                        </w:r>
                      </w:p>
                    </w:tc>
                    <w:tc>
                      <w:tcPr>
                        <w:tcW w:w="3969" w:type="dxa"/>
                      </w:tcPr>
                      <w:p w14:paraId="50CA2B9A" w14:textId="77777777">
                        <w:pPr>
                          <w:widowControl w:val="0"/>
                          <w:jc w:val="center"/>
                          <w:rPr>
                            <w:szCs w:val="24"/>
                            <w:lang w:val="lt" w:eastAsia="lt-LT"/>
                          </w:rPr>
                        </w:pPr>
                        <w:r>
                          <w:rPr>
                            <w:szCs w:val="24"/>
                            <w:lang w:val="lt" w:eastAsia="lt-LT"/>
                          </w:rPr>
                          <w:t>4</w:t>
                        </w:r>
                      </w:p>
                    </w:tc>
                    <w:tc>
                      <w:tcPr>
                        <w:tcW w:w="2410" w:type="dxa"/>
                      </w:tcPr>
                      <w:p w14:paraId="50CA2B9B" w14:textId="77777777">
                        <w:pPr>
                          <w:widowControl w:val="0"/>
                          <w:jc w:val="center"/>
                          <w:rPr>
                            <w:szCs w:val="24"/>
                            <w:lang w:val="lt" w:eastAsia="lt-LT"/>
                          </w:rPr>
                        </w:pPr>
                        <w:r>
                          <w:rPr>
                            <w:szCs w:val="24"/>
                            <w:lang w:val="lt" w:eastAsia="lt-LT"/>
                          </w:rPr>
                          <w:t>8</w:t>
                        </w:r>
                      </w:p>
                    </w:tc>
                    <w:tc>
                      <w:tcPr>
                        <w:tcW w:w="2547" w:type="dxa"/>
                      </w:tcPr>
                      <w:p w14:paraId="50CA2B9C" w14:textId="77777777">
                        <w:pPr>
                          <w:widowControl w:val="0"/>
                          <w:jc w:val="center"/>
                          <w:rPr>
                            <w:szCs w:val="24"/>
                            <w:lang w:val="lt" w:eastAsia="lt-LT"/>
                          </w:rPr>
                        </w:pPr>
                        <w:r>
                          <w:rPr>
                            <w:szCs w:val="24"/>
                            <w:lang w:val="lt" w:eastAsia="lt-LT"/>
                          </w:rPr>
                          <w:t>4+4; 3+5; 5+3</w:t>
                        </w:r>
                      </w:p>
                    </w:tc>
                  </w:tr>
                  <w:tr w14:paraId="50CA2BA2" w14:textId="77777777">
                    <w:tc>
                      <w:tcPr>
                        <w:tcW w:w="562" w:type="dxa"/>
                      </w:tcPr>
                      <w:p w14:paraId="50CA2B9E" w14:textId="77777777">
                        <w:pPr>
                          <w:widowControl w:val="0"/>
                          <w:jc w:val="center"/>
                          <w:rPr>
                            <w:szCs w:val="24"/>
                            <w:lang w:val="lt" w:eastAsia="lt-LT"/>
                          </w:rPr>
                        </w:pPr>
                        <w:r>
                          <w:rPr>
                            <w:szCs w:val="24"/>
                            <w:lang w:val="lt" w:eastAsia="lt-LT"/>
                          </w:rPr>
                          <w:t>5.</w:t>
                        </w:r>
                      </w:p>
                    </w:tc>
                    <w:tc>
                      <w:tcPr>
                        <w:tcW w:w="3969" w:type="dxa"/>
                      </w:tcPr>
                      <w:p w14:paraId="50CA2B9F" w14:textId="77777777">
                        <w:pPr>
                          <w:widowControl w:val="0"/>
                          <w:jc w:val="center"/>
                          <w:rPr>
                            <w:szCs w:val="24"/>
                            <w:lang w:val="lt" w:eastAsia="lt-LT"/>
                          </w:rPr>
                        </w:pPr>
                        <w:r>
                          <w:rPr>
                            <w:szCs w:val="24"/>
                            <w:lang w:val="lt" w:eastAsia="lt-LT"/>
                          </w:rPr>
                          <w:t>5</w:t>
                        </w:r>
                      </w:p>
                    </w:tc>
                    <w:tc>
                      <w:tcPr>
                        <w:tcW w:w="2410" w:type="dxa"/>
                      </w:tcPr>
                      <w:p w14:paraId="50CA2BA0" w14:textId="77777777">
                        <w:pPr>
                          <w:widowControl w:val="0"/>
                          <w:jc w:val="center"/>
                          <w:rPr>
                            <w:szCs w:val="24"/>
                            <w:lang w:val="lt" w:eastAsia="lt-LT"/>
                          </w:rPr>
                        </w:pPr>
                        <w:r>
                          <w:rPr>
                            <w:szCs w:val="24"/>
                            <w:lang w:val="lt" w:eastAsia="lt-LT"/>
                          </w:rPr>
                          <w:t>9 arba 10</w:t>
                        </w:r>
                      </w:p>
                    </w:tc>
                    <w:tc>
                      <w:tcPr>
                        <w:tcW w:w="2547" w:type="dxa"/>
                      </w:tcPr>
                      <w:p w14:paraId="50CA2BA1" w14:textId="77777777">
                        <w:pPr>
                          <w:widowControl w:val="0"/>
                          <w:jc w:val="center"/>
                          <w:rPr>
                            <w:szCs w:val="24"/>
                            <w:lang w:val="lt" w:eastAsia="lt-LT"/>
                          </w:rPr>
                        </w:pPr>
                        <w:r>
                          <w:rPr>
                            <w:szCs w:val="24"/>
                            <w:lang w:val="lt" w:eastAsia="lt-LT"/>
                          </w:rPr>
                          <w:t>4+5; 5+4; 5+5</w:t>
                        </w:r>
                      </w:p>
                    </w:tc>
                  </w:tr>
                </w:tbl>
                <w:p/>
              </w:sdtContent>
            </w:sdt>
            <w:sdt>
              <w:sdtPr>
                <w:alias w:val="10 p."/>
                <w:tag w:val="part_c1e06347417b46f3a2388384c75acc1b"/>
                <w:lock w:val="sdtLocked"/>
                <w:richText/>
              </w:sdtPr>
              <w:sdtContent>
                <w:p w14:paraId="50CA2BA3" w14:textId="77777777">
                  <w:pPr>
                    <w:widowControl w:val="0"/>
                    <w:ind w:firstLine="709"/>
                    <w:jc w:val="both"/>
                    <w:rPr>
                      <w:color w:val="000000"/>
                      <w:szCs w:val="24"/>
                      <w:lang w:val="lt" w:eastAsia="lt-LT"/>
                    </w:rPr>
                  </w:pPr>
                  <w:sdt>
                    <w:sdtPr>
                      <w:alias w:val="Numeris"/>
                      <w:tag w:val="nr_c1e06347417b46f3a2388384c75acc1b"/>
                      <w:lock w:val="sdtLocked"/>
                      <w:richText/>
                    </w:sdtPr>
                    <w:sdtContent>
                      <w:r>
                        <w:rPr>
                          <w:color w:val="000000"/>
                          <w:szCs w:val="24"/>
                          <w:lang w:val="lt" w:eastAsia="lt-LT"/>
                        </w:rPr>
                        <w:t>10</w:t>
                      </w:r>
                    </w:sdtContent>
                  </w:sdt>
                  <w:r>
                    <w:rPr>
                      <w:color w:val="000000"/>
                      <w:szCs w:val="24"/>
                      <w:lang w:val="lt" w:eastAsia="lt-LT"/>
                    </w:rPr>
                    <w:t>. Priešinės liaukos piktybinio naviko, esant kliniškai lokalizuotai ligai, progresavimo rizikos grupė nustatoma pagal 2 lentelėje nurodytus kriterijus.</w:t>
                  </w:r>
                </w:p>
                <w:p w14:paraId="0A3C78AA" w14:textId="77777777">
                  <w:pPr>
                    <w:widowControl w:val="0"/>
                    <w:jc w:val="both"/>
                    <w:rPr>
                      <w:b/>
                      <w:bCs/>
                      <w:color w:val="000000"/>
                      <w:szCs w:val="24"/>
                      <w:lang w:val="lt" w:eastAsia="lt-LT"/>
                    </w:rPr>
                  </w:pPr>
                </w:p>
                <w:p w14:paraId="50CA2BA4" w14:textId="37EFEBF9">
                  <w:pPr>
                    <w:widowControl w:val="0"/>
                    <w:jc w:val="both"/>
                    <w:rPr>
                      <w:color w:val="000000"/>
                      <w:szCs w:val="24"/>
                      <w:lang w:val="lt" w:eastAsia="lt-LT"/>
                    </w:rPr>
                  </w:pPr>
                  <w:r>
                    <w:rPr>
                      <w:b/>
                      <w:bCs/>
                      <w:color w:val="000000"/>
                      <w:szCs w:val="24"/>
                      <w:lang w:val="lt" w:eastAsia="lt-LT"/>
                    </w:rPr>
                    <w:t>2 lentelė</w:t>
                  </w:r>
                  <w:r>
                    <w:rPr>
                      <w:color w:val="000000"/>
                      <w:szCs w:val="24"/>
                      <w:lang w:val="lt" w:eastAsia="lt-LT"/>
                    </w:rPr>
                    <w:t xml:space="preserve">. Jungtinių Amerikos valstijų nacionalinio visapusiškų vėžio centrų tinklo (angl. </w:t>
                  </w:r>
                  <w:r>
                    <w:rPr>
                      <w:i/>
                      <w:iCs/>
                      <w:color w:val="000000"/>
                      <w:szCs w:val="24"/>
                      <w:lang w:val="lt" w:eastAsia="lt-LT"/>
                    </w:rPr>
                    <w:t>N</w:t>
                  </w:r>
                  <w:r>
                    <w:rPr>
                      <w:i/>
                      <w:iCs/>
                      <w:color w:val="484848"/>
                      <w:szCs w:val="24"/>
                      <w:lang w:val="lt" w:eastAsia="lt-LT"/>
                    </w:rPr>
                    <w:t>ational Comprehensive Cancer Network (NCCN)</w:t>
                  </w:r>
                  <w:r>
                    <w:rPr>
                      <w:color w:val="484848"/>
                      <w:szCs w:val="24"/>
                      <w:lang w:val="lt" w:eastAsia="lt-LT"/>
                    </w:rPr>
                    <w:t xml:space="preserve"> 2025 m. parengti </w:t>
                  </w:r>
                  <w:r>
                    <w:rPr>
                      <w:color w:val="000000"/>
                      <w:szCs w:val="24"/>
                      <w:lang w:val="lt" w:eastAsia="lt-LT"/>
                    </w:rPr>
                    <w:t>Priešinės liaukos piktybinio naviko, esant kliniškai lokalizuotai ligai, progresavimo rizikos grupės nustatymo kriterijai</w:t>
                  </w:r>
                </w:p>
                <w:tbl>
                  <w:tblPr>
                    <w:tblW w:w="9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9"/>
                    <w:gridCol w:w="1536"/>
                    <w:gridCol w:w="2722"/>
                    <w:gridCol w:w="1203"/>
                    <w:gridCol w:w="3267"/>
                  </w:tblGrid>
                  <w:tr w14:paraId="50CA2BA8" w14:textId="77777777">
                    <w:tc>
                      <w:tcPr>
                        <w:tcW w:w="699" w:type="dxa"/>
                      </w:tcPr>
                      <w:p w14:paraId="50CA2BA5" w14:textId="77777777">
                        <w:pPr>
                          <w:widowControl w:val="0"/>
                          <w:jc w:val="both"/>
                          <w:rPr>
                            <w:color w:val="000000"/>
                            <w:szCs w:val="24"/>
                            <w:lang w:val="lt" w:eastAsia="lt-LT"/>
                          </w:rPr>
                        </w:pPr>
                        <w:r>
                          <w:rPr>
                            <w:color w:val="000000"/>
                            <w:szCs w:val="24"/>
                            <w:lang w:val="lt" w:eastAsia="lt-LT"/>
                          </w:rPr>
                          <w:t xml:space="preserve">Eil Nr. </w:t>
                        </w:r>
                      </w:p>
                    </w:tc>
                    <w:tc>
                      <w:tcPr>
                        <w:tcW w:w="1536" w:type="dxa"/>
                      </w:tcPr>
                      <w:p w14:paraId="50CA2BA6" w14:textId="77777777">
                        <w:pPr>
                          <w:widowControl w:val="0"/>
                          <w:jc w:val="center"/>
                          <w:rPr>
                            <w:color w:val="000000"/>
                            <w:szCs w:val="24"/>
                            <w:lang w:val="lt" w:eastAsia="lt-LT"/>
                          </w:rPr>
                        </w:pPr>
                        <w:r>
                          <w:rPr>
                            <w:color w:val="000000"/>
                            <w:szCs w:val="24"/>
                            <w:lang w:val="lt" w:eastAsia="lt-LT"/>
                          </w:rPr>
                          <w:t>Ligos progresavimo rizika</w:t>
                        </w:r>
                      </w:p>
                    </w:tc>
                    <w:tc>
                      <w:tcPr>
                        <w:tcW w:w="7192" w:type="dxa"/>
                        <w:gridSpan w:val="3"/>
                      </w:tcPr>
                      <w:p w14:paraId="50CA2BA7" w14:textId="77777777">
                        <w:pPr>
                          <w:widowControl w:val="0"/>
                          <w:jc w:val="center"/>
                          <w:rPr>
                            <w:color w:val="000000"/>
                            <w:szCs w:val="24"/>
                            <w:lang w:val="lt" w:eastAsia="lt-LT"/>
                          </w:rPr>
                        </w:pPr>
                        <w:r>
                          <w:rPr>
                            <w:color w:val="000000"/>
                            <w:szCs w:val="24"/>
                            <w:lang w:val="lt" w:eastAsia="lt-LT"/>
                          </w:rPr>
                          <w:t>Kriterijai / faktoriai</w:t>
                        </w:r>
                      </w:p>
                    </w:tc>
                  </w:tr>
                  <w:tr w14:paraId="50CA2BB1" w14:textId="77777777">
                    <w:tc>
                      <w:tcPr>
                        <w:tcW w:w="699" w:type="dxa"/>
                      </w:tcPr>
                      <w:p w14:paraId="50CA2BA9" w14:textId="77777777">
                        <w:pPr>
                          <w:widowControl w:val="0"/>
                          <w:rPr>
                            <w:color w:val="000000"/>
                            <w:szCs w:val="24"/>
                            <w:lang w:val="lt" w:eastAsia="lt-LT"/>
                          </w:rPr>
                        </w:pPr>
                        <w:r>
                          <w:rPr>
                            <w:color w:val="000000"/>
                            <w:szCs w:val="24"/>
                            <w:lang w:val="lt" w:eastAsia="lt-LT"/>
                          </w:rPr>
                          <w:t>1.</w:t>
                        </w:r>
                      </w:p>
                    </w:tc>
                    <w:tc>
                      <w:tcPr>
                        <w:tcW w:w="1536" w:type="dxa"/>
                      </w:tcPr>
                      <w:p w14:paraId="50CA2BAA" w14:textId="77777777">
                        <w:pPr>
                          <w:widowControl w:val="0"/>
                          <w:rPr>
                            <w:color w:val="000000"/>
                            <w:szCs w:val="24"/>
                            <w:lang w:val="lt" w:eastAsia="lt-LT"/>
                          </w:rPr>
                        </w:pPr>
                        <w:r>
                          <w:rPr>
                            <w:color w:val="000000"/>
                            <w:szCs w:val="24"/>
                            <w:lang w:val="lt" w:eastAsia="lt-LT"/>
                          </w:rPr>
                          <w:t>Labai žema</w:t>
                        </w:r>
                      </w:p>
                    </w:tc>
                    <w:tc>
                      <w:tcPr>
                        <w:tcW w:w="7192" w:type="dxa"/>
                        <w:gridSpan w:val="3"/>
                      </w:tcPr>
                      <w:p w14:paraId="50CA2BAB" w14:textId="77777777">
                        <w:pPr>
                          <w:widowControl w:val="0"/>
                          <w:jc w:val="both"/>
                          <w:rPr>
                            <w:color w:val="000000"/>
                            <w:szCs w:val="24"/>
                            <w:lang w:val="lt" w:eastAsia="lt-LT"/>
                          </w:rPr>
                        </w:pPr>
                        <w:r>
                          <w:rPr>
                            <w:color w:val="000000"/>
                            <w:szCs w:val="24"/>
                            <w:lang w:val="lt" w:eastAsia="lt-LT"/>
                          </w:rPr>
                          <w:t>Atitinka visus išvardytus kriterijus:</w:t>
                        </w:r>
                      </w:p>
                      <w:p w14:paraId="50CA2BAC" w14:textId="77777777">
                        <w:pPr>
                          <w:widowControl w:val="0"/>
                          <w:jc w:val="both"/>
                          <w:rPr>
                            <w:color w:val="000000"/>
                            <w:szCs w:val="24"/>
                            <w:lang w:val="lt" w:eastAsia="lt-LT"/>
                          </w:rPr>
                        </w:pPr>
                        <w:r>
                          <w:rPr>
                            <w:color w:val="000000"/>
                            <w:szCs w:val="24"/>
                            <w:lang w:val="lt" w:eastAsia="lt-LT"/>
                          </w:rPr>
                          <w:t>1.1. 1 ligos stadija cT1c;</w:t>
                        </w:r>
                      </w:p>
                      <w:p w14:paraId="50CA2BAD" w14:textId="77777777">
                        <w:pPr>
                          <w:widowControl w:val="0"/>
                          <w:rPr>
                            <w:color w:val="000000"/>
                            <w:szCs w:val="24"/>
                            <w:lang w:val="lt" w:eastAsia="lt-LT"/>
                          </w:rPr>
                        </w:pPr>
                        <w:r>
                          <w:rPr>
                            <w:color w:val="000000"/>
                            <w:szCs w:val="24"/>
                            <w:lang w:val="lt" w:eastAsia="lt-LT"/>
                          </w:rPr>
                          <w:t>1.2. 1 priešinės liaukos piktybinio naviko laipsnio grupė;</w:t>
                        </w:r>
                      </w:p>
                      <w:p w14:paraId="50CA2BAE" w14:textId="77777777">
                        <w:pPr>
                          <w:widowControl w:val="0"/>
                          <w:rPr>
                            <w:color w:val="000000"/>
                            <w:szCs w:val="24"/>
                            <w:lang w:val="lt" w:eastAsia="lt-LT"/>
                          </w:rPr>
                        </w:pPr>
                        <w:r>
                          <w:rPr>
                            <w:color w:val="000000"/>
                            <w:szCs w:val="24"/>
                            <w:lang w:val="lt" w:eastAsia="lt-LT"/>
                          </w:rPr>
                          <w:t>1.3. PSA – mažiau kaip 10 ng/ml;</w:t>
                        </w:r>
                      </w:p>
                      <w:p w14:paraId="50CA2BAF" w14:textId="40BA9F84">
                        <w:pPr>
                          <w:widowControl w:val="0"/>
                          <w:rPr>
                            <w:color w:val="000000"/>
                            <w:szCs w:val="24"/>
                            <w:lang w:val="lt" w:eastAsia="lt-LT"/>
                          </w:rPr>
                        </w:pPr>
                        <w:r>
                          <w:rPr>
                            <w:color w:val="000000"/>
                            <w:szCs w:val="24"/>
                            <w:lang w:val="lt" w:eastAsia="lt-LT"/>
                          </w:rPr>
                          <w:t>1.4. mažiau kaip 3-uose priešinės liaukos biopsinės medžiagos ėminiuose nustatyta priešinės liaukos piktybinio naviko ląstelių, piktybinio naviko porcija kiekviename ėminyje – mažiau kaip 50 proc.;</w:t>
                        </w:r>
                      </w:p>
                      <w:p w14:paraId="50CA2BB0" w14:textId="77777777">
                        <w:pPr>
                          <w:widowControl w:val="0"/>
                          <w:rPr>
                            <w:color w:val="000000"/>
                            <w:szCs w:val="24"/>
                            <w:lang w:val="lt" w:eastAsia="lt-LT"/>
                          </w:rPr>
                        </w:pPr>
                        <w:r>
                          <w:rPr>
                            <w:color w:val="000000"/>
                            <w:szCs w:val="24"/>
                            <w:lang w:val="lt" w:eastAsia="lt-LT"/>
                          </w:rPr>
                          <w:t>1.5. PSA tankis – mažiau kaip 0,15 ng/ml.</w:t>
                        </w:r>
                      </w:p>
                    </w:tc>
                  </w:tr>
                  <w:tr w14:paraId="50CA2BB8" w14:textId="77777777">
                    <w:tc>
                      <w:tcPr>
                        <w:tcW w:w="699" w:type="dxa"/>
                      </w:tcPr>
                      <w:p w14:paraId="50CA2BB2" w14:textId="77777777">
                        <w:pPr>
                          <w:widowControl w:val="0"/>
                          <w:jc w:val="both"/>
                          <w:rPr>
                            <w:color w:val="000000"/>
                            <w:szCs w:val="24"/>
                            <w:lang w:val="lt" w:eastAsia="lt-LT"/>
                          </w:rPr>
                        </w:pPr>
                        <w:r>
                          <w:rPr>
                            <w:color w:val="000000"/>
                            <w:szCs w:val="24"/>
                            <w:lang w:val="lt" w:eastAsia="lt-LT"/>
                          </w:rPr>
                          <w:t>2.</w:t>
                        </w:r>
                      </w:p>
                    </w:tc>
                    <w:tc>
                      <w:tcPr>
                        <w:tcW w:w="1536" w:type="dxa"/>
                      </w:tcPr>
                      <w:p w14:paraId="50CA2BB3" w14:textId="77777777">
                        <w:pPr>
                          <w:widowControl w:val="0"/>
                          <w:jc w:val="both"/>
                          <w:rPr>
                            <w:color w:val="000000"/>
                            <w:szCs w:val="24"/>
                            <w:lang w:val="lt" w:eastAsia="lt-LT"/>
                          </w:rPr>
                        </w:pPr>
                        <w:r>
                          <w:rPr>
                            <w:color w:val="000000"/>
                            <w:szCs w:val="24"/>
                            <w:lang w:val="lt" w:eastAsia="lt-LT"/>
                          </w:rPr>
                          <w:t>Žema</w:t>
                        </w:r>
                      </w:p>
                    </w:tc>
                    <w:tc>
                      <w:tcPr>
                        <w:tcW w:w="7192" w:type="dxa"/>
                        <w:gridSpan w:val="3"/>
                      </w:tcPr>
                      <w:p w14:paraId="50CA2BB4" w14:textId="77777777">
                        <w:pPr>
                          <w:widowControl w:val="0"/>
                          <w:rPr>
                            <w:color w:val="000000"/>
                            <w:szCs w:val="24"/>
                            <w:lang w:val="lt" w:eastAsia="lt-LT"/>
                          </w:rPr>
                        </w:pPr>
                        <w:r>
                          <w:rPr>
                            <w:color w:val="000000"/>
                            <w:szCs w:val="24"/>
                            <w:lang w:val="lt" w:eastAsia="lt-LT"/>
                          </w:rPr>
                          <w:t>Atitinka visus išvardytus kriterijus, bet nepriskiriama labai žemos rizikos grupei:</w:t>
                        </w:r>
                      </w:p>
                      <w:p w14:paraId="50CA2BB5" w14:textId="77777777">
                        <w:pPr>
                          <w:widowControl w:val="0"/>
                          <w:jc w:val="both"/>
                          <w:rPr>
                            <w:color w:val="000000"/>
                            <w:szCs w:val="24"/>
                            <w:lang w:val="lt" w:eastAsia="lt-LT"/>
                          </w:rPr>
                        </w:pPr>
                        <w:r>
                          <w:rPr>
                            <w:color w:val="000000"/>
                            <w:szCs w:val="24"/>
                            <w:lang w:val="lt" w:eastAsia="lt-LT"/>
                          </w:rPr>
                          <w:t>2.1. ligos stadija cT1-cT2a;</w:t>
                        </w:r>
                      </w:p>
                      <w:p w14:paraId="50CA2BB6" w14:textId="77777777">
                        <w:pPr>
                          <w:widowControl w:val="0"/>
                          <w:rPr>
                            <w:color w:val="000000"/>
                            <w:szCs w:val="24"/>
                            <w:lang w:val="lt" w:eastAsia="lt-LT"/>
                          </w:rPr>
                        </w:pPr>
                        <w:r>
                          <w:rPr>
                            <w:color w:val="000000"/>
                            <w:szCs w:val="24"/>
                            <w:lang w:val="lt" w:eastAsia="lt-LT"/>
                          </w:rPr>
                          <w:t>2.2. 1 priešinės liaukos piktybinio naviko laipsnio grupė;</w:t>
                        </w:r>
                      </w:p>
                      <w:p w14:paraId="50CA2BB7" w14:textId="77777777">
                        <w:pPr>
                          <w:widowControl w:val="0"/>
                          <w:jc w:val="both"/>
                          <w:rPr>
                            <w:color w:val="000000"/>
                            <w:szCs w:val="24"/>
                            <w:lang w:val="lt" w:eastAsia="lt-LT"/>
                          </w:rPr>
                        </w:pPr>
                        <w:r>
                          <w:rPr>
                            <w:color w:val="000000"/>
                            <w:szCs w:val="24"/>
                            <w:lang w:val="lt" w:eastAsia="lt-LT"/>
                          </w:rPr>
                          <w:t>2.3. PSA – mažiau kaip 10 ng/ml.</w:t>
                        </w:r>
                      </w:p>
                    </w:tc>
                  </w:tr>
                  <w:tr w14:paraId="50CA2BCB" w14:textId="77777777">
                    <w:tc>
                      <w:tcPr>
                        <w:tcW w:w="699" w:type="dxa"/>
                        <w:vMerge w:val="restart"/>
                      </w:tcPr>
                      <w:p w14:paraId="50CA2BB9" w14:textId="77777777">
                        <w:pPr>
                          <w:widowControl w:val="0"/>
                          <w:jc w:val="both"/>
                          <w:rPr>
                            <w:color w:val="000000"/>
                            <w:szCs w:val="24"/>
                            <w:lang w:val="lt" w:eastAsia="lt-LT"/>
                          </w:rPr>
                        </w:pPr>
                        <w:r>
                          <w:rPr>
                            <w:color w:val="000000"/>
                            <w:szCs w:val="24"/>
                            <w:lang w:val="lt" w:eastAsia="lt-LT"/>
                          </w:rPr>
                          <w:t>3.</w:t>
                        </w:r>
                      </w:p>
                    </w:tc>
                    <w:tc>
                      <w:tcPr>
                        <w:tcW w:w="1536" w:type="dxa"/>
                        <w:vMerge w:val="restart"/>
                      </w:tcPr>
                      <w:p w14:paraId="50CA2BBA" w14:textId="77777777">
                        <w:pPr>
                          <w:widowControl w:val="0"/>
                          <w:jc w:val="both"/>
                          <w:rPr>
                            <w:color w:val="000000"/>
                            <w:szCs w:val="24"/>
                            <w:lang w:val="lt" w:eastAsia="lt-LT"/>
                          </w:rPr>
                        </w:pPr>
                        <w:r>
                          <w:rPr>
                            <w:color w:val="000000"/>
                            <w:szCs w:val="24"/>
                            <w:lang w:val="lt" w:eastAsia="lt-LT"/>
                          </w:rPr>
                          <w:t>Vidutinė</w:t>
                        </w:r>
                      </w:p>
                    </w:tc>
                    <w:tc>
                      <w:tcPr>
                        <w:tcW w:w="2722" w:type="dxa"/>
                        <w:vMerge w:val="restart"/>
                      </w:tcPr>
                      <w:p w14:paraId="50CA2BBB" w14:textId="77777777">
                        <w:pPr>
                          <w:widowControl w:val="0"/>
                          <w:jc w:val="both"/>
                          <w:rPr>
                            <w:color w:val="000000"/>
                            <w:szCs w:val="24"/>
                            <w:lang w:val="lt" w:eastAsia="lt-LT"/>
                          </w:rPr>
                        </w:pPr>
                        <w:r>
                          <w:rPr>
                            <w:color w:val="000000"/>
                            <w:szCs w:val="24"/>
                            <w:lang w:val="lt" w:eastAsia="lt-LT"/>
                          </w:rPr>
                          <w:t>3.1. Atitinka visus išvardytus kriterijus:</w:t>
                        </w:r>
                      </w:p>
                      <w:p w14:paraId="50CA2BBC" w14:textId="77777777">
                        <w:pPr>
                          <w:widowControl w:val="0"/>
                          <w:rPr>
                            <w:color w:val="000000"/>
                            <w:szCs w:val="24"/>
                            <w:lang w:val="lt" w:eastAsia="lt-LT"/>
                          </w:rPr>
                        </w:pPr>
                        <w:r>
                          <w:rPr>
                            <w:color w:val="000000"/>
                            <w:szCs w:val="24"/>
                            <w:lang w:val="lt" w:eastAsia="lt-LT"/>
                          </w:rPr>
                          <w:t>3.1.1. nėra aukštos rizikos faktorių;</w:t>
                        </w:r>
                      </w:p>
                      <w:p w14:paraId="50CA2BBD" w14:textId="77777777">
                        <w:pPr>
                          <w:widowControl w:val="0"/>
                          <w:rPr>
                            <w:color w:val="000000"/>
                            <w:szCs w:val="24"/>
                            <w:lang w:val="lt" w:eastAsia="lt-LT"/>
                          </w:rPr>
                        </w:pPr>
                        <w:r>
                          <w:rPr>
                            <w:color w:val="000000"/>
                            <w:szCs w:val="24"/>
                            <w:lang w:val="lt" w:eastAsia="lt-LT"/>
                          </w:rPr>
                          <w:t>3.1.2. nėra labai aukštos rizikos faktorių;</w:t>
                        </w:r>
                      </w:p>
                      <w:p w14:paraId="50CA2BBE" w14:textId="77777777">
                        <w:pPr>
                          <w:widowControl w:val="0"/>
                          <w:rPr>
                            <w:color w:val="000000"/>
                            <w:szCs w:val="24"/>
                            <w:lang w:val="lt" w:eastAsia="lt-LT"/>
                          </w:rPr>
                        </w:pPr>
                        <w:r>
                          <w:rPr>
                            <w:color w:val="000000"/>
                            <w:szCs w:val="24"/>
                            <w:lang w:val="lt" w:eastAsia="lt-LT"/>
                          </w:rPr>
                          <w:t>3.1.3. yra vienas arba keli vidutinės rizikos faktoriai (toliau – VRF):</w:t>
                        </w:r>
                      </w:p>
                      <w:p w14:paraId="50CA2BBF" w14:textId="77777777">
                        <w:pPr>
                          <w:widowControl w:val="0"/>
                          <w:rPr>
                            <w:color w:val="000000"/>
                            <w:szCs w:val="24"/>
                            <w:lang w:val="lt" w:eastAsia="lt-LT"/>
                          </w:rPr>
                        </w:pPr>
                        <w:r>
                          <w:rPr>
                            <w:color w:val="000000"/>
                            <w:szCs w:val="24"/>
                            <w:lang w:val="lt" w:eastAsia="lt-LT"/>
                          </w:rPr>
                          <w:t>3.1.3.1. ligos stadija cT2b-cT2c;</w:t>
                        </w:r>
                      </w:p>
                      <w:p w14:paraId="50CA2BC0" w14:textId="77777777">
                        <w:pPr>
                          <w:widowControl w:val="0"/>
                          <w:rPr>
                            <w:color w:val="000000"/>
                            <w:szCs w:val="24"/>
                            <w:lang w:val="lt" w:eastAsia="lt-LT"/>
                          </w:rPr>
                        </w:pPr>
                        <w:r>
                          <w:rPr>
                            <w:color w:val="000000"/>
                            <w:szCs w:val="24"/>
                            <w:lang w:val="lt" w:eastAsia="lt-LT"/>
                          </w:rPr>
                          <w:t>3.1.3.2. 2 arba 3 priešinės liaukos piktybinio naviko laipsnio grupė;</w:t>
                        </w:r>
                      </w:p>
                      <w:p w14:paraId="50CA2BC1" w14:textId="77777777">
                        <w:pPr>
                          <w:widowControl w:val="0"/>
                          <w:jc w:val="both"/>
                          <w:rPr>
                            <w:color w:val="000000"/>
                            <w:szCs w:val="24"/>
                            <w:lang w:val="lt" w:eastAsia="lt-LT"/>
                          </w:rPr>
                        </w:pPr>
                        <w:r>
                          <w:rPr>
                            <w:color w:val="000000"/>
                            <w:szCs w:val="24"/>
                            <w:lang w:val="lt" w:eastAsia="lt-LT"/>
                          </w:rPr>
                          <w:t>3.1.3.3. PSA – 10–20 ng/ml.</w:t>
                        </w:r>
                      </w:p>
                      <w:p w14:paraId="50CA2BC2" w14:textId="77777777">
                        <w:pPr>
                          <w:widowControl w:val="0"/>
                          <w:jc w:val="both"/>
                          <w:rPr>
                            <w:color w:val="000000"/>
                            <w:szCs w:val="24"/>
                            <w:lang w:val="lt" w:eastAsia="lt-LT"/>
                          </w:rPr>
                        </w:pPr>
                      </w:p>
                      <w:p w14:paraId="50CA2BC3" w14:textId="77777777">
                        <w:pPr>
                          <w:widowControl w:val="0"/>
                          <w:jc w:val="both"/>
                          <w:rPr>
                            <w:color w:val="000000"/>
                            <w:szCs w:val="24"/>
                            <w:lang w:val="lt" w:eastAsia="lt-LT"/>
                          </w:rPr>
                        </w:pPr>
                      </w:p>
                      <w:p w14:paraId="50CA2BC4" w14:textId="77777777">
                        <w:pPr>
                          <w:widowControl w:val="0"/>
                          <w:jc w:val="both"/>
                          <w:rPr>
                            <w:color w:val="000000"/>
                            <w:szCs w:val="24"/>
                            <w:lang w:val="lt" w:eastAsia="lt-LT"/>
                          </w:rPr>
                        </w:pPr>
                      </w:p>
                      <w:p w14:paraId="50CA2BC5" w14:textId="77777777">
                        <w:pPr>
                          <w:widowControl w:val="0"/>
                          <w:jc w:val="both"/>
                          <w:rPr>
                            <w:color w:val="000000"/>
                            <w:szCs w:val="24"/>
                            <w:lang w:val="lt" w:eastAsia="lt-LT"/>
                          </w:rPr>
                        </w:pPr>
                      </w:p>
                    </w:tc>
                    <w:tc>
                      <w:tcPr>
                        <w:tcW w:w="1203" w:type="dxa"/>
                      </w:tcPr>
                      <w:p w14:paraId="50CA2BC6" w14:textId="77777777">
                        <w:pPr>
                          <w:widowControl w:val="0"/>
                          <w:rPr>
                            <w:color w:val="000000"/>
                            <w:szCs w:val="24"/>
                            <w:lang w:val="lt" w:eastAsia="lt-LT"/>
                          </w:rPr>
                        </w:pPr>
                        <w:r>
                          <w:rPr>
                            <w:color w:val="000000"/>
                            <w:szCs w:val="24"/>
                            <w:lang w:val="lt" w:eastAsia="lt-LT"/>
                          </w:rPr>
                          <w:t>3.2. Palanki vidutinė rizika</w:t>
                        </w:r>
                      </w:p>
                    </w:tc>
                    <w:tc>
                      <w:tcPr>
                        <w:tcW w:w="3267" w:type="dxa"/>
                      </w:tcPr>
                      <w:p w14:paraId="50CA2BC7" w14:textId="77777777">
                        <w:pPr>
                          <w:widowControl w:val="0"/>
                          <w:rPr>
                            <w:color w:val="000000"/>
                            <w:szCs w:val="24"/>
                            <w:lang w:val="lt" w:eastAsia="lt-LT"/>
                          </w:rPr>
                        </w:pPr>
                        <w:r>
                          <w:rPr>
                            <w:color w:val="000000"/>
                            <w:szCs w:val="24"/>
                            <w:lang w:val="lt" w:eastAsia="lt-LT"/>
                          </w:rPr>
                          <w:t>Atitinka visus išvardytus kriterijus:</w:t>
                        </w:r>
                      </w:p>
                      <w:p w14:paraId="50CA2BC8" w14:textId="77777777">
                        <w:pPr>
                          <w:widowControl w:val="0"/>
                          <w:rPr>
                            <w:color w:val="000000"/>
                            <w:szCs w:val="24"/>
                            <w:lang w:val="lt" w:eastAsia="lt-LT"/>
                          </w:rPr>
                        </w:pPr>
                        <w:r>
                          <w:rPr>
                            <w:color w:val="000000"/>
                            <w:szCs w:val="24"/>
                            <w:lang w:val="lt" w:eastAsia="lt-LT"/>
                          </w:rPr>
                          <w:t>3.2.1. yra vienas VRF faktorius;</w:t>
                        </w:r>
                      </w:p>
                      <w:p w14:paraId="50CA2BC9" w14:textId="77777777">
                        <w:pPr>
                          <w:widowControl w:val="0"/>
                          <w:rPr>
                            <w:color w:val="000000"/>
                            <w:szCs w:val="24"/>
                            <w:lang w:val="lt" w:eastAsia="lt-LT"/>
                          </w:rPr>
                        </w:pPr>
                        <w:r>
                          <w:rPr>
                            <w:color w:val="000000"/>
                            <w:szCs w:val="24"/>
                            <w:lang w:val="lt" w:eastAsia="lt-LT"/>
                          </w:rPr>
                          <w:t>3.2.2. 1 arba 2 priešinės liaukos piktybinio naviko laipsnio grupė;</w:t>
                        </w:r>
                      </w:p>
                      <w:p w14:paraId="50CA2BCA" w14:textId="08937465">
                        <w:pPr>
                          <w:widowControl w:val="0"/>
                          <w:rPr>
                            <w:color w:val="000000"/>
                            <w:szCs w:val="24"/>
                            <w:lang w:val="lt" w:eastAsia="lt-LT"/>
                          </w:rPr>
                        </w:pPr>
                        <w:r>
                          <w:rPr>
                            <w:color w:val="000000"/>
                            <w:szCs w:val="24"/>
                            <w:lang w:val="lt" w:eastAsia="lt-LT"/>
                          </w:rPr>
                          <w:t>3.2.3. mažiau kaip 50 proc. biopsinės medžiagos ėminių nustatyta piktybinio naviko ląstelių (pvz., mažiau kaip 6-iuose iš 12-os)</w:t>
                        </w:r>
                      </w:p>
                    </w:tc>
                  </w:tr>
                  <w:tr w14:paraId="50CA2BD4" w14:textId="77777777">
                    <w:tc>
                      <w:tcPr>
                        <w:tcW w:w="699" w:type="dxa"/>
                        <w:vMerge/>
                      </w:tcPr>
                      <w:p w14:paraId="50CA2BCC" w14:textId="77777777">
                        <w:pPr>
                          <w:widowControl w:val="0"/>
                          <w:pBdr>
                            <w:top w:val="nil"/>
                            <w:left w:val="nil"/>
                            <w:bottom w:val="nil"/>
                            <w:right w:val="nil"/>
                            <w:between w:val="nil"/>
                          </w:pBdr>
                          <w:spacing w:line="276" w:lineRule="auto"/>
                          <w:rPr>
                            <w:color w:val="000000"/>
                            <w:szCs w:val="24"/>
                            <w:lang w:val="lt" w:eastAsia="lt-LT"/>
                          </w:rPr>
                        </w:pPr>
                      </w:p>
                    </w:tc>
                    <w:tc>
                      <w:tcPr>
                        <w:tcW w:w="1536" w:type="dxa"/>
                        <w:vMerge/>
                      </w:tcPr>
                      <w:p w14:paraId="50CA2BCD" w14:textId="77777777">
                        <w:pPr>
                          <w:widowControl w:val="0"/>
                          <w:pBdr>
                            <w:top w:val="nil"/>
                            <w:left w:val="nil"/>
                            <w:bottom w:val="nil"/>
                            <w:right w:val="nil"/>
                            <w:between w:val="nil"/>
                          </w:pBdr>
                          <w:spacing w:line="276" w:lineRule="auto"/>
                          <w:rPr>
                            <w:color w:val="000000"/>
                            <w:szCs w:val="24"/>
                            <w:lang w:val="lt" w:eastAsia="lt-LT"/>
                          </w:rPr>
                        </w:pPr>
                      </w:p>
                    </w:tc>
                    <w:tc>
                      <w:tcPr>
                        <w:tcW w:w="2722" w:type="dxa"/>
                        <w:vMerge/>
                      </w:tcPr>
                      <w:p w14:paraId="50CA2BCE" w14:textId="77777777">
                        <w:pPr>
                          <w:widowControl w:val="0"/>
                          <w:pBdr>
                            <w:top w:val="nil"/>
                            <w:left w:val="nil"/>
                            <w:bottom w:val="nil"/>
                            <w:right w:val="nil"/>
                            <w:between w:val="nil"/>
                          </w:pBdr>
                          <w:spacing w:line="276" w:lineRule="auto"/>
                          <w:rPr>
                            <w:color w:val="000000"/>
                            <w:szCs w:val="24"/>
                            <w:lang w:val="lt" w:eastAsia="lt-LT"/>
                          </w:rPr>
                        </w:pPr>
                      </w:p>
                    </w:tc>
                    <w:tc>
                      <w:tcPr>
                        <w:tcW w:w="1203" w:type="dxa"/>
                      </w:tcPr>
                      <w:p w14:paraId="50CA2BCF" w14:textId="77777777">
                        <w:pPr>
                          <w:widowControl w:val="0"/>
                          <w:jc w:val="both"/>
                          <w:rPr>
                            <w:color w:val="000000"/>
                            <w:szCs w:val="24"/>
                            <w:lang w:val="lt" w:eastAsia="lt-LT"/>
                          </w:rPr>
                        </w:pPr>
                        <w:r>
                          <w:rPr>
                            <w:color w:val="000000"/>
                            <w:szCs w:val="24"/>
                            <w:lang w:val="lt" w:eastAsia="lt-LT"/>
                          </w:rPr>
                          <w:t>3.3. Nepalanki vidutinė rizika</w:t>
                        </w:r>
                      </w:p>
                    </w:tc>
                    <w:tc>
                      <w:tcPr>
                        <w:tcW w:w="3267" w:type="dxa"/>
                      </w:tcPr>
                      <w:p w14:paraId="50CA2BD0" w14:textId="77777777">
                        <w:pPr>
                          <w:widowControl w:val="0"/>
                          <w:rPr>
                            <w:color w:val="000000"/>
                            <w:szCs w:val="24"/>
                            <w:lang w:val="lt" w:eastAsia="lt-LT"/>
                          </w:rPr>
                        </w:pPr>
                        <w:r>
                          <w:rPr>
                            <w:color w:val="000000"/>
                            <w:szCs w:val="24"/>
                            <w:lang w:val="lt" w:eastAsia="lt-LT"/>
                          </w:rPr>
                          <w:t>Atitinka visus išvardytus kriterijus:</w:t>
                        </w:r>
                      </w:p>
                      <w:p w14:paraId="50CA2BD1" w14:textId="77777777">
                        <w:pPr>
                          <w:widowControl w:val="0"/>
                          <w:jc w:val="both"/>
                          <w:rPr>
                            <w:color w:val="000000"/>
                            <w:szCs w:val="24"/>
                            <w:lang w:val="lt" w:eastAsia="lt-LT"/>
                          </w:rPr>
                        </w:pPr>
                        <w:r>
                          <w:rPr>
                            <w:color w:val="000000"/>
                            <w:szCs w:val="24"/>
                            <w:lang w:val="lt" w:eastAsia="lt-LT"/>
                          </w:rPr>
                          <w:t>3.3.1. yra du arba trys VRF faktoriai;</w:t>
                        </w:r>
                      </w:p>
                      <w:p w14:paraId="50CA2BD2" w14:textId="77777777">
                        <w:pPr>
                          <w:widowControl w:val="0"/>
                          <w:rPr>
                            <w:color w:val="000000"/>
                            <w:szCs w:val="24"/>
                            <w:lang w:val="lt" w:eastAsia="lt-LT"/>
                          </w:rPr>
                        </w:pPr>
                        <w:r>
                          <w:rPr>
                            <w:color w:val="000000"/>
                            <w:szCs w:val="24"/>
                            <w:lang w:val="lt" w:eastAsia="lt-LT"/>
                          </w:rPr>
                          <w:t>3.3.2. 2 arba 3 priešinės liaukos piktybinio naviko laipsnio grupė;</w:t>
                        </w:r>
                      </w:p>
                      <w:p w14:paraId="50CA2BD3" w14:textId="3D0196E7">
                        <w:pPr>
                          <w:widowControl w:val="0"/>
                          <w:rPr>
                            <w:color w:val="000000"/>
                            <w:szCs w:val="24"/>
                            <w:lang w:val="lt" w:eastAsia="lt-LT"/>
                          </w:rPr>
                        </w:pPr>
                        <w:r>
                          <w:rPr>
                            <w:color w:val="000000"/>
                            <w:szCs w:val="24"/>
                            <w:lang w:val="lt" w:eastAsia="lt-LT"/>
                          </w:rPr>
                          <w:t>3.3.3. 50 proc. ir daugiau biopsinės medžiagos ėminių nustatyta piktybinio naviko ląsteli</w:t>
                        </w:r>
                        <w:r>
                          <w:rPr>
                            <w:color w:val="000000"/>
                            <w:szCs w:val="24"/>
                            <w:lang w:eastAsia="lt-LT"/>
                          </w:rPr>
                          <w:t>ų</w:t>
                        </w:r>
                        <w:r>
                          <w:rPr>
                            <w:color w:val="000000"/>
                            <w:szCs w:val="24"/>
                            <w:lang w:val="lt" w:eastAsia="lt-LT"/>
                          </w:rPr>
                          <w:t xml:space="preserve"> (pvz., 6-iuose arba daugiau iš 12-os)</w:t>
                        </w:r>
                      </w:p>
                    </w:tc>
                  </w:tr>
                  <w:tr w14:paraId="50CA2BDB" w14:textId="77777777">
                    <w:tc>
                      <w:tcPr>
                        <w:tcW w:w="699" w:type="dxa"/>
                      </w:tcPr>
                      <w:p w14:paraId="50CA2BD5" w14:textId="77777777">
                        <w:pPr>
                          <w:widowControl w:val="0"/>
                          <w:jc w:val="both"/>
                          <w:rPr>
                            <w:color w:val="000000"/>
                            <w:szCs w:val="24"/>
                            <w:lang w:val="lt" w:eastAsia="lt-LT"/>
                          </w:rPr>
                        </w:pPr>
                        <w:r>
                          <w:rPr>
                            <w:color w:val="000000"/>
                            <w:szCs w:val="24"/>
                            <w:lang w:val="lt" w:eastAsia="lt-LT"/>
                          </w:rPr>
                          <w:t>4.</w:t>
                        </w:r>
                      </w:p>
                    </w:tc>
                    <w:tc>
                      <w:tcPr>
                        <w:tcW w:w="1536" w:type="dxa"/>
                      </w:tcPr>
                      <w:p w14:paraId="50CA2BD6" w14:textId="77777777">
                        <w:pPr>
                          <w:widowControl w:val="0"/>
                          <w:jc w:val="both"/>
                          <w:rPr>
                            <w:color w:val="000000"/>
                            <w:szCs w:val="24"/>
                            <w:lang w:val="lt" w:eastAsia="lt-LT"/>
                          </w:rPr>
                        </w:pPr>
                        <w:r>
                          <w:rPr>
                            <w:color w:val="000000"/>
                            <w:szCs w:val="24"/>
                            <w:lang w:val="lt" w:eastAsia="lt-LT"/>
                          </w:rPr>
                          <w:t>Aukšta</w:t>
                        </w:r>
                      </w:p>
                    </w:tc>
                    <w:tc>
                      <w:tcPr>
                        <w:tcW w:w="7192" w:type="dxa"/>
                        <w:gridSpan w:val="3"/>
                      </w:tcPr>
                      <w:p w14:paraId="50CA2BD7" w14:textId="77777777">
                        <w:pPr>
                          <w:widowControl w:val="0"/>
                          <w:rPr>
                            <w:color w:val="000000"/>
                            <w:szCs w:val="24"/>
                            <w:lang w:val="lt" w:eastAsia="lt-LT"/>
                          </w:rPr>
                        </w:pPr>
                        <w:r>
                          <w:rPr>
                            <w:color w:val="000000"/>
                            <w:szCs w:val="24"/>
                            <w:lang w:val="lt" w:eastAsia="lt-LT"/>
                          </w:rPr>
                          <w:t>Atitinka vieną ar kelis išvardytus kriterijus, bet nepriskiriama labai aukštai rizikai:</w:t>
                        </w:r>
                      </w:p>
                      <w:p w14:paraId="50CA2BD8" w14:textId="77777777">
                        <w:pPr>
                          <w:widowControl w:val="0"/>
                          <w:jc w:val="both"/>
                          <w:rPr>
                            <w:color w:val="000000"/>
                            <w:szCs w:val="24"/>
                            <w:lang w:val="lt" w:eastAsia="lt-LT"/>
                          </w:rPr>
                        </w:pPr>
                        <w:r>
                          <w:rPr>
                            <w:color w:val="000000"/>
                            <w:szCs w:val="24"/>
                            <w:lang w:val="lt" w:eastAsia="lt-LT"/>
                          </w:rPr>
                          <w:t>4.1. ligos stadija cT3-cT4;</w:t>
                        </w:r>
                      </w:p>
                      <w:p w14:paraId="50CA2BD9" w14:textId="77777777">
                        <w:pPr>
                          <w:widowControl w:val="0"/>
                          <w:rPr>
                            <w:color w:val="000000"/>
                            <w:szCs w:val="24"/>
                            <w:lang w:val="lt" w:eastAsia="lt-LT"/>
                          </w:rPr>
                        </w:pPr>
                        <w:r>
                          <w:rPr>
                            <w:color w:val="000000"/>
                            <w:szCs w:val="24"/>
                            <w:lang w:val="lt" w:eastAsia="lt-LT"/>
                          </w:rPr>
                          <w:t>4.2. 4 arba 5 priešinės liaukos piktybinio naviko laipsnio grupė;</w:t>
                        </w:r>
                      </w:p>
                      <w:p w14:paraId="50CA2BDA" w14:textId="77777777">
                        <w:pPr>
                          <w:widowControl w:val="0"/>
                          <w:jc w:val="both"/>
                          <w:rPr>
                            <w:color w:val="000000"/>
                            <w:szCs w:val="24"/>
                            <w:lang w:val="lt" w:eastAsia="lt-LT"/>
                          </w:rPr>
                        </w:pPr>
                        <w:r>
                          <w:rPr>
                            <w:color w:val="000000"/>
                            <w:szCs w:val="24"/>
                            <w:lang w:val="lt" w:eastAsia="lt-LT"/>
                          </w:rPr>
                          <w:t>4.3. PSA – daugiau kaip 20 mg/ml.</w:t>
                        </w:r>
                      </w:p>
                    </w:tc>
                  </w:tr>
                  <w:tr w14:paraId="50CA2BE2" w14:textId="77777777">
                    <w:tc>
                      <w:tcPr>
                        <w:tcW w:w="699" w:type="dxa"/>
                      </w:tcPr>
                      <w:p w14:paraId="50CA2BDC" w14:textId="77777777">
                        <w:pPr>
                          <w:widowControl w:val="0"/>
                          <w:jc w:val="both"/>
                          <w:rPr>
                            <w:color w:val="000000"/>
                            <w:szCs w:val="24"/>
                            <w:lang w:val="lt" w:eastAsia="lt-LT"/>
                          </w:rPr>
                        </w:pPr>
                        <w:r>
                          <w:rPr>
                            <w:color w:val="000000"/>
                            <w:szCs w:val="24"/>
                            <w:lang w:val="lt" w:eastAsia="lt-LT"/>
                          </w:rPr>
                          <w:t>5.</w:t>
                        </w:r>
                      </w:p>
                    </w:tc>
                    <w:tc>
                      <w:tcPr>
                        <w:tcW w:w="1536" w:type="dxa"/>
                      </w:tcPr>
                      <w:p w14:paraId="50CA2BDD" w14:textId="77777777">
                        <w:pPr>
                          <w:widowControl w:val="0"/>
                          <w:jc w:val="both"/>
                          <w:rPr>
                            <w:color w:val="000000"/>
                            <w:szCs w:val="24"/>
                            <w:lang w:val="lt" w:eastAsia="lt-LT"/>
                          </w:rPr>
                        </w:pPr>
                        <w:r>
                          <w:rPr>
                            <w:color w:val="000000"/>
                            <w:szCs w:val="24"/>
                            <w:lang w:val="lt" w:eastAsia="lt-LT"/>
                          </w:rPr>
                          <w:t>Labai aukšta</w:t>
                        </w:r>
                      </w:p>
                    </w:tc>
                    <w:tc>
                      <w:tcPr>
                        <w:tcW w:w="7192" w:type="dxa"/>
                        <w:gridSpan w:val="3"/>
                      </w:tcPr>
                      <w:p w14:paraId="50CA2BDE" w14:textId="77777777">
                        <w:pPr>
                          <w:widowControl w:val="0"/>
                          <w:jc w:val="both"/>
                          <w:rPr>
                            <w:color w:val="000000"/>
                            <w:szCs w:val="24"/>
                            <w:lang w:val="lt" w:eastAsia="lt-LT"/>
                          </w:rPr>
                        </w:pPr>
                        <w:r>
                          <w:rPr>
                            <w:color w:val="000000"/>
                            <w:szCs w:val="24"/>
                            <w:lang w:val="lt" w:eastAsia="lt-LT"/>
                          </w:rPr>
                          <w:t>Atitinka mažiausiai du išvardytus kriterijus:</w:t>
                        </w:r>
                      </w:p>
                      <w:p w14:paraId="50CA2BDF" w14:textId="77777777">
                        <w:pPr>
                          <w:widowControl w:val="0"/>
                          <w:jc w:val="both"/>
                          <w:rPr>
                            <w:color w:val="000000"/>
                            <w:szCs w:val="24"/>
                            <w:lang w:val="lt" w:eastAsia="lt-LT"/>
                          </w:rPr>
                        </w:pPr>
                        <w:r>
                          <w:rPr>
                            <w:color w:val="000000"/>
                            <w:szCs w:val="24"/>
                            <w:lang w:val="lt" w:eastAsia="lt-LT"/>
                          </w:rPr>
                          <w:t>5.1. ligos stadija cT3-cT4;</w:t>
                        </w:r>
                      </w:p>
                      <w:p w14:paraId="50CA2BE0" w14:textId="77777777">
                        <w:pPr>
                          <w:widowControl w:val="0"/>
                          <w:jc w:val="both"/>
                          <w:rPr>
                            <w:color w:val="000000"/>
                            <w:szCs w:val="24"/>
                            <w:lang w:val="lt" w:eastAsia="lt-LT"/>
                          </w:rPr>
                        </w:pPr>
                        <w:r>
                          <w:rPr>
                            <w:color w:val="000000"/>
                            <w:szCs w:val="24"/>
                            <w:lang w:val="lt" w:eastAsia="lt-LT"/>
                          </w:rPr>
                          <w:t>5.2. 4 arba 5 priešinės liaukos piktybinio naviko laipsnio grupė;</w:t>
                        </w:r>
                      </w:p>
                      <w:p w14:paraId="50CA2BE1" w14:textId="77777777">
                        <w:pPr>
                          <w:widowControl w:val="0"/>
                          <w:rPr>
                            <w:color w:val="000000"/>
                            <w:szCs w:val="24"/>
                            <w:lang w:val="lt" w:eastAsia="lt-LT"/>
                          </w:rPr>
                        </w:pPr>
                        <w:r>
                          <w:rPr>
                            <w:color w:val="000000"/>
                            <w:szCs w:val="24"/>
                            <w:lang w:val="lt" w:eastAsia="lt-LT"/>
                          </w:rPr>
                          <w:t>5.3. PSA – daugiau kaip 40 mg/ml.</w:t>
                        </w:r>
                      </w:p>
                    </w:tc>
                  </w:tr>
                </w:tbl>
                <w:p/>
              </w:sdtContent>
            </w:sdt>
            <w:sdt>
              <w:sdtPr>
                <w:alias w:val="11 p."/>
                <w:tag w:val="part_e4776139745e412096811cce40e77c7a"/>
                <w:lock w:val="sdtLocked"/>
                <w:richText/>
              </w:sdtPr>
              <w:sdtContent>
                <w:p w14:paraId="50CA2BE3" w14:textId="0106EBF2">
                  <w:pPr>
                    <w:widowControl w:val="0"/>
                    <w:ind w:firstLine="709"/>
                    <w:jc w:val="both"/>
                    <w:rPr>
                      <w:color w:val="000000"/>
                      <w:szCs w:val="24"/>
                      <w:lang w:val="lt" w:eastAsia="lt-LT"/>
                    </w:rPr>
                  </w:pPr>
                  <w:sdt>
                    <w:sdtPr>
                      <w:alias w:val="Numeris"/>
                      <w:tag w:val="nr_e4776139745e412096811cce40e77c7a"/>
                      <w:lock w:val="sdtLocked"/>
                      <w:richText/>
                    </w:sdtPr>
                    <w:sdtContent>
                      <w:r>
                        <w:rPr>
                          <w:color w:val="000000"/>
                          <w:szCs w:val="24"/>
                          <w:lang w:val="lt" w:eastAsia="lt-LT"/>
                        </w:rPr>
                        <w:t>11</w:t>
                      </w:r>
                    </w:sdtContent>
                  </w:sdt>
                  <w:r>
                    <w:rPr>
                      <w:color w:val="000000"/>
                      <w:szCs w:val="24"/>
                      <w:lang w:val="lt" w:eastAsia="lt-LT"/>
                    </w:rPr>
                    <w:t>. Į sritinius limfmazgius išplitęs priešinės liaukos piktybinis navikas ir atokios (tolimosios) metastazės priskiriamos prie didelės ir labai didelės ligos progresavimo rizikos.</w:t>
                  </w:r>
                </w:p>
                <w:p w14:paraId="50CA2BE4" w14:textId="77777777">
                  <w:pPr>
                    <w:widowControl w:val="0"/>
                    <w:ind w:firstLine="567"/>
                    <w:jc w:val="both"/>
                    <w:rPr>
                      <w:color w:val="000000"/>
                      <w:szCs w:val="24"/>
                      <w:lang w:val="lt" w:eastAsia="lt-LT"/>
                    </w:rPr>
                  </w:pPr>
                </w:p>
              </w:sdtContent>
            </w:sdt>
          </w:sdtContent>
        </w:sdt>
        <w:sdt>
          <w:sdtPr>
            <w:alias w:val="skyrius"/>
            <w:tag w:val="part_d078bff5f6c4449ba1f7248bc385e527"/>
            <w:lock w:val="sdtLocked"/>
            <w:richText/>
          </w:sdtPr>
          <w:sdtContent>
            <w:p w14:paraId="50CA2BE5" w14:textId="77777777">
              <w:pPr>
                <w:keepLines/>
                <w:widowControl w:val="0"/>
                <w:jc w:val="center"/>
                <w:rPr>
                  <w:b/>
                  <w:bCs/>
                  <w:smallCaps/>
                  <w:color w:val="000000"/>
                  <w:szCs w:val="24"/>
                  <w:lang w:val="lt" w:eastAsia="lt-LT"/>
                </w:rPr>
              </w:pPr>
              <w:sdt>
                <w:sdtPr>
                  <w:alias w:val="Numeris"/>
                  <w:tag w:val="nr_d078bff5f6c4449ba1f7248bc385e527"/>
                  <w:lock w:val="sdtLocked"/>
                  <w:richText/>
                </w:sdtPr>
                <w:sdtContent>
                  <w:r>
                    <w:rPr>
                      <w:b/>
                      <w:bCs/>
                      <w:smallCaps/>
                      <w:color w:val="000000"/>
                      <w:szCs w:val="24"/>
                      <w:lang w:val="lt" w:eastAsia="lt-LT"/>
                    </w:rPr>
                    <w:t>III</w:t>
                  </w:r>
                </w:sdtContent>
              </w:sdt>
              <w:r>
                <w:rPr>
                  <w:b/>
                  <w:bCs/>
                  <w:smallCaps/>
                  <w:color w:val="000000"/>
                  <w:szCs w:val="24"/>
                  <w:lang w:val="lt" w:eastAsia="lt-LT"/>
                </w:rPr>
                <w:t xml:space="preserve"> SKYRIUS</w:t>
              </w:r>
            </w:p>
            <w:p w14:paraId="50CA2BE6" w14:textId="77777777">
              <w:pPr>
                <w:keepLines/>
                <w:widowControl w:val="0"/>
                <w:jc w:val="center"/>
                <w:rPr>
                  <w:b/>
                  <w:bCs/>
                  <w:smallCaps/>
                  <w:color w:val="000000"/>
                  <w:szCs w:val="24"/>
                  <w:lang w:val="lt" w:eastAsia="lt-LT"/>
                </w:rPr>
              </w:pPr>
              <w:sdt>
                <w:sdtPr>
                  <w:alias w:val="Pavadinimas"/>
                  <w:tag w:val="title_d078bff5f6c4449ba1f7248bc385e527"/>
                  <w:lock w:val="sdtLocked"/>
                  <w:richText/>
                </w:sdtPr>
                <w:sdtContent>
                  <w:r>
                    <w:rPr>
                      <w:b/>
                      <w:bCs/>
                      <w:smallCaps/>
                      <w:color w:val="000000"/>
                      <w:szCs w:val="24"/>
                      <w:lang w:val="lt" w:eastAsia="lt-LT"/>
                    </w:rPr>
                    <w:t>AMBULATORINIO GYDYMO PSDF BIUDŽETO LĖŠOMIS KOMPENSUOJAMAIS VAISTAIS TVARKA</w:t>
                  </w:r>
                </w:sdtContent>
              </w:sdt>
            </w:p>
            <w:p w14:paraId="50CA2BE7" w14:textId="77777777">
              <w:pPr>
                <w:widowControl w:val="0"/>
                <w:ind w:firstLine="567"/>
                <w:jc w:val="both"/>
                <w:rPr>
                  <w:color w:val="000000"/>
                  <w:szCs w:val="24"/>
                  <w:lang w:val="lt" w:eastAsia="lt-LT"/>
                </w:rPr>
              </w:pPr>
            </w:p>
            <w:sdt>
              <w:sdtPr>
                <w:alias w:val="12 p."/>
                <w:tag w:val="part_408c6caae4754db884cf354897f88bf4"/>
                <w:lock w:val="sdtLocked"/>
                <w:richText/>
              </w:sdtPr>
              <w:sdtContent>
                <w:p w14:paraId="50CA2BE8" w14:textId="632E4988">
                  <w:pPr>
                    <w:widowControl w:val="0"/>
                    <w:ind w:firstLine="709"/>
                    <w:jc w:val="both"/>
                    <w:rPr>
                      <w:szCs w:val="24"/>
                      <w:lang w:val="lt" w:eastAsia="lt-LT"/>
                    </w:rPr>
                  </w:pPr>
                  <w:sdt>
                    <w:sdtPr>
                      <w:alias w:val="Numeris"/>
                      <w:tag w:val="nr_408c6caae4754db884cf354897f88bf4"/>
                      <w:lock w:val="sdtLocked"/>
                      <w:richText/>
                    </w:sdtPr>
                    <w:sdtContent>
                      <w:r>
                        <w:rPr>
                          <w:color w:val="000000"/>
                          <w:szCs w:val="24"/>
                          <w:lang w:val="lt" w:eastAsia="lt-LT"/>
                        </w:rPr>
                        <w:t>12</w:t>
                      </w:r>
                    </w:sdtContent>
                  </w:sdt>
                  <w:r>
                    <w:rPr>
                      <w:color w:val="000000"/>
                      <w:szCs w:val="24"/>
                      <w:lang w:val="lt" w:eastAsia="lt-LT"/>
                    </w:rPr>
                    <w:t xml:space="preserve">. Priešinės liaukos piktybinio naviko ambulatorinį gydymą PSDF biudžeto lėšomis kompensuojamais vaistais skiria, keičia ir (ar) nutraukia tik </w:t>
                  </w:r>
                  <w:r>
                    <w:rPr>
                      <w:szCs w:val="24"/>
                      <w:lang w:val="lt" w:eastAsia="lt-LT"/>
                    </w:rPr>
                    <w:t xml:space="preserve">onkologijos klasteriui priklausančioje ASPĮ, nurodytoje </w:t>
                  </w:r>
                  <w:r>
                    <w:rPr>
                      <w:color w:val="000000"/>
                      <w:szCs w:val="24"/>
                      <w:lang w:val="lt" w:eastAsia="lt-LT"/>
                    </w:rPr>
                    <w:t>Onkologinėmis ligomis sergančių pacientų srautų valdymo apraše</w:t>
                  </w:r>
                  <w:r>
                    <w:rPr>
                      <w:szCs w:val="24"/>
                      <w:lang w:val="lt" w:eastAsia="lt-LT"/>
                    </w:rPr>
                    <w:t>, dirbantis gydytojas urologas, gydytojas onkologas chemoterapeutas arba gydytojas onkologas radioterapeutas, vadovaudamiesi Ligų ir kompensuojamųjų vaistų joms gydyti sąrašu (A sąrašu), patvirtintu Lietuvos Respublikos sveikatos apsaugos ministro 2000 m. sausio 28 d. įsakymu Nr. 49 „Dėl kompensuojamųjų vaistų sąrašų patvirtinimo“ (toliau – A sąrašas), C</w:t>
                  </w:r>
                  <w:r>
                    <w:rPr>
                      <w:color w:val="000000"/>
                      <w:szCs w:val="24"/>
                      <w:lang w:val="lt" w:eastAsia="lt-LT"/>
                    </w:rPr>
                    <w:t xml:space="preserve">entralizuotai apmokamų vaistinių preparatų ir medicinos pagalbos priemonių sąrašu, patvirtintu Lietuvos Respublikos sveikatos apsaugos ministro 2014 m. rugpjūčio 28 d. įsakymu Nr. V-910 „Dėl Centralizuotai apmokamų vaistinių preparatų ir medicinos pagalbos priemonių sąrašo patvirtinimo“, </w:t>
                  </w:r>
                  <w:r>
                    <w:rPr>
                      <w:szCs w:val="24"/>
                      <w:lang w:val="lt" w:eastAsia="lt-LT"/>
                    </w:rPr>
                    <w:t>ir Aprašu bei atsižvelgiant į vaisto charakteristikų santrauką.</w:t>
                  </w:r>
                </w:p>
                <w:p w14:paraId="50CA2BE9" w14:textId="42289953">
                  <w:pPr>
                    <w:widowControl w:val="0"/>
                    <w:ind w:firstLine="567"/>
                    <w:jc w:val="both"/>
                    <w:rPr>
                      <w:b/>
                      <w:bCs/>
                      <w:szCs w:val="24"/>
                      <w:lang w:val="lt" w:eastAsia="lt-LT"/>
                    </w:rPr>
                  </w:pPr>
                  <w:r>
                    <w:rPr>
                      <w:szCs w:val="24"/>
                      <w:lang w:val="lt" w:eastAsia="lt-LT"/>
                    </w:rPr>
                    <w:t xml:space="preserve">Metastazavusiam kastracijai atspariam ir kastracijai jautriam priešinės liaukos piktybiniam navikui gydyti chemoterapinius vaistus gali skirti tik onkologijos klasteriui priklausančioje ASPĮ, nurodytoje </w:t>
                  </w:r>
                  <w:r>
                    <w:rPr>
                      <w:color w:val="000000"/>
                      <w:szCs w:val="24"/>
                      <w:lang w:val="lt" w:eastAsia="lt-LT"/>
                    </w:rPr>
                    <w:t>Onkologinėmis ligomis sergančių pacientų srautų valdymo apraše</w:t>
                  </w:r>
                  <w:r>
                    <w:rPr>
                      <w:szCs w:val="24"/>
                      <w:lang w:val="lt" w:eastAsia="lt-LT"/>
                    </w:rPr>
                    <w:t>, dirbantis gydytojas onkologas chemoterapeutas, o hormoninius vaistus – gydytojas onkologas chemoterapeutas, gydytojas urologas arba gydytojas onkologas radioterapeutas, vadovaudamiesi A sąrašu ir Aprašu.</w:t>
                  </w:r>
                </w:p>
              </w:sdtContent>
            </w:sdt>
            <w:sdt>
              <w:sdtPr>
                <w:alias w:val="13 p."/>
                <w:tag w:val="part_dcced0765b4246169b820fb4e88bf9a9"/>
                <w:lock w:val="sdtLocked"/>
                <w:richText/>
              </w:sdtPr>
              <w:sdtContent>
                <w:p w14:paraId="50CA2BEA" w14:textId="77777777">
                  <w:pPr>
                    <w:widowControl w:val="0"/>
                    <w:ind w:firstLine="567"/>
                    <w:jc w:val="both"/>
                    <w:rPr>
                      <w:b/>
                      <w:bCs/>
                      <w:szCs w:val="24"/>
                      <w:lang w:val="lt" w:eastAsia="lt-LT"/>
                    </w:rPr>
                  </w:pPr>
                  <w:sdt>
                    <w:sdtPr>
                      <w:alias w:val="Numeris"/>
                      <w:tag w:val="nr_dcced0765b4246169b820fb4e88bf9a9"/>
                      <w:lock w:val="sdtLocked"/>
                      <w:richText/>
                    </w:sdtPr>
                    <w:sdtContent>
                      <w:r>
                        <w:rPr>
                          <w:color w:val="000000"/>
                          <w:szCs w:val="24"/>
                          <w:lang w:val="lt" w:eastAsia="lt-LT"/>
                        </w:rPr>
                        <w:t>13</w:t>
                      </w:r>
                    </w:sdtContent>
                  </w:sdt>
                  <w:r>
                    <w:rPr>
                      <w:color w:val="000000"/>
                      <w:szCs w:val="24"/>
                      <w:lang w:val="lt" w:eastAsia="lt-LT"/>
                    </w:rPr>
                    <w:t>. Priešinės liaukos piktybinio naviko gydymas pradedamas įvertinus ligos progresavimo rizikos grupę, suteikus pacientui informaciją apie visas priešinės liaukos piktybinio naviko gydymo pasekmes ir gavus paciento sutikimą taikyti gydytojo paskirtą gydymą pagal 3 lentelėje pateiktą paciento stebėjimo ir gydymo schemą.</w:t>
                  </w:r>
                </w:p>
                <w:p w14:paraId="7DD1BF01" w14:textId="77777777">
                  <w:pPr>
                    <w:widowControl w:val="0"/>
                    <w:jc w:val="both"/>
                    <w:rPr>
                      <w:b/>
                      <w:bCs/>
                      <w:color w:val="000000"/>
                      <w:szCs w:val="24"/>
                      <w:lang w:val="lt" w:eastAsia="lt-LT"/>
                    </w:rPr>
                  </w:pPr>
                </w:p>
                <w:p w14:paraId="50CA2BEB" w14:textId="4CB2AE33">
                  <w:pPr>
                    <w:widowControl w:val="0"/>
                    <w:jc w:val="both"/>
                    <w:rPr>
                      <w:color w:val="000000"/>
                      <w:szCs w:val="24"/>
                      <w:lang w:val="lt" w:eastAsia="lt-LT"/>
                    </w:rPr>
                  </w:pPr>
                  <w:r>
                    <w:rPr>
                      <w:b/>
                      <w:bCs/>
                      <w:color w:val="000000"/>
                      <w:szCs w:val="24"/>
                      <w:lang w:val="lt" w:eastAsia="lt-LT"/>
                    </w:rPr>
                    <w:t>3 lentelė</w:t>
                  </w:r>
                  <w:r>
                    <w:rPr>
                      <w:color w:val="000000"/>
                      <w:szCs w:val="24"/>
                      <w:lang w:val="lt" w:eastAsia="lt-LT"/>
                    </w:rPr>
                    <w:t>. Paciento stebėjimo ir (ar) gydymo schema.</w:t>
                  </w:r>
                </w:p>
                <w:tbl>
                  <w:tblPr>
                    <w:tblW w:w="9634" w:type="dxa"/>
                    <w:tblLayout w:type="fixed"/>
                    <w:tblCellMar>
                      <w:left w:w="0" w:type="dxa"/>
                      <w:right w:w="0" w:type="dxa"/>
                    </w:tblCellMar>
                    <w:tblLook w:val="0000" w:firstRow="0" w:lastRow="0" w:firstColumn="0" w:lastColumn="0" w:noHBand="0" w:noVBand="0"/>
                  </w:tblPr>
                  <w:tblGrid>
                    <w:gridCol w:w="562"/>
                    <w:gridCol w:w="1418"/>
                    <w:gridCol w:w="3118"/>
                    <w:gridCol w:w="4536"/>
                  </w:tblGrid>
                  <w:tr w14:paraId="50CA2BF0" w14:textId="77777777">
                    <w:trPr>
                      <w:trHeight w:val="60"/>
                      <w:tblHeader/>
                    </w:trPr>
                    <w:tc>
                      <w:tcPr>
                        <w:tcW w:w="562" w:type="dxa"/>
                        <w:tcBorders>
                          <w:top w:val="single" w:sz="4" w:space="0" w:color="000000"/>
                          <w:left w:val="single" w:sz="4" w:space="0" w:color="000000"/>
                          <w:bottom w:val="single" w:sz="4" w:space="0" w:color="000000"/>
                          <w:right w:val="single" w:sz="4" w:space="0" w:color="000000"/>
                        </w:tcBorders>
                      </w:tcPr>
                      <w:p w14:paraId="50CA2BEC" w14:textId="77777777">
                        <w:pPr>
                          <w:widowControl w:val="0"/>
                          <w:jc w:val="center"/>
                          <w:rPr>
                            <w:color w:val="000000"/>
                            <w:szCs w:val="24"/>
                            <w:lang w:val="lt" w:eastAsia="lt-LT"/>
                          </w:rPr>
                        </w:pPr>
                        <w:r>
                          <w:rPr>
                            <w:color w:val="000000"/>
                            <w:szCs w:val="24"/>
                            <w:lang w:val="lt" w:eastAsia="lt-LT"/>
                          </w:rPr>
                          <w:t xml:space="preserve">Eil. Nr. </w:t>
                        </w:r>
                      </w:p>
                    </w:tc>
                    <w:tc>
                      <w:tcPr>
                        <w:tcW w:w="14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ED" w14:textId="4D97C4A8">
                        <w:pPr>
                          <w:widowControl w:val="0"/>
                          <w:jc w:val="center"/>
                          <w:rPr>
                            <w:color w:val="000000"/>
                            <w:szCs w:val="24"/>
                            <w:lang w:val="lt" w:eastAsia="lt-LT"/>
                          </w:rPr>
                        </w:pPr>
                        <w:r>
                          <w:rPr>
                            <w:color w:val="000000"/>
                            <w:szCs w:val="24"/>
                            <w:lang w:val="lt" w:eastAsia="lt-LT"/>
                          </w:rPr>
                          <w:t>Ligos progresavimo rizika</w:t>
                        </w: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EE" w14:textId="5869CB90">
                        <w:pPr>
                          <w:widowControl w:val="0"/>
                          <w:jc w:val="center"/>
                          <w:rPr>
                            <w:color w:val="000000"/>
                            <w:szCs w:val="24"/>
                            <w:lang w:val="lt" w:eastAsia="lt-LT"/>
                          </w:rPr>
                        </w:pPr>
                        <w:r>
                          <w:rPr>
                            <w:color w:val="000000"/>
                            <w:szCs w:val="24"/>
                            <w:lang w:val="lt" w:eastAsia="lt-LT"/>
                          </w:rPr>
                          <w:t>Paciento stebėjimas ir (ar) gydymo metodas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EF" w14:textId="77777777">
                        <w:pPr>
                          <w:widowControl w:val="0"/>
                          <w:jc w:val="center"/>
                          <w:rPr>
                            <w:color w:val="000000"/>
                            <w:szCs w:val="24"/>
                            <w:lang w:val="lt" w:eastAsia="lt-LT"/>
                          </w:rPr>
                        </w:pPr>
                        <w:r>
                          <w:rPr>
                            <w:color w:val="000000"/>
                            <w:szCs w:val="24"/>
                            <w:lang w:val="lt" w:eastAsia="lt-LT"/>
                          </w:rPr>
                          <w:t>Pastabos</w:t>
                        </w:r>
                      </w:p>
                    </w:tc>
                  </w:tr>
                  <w:tr w14:paraId="50CA2BF5" w14:textId="77777777">
                    <w:trPr>
                      <w:trHeight w:val="60"/>
                    </w:trPr>
                    <w:tc>
                      <w:tcPr>
                        <w:tcW w:w="562" w:type="dxa"/>
                        <w:vMerge w:val="restart"/>
                        <w:tcBorders>
                          <w:top w:val="single" w:sz="4" w:space="0" w:color="000000"/>
                          <w:left w:val="single" w:sz="4" w:space="0" w:color="000000"/>
                          <w:bottom w:val="single" w:sz="4" w:space="0" w:color="000000"/>
                          <w:right w:val="single" w:sz="4" w:space="0" w:color="000000"/>
                        </w:tcBorders>
                      </w:tcPr>
                      <w:p w14:paraId="50CA2BF1" w14:textId="77777777">
                        <w:pPr>
                          <w:widowControl w:val="0"/>
                          <w:rPr>
                            <w:color w:val="000000"/>
                            <w:szCs w:val="24"/>
                            <w:lang w:val="lt" w:eastAsia="lt-LT"/>
                          </w:rPr>
                        </w:pPr>
                        <w:r>
                          <w:rPr>
                            <w:color w:val="000000"/>
                            <w:szCs w:val="24"/>
                            <w:lang w:val="lt" w:eastAsia="lt-LT"/>
                          </w:rPr>
                          <w:t xml:space="preserve">1. </w:t>
                        </w:r>
                      </w:p>
                    </w:tc>
                    <w:tc>
                      <w:tcPr>
                        <w:tcW w:w="1418" w:type="dxa"/>
                        <w:vMerge w:val="restart"/>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2" w14:textId="37C467D6">
                        <w:pPr>
                          <w:widowControl w:val="0"/>
                          <w:rPr>
                            <w:color w:val="000000"/>
                            <w:szCs w:val="24"/>
                            <w:lang w:val="lt" w:eastAsia="lt-LT"/>
                          </w:rPr>
                        </w:pPr>
                        <w:r>
                          <w:rPr>
                            <w:color w:val="000000"/>
                            <w:szCs w:val="24"/>
                            <w:lang w:val="lt" w:eastAsia="lt-LT"/>
                          </w:rPr>
                          <w:t xml:space="preserve">Labai žema ar žema </w:t>
                        </w: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3" w14:textId="77777777">
                        <w:pPr>
                          <w:widowControl w:val="0"/>
                          <w:rPr>
                            <w:color w:val="000000"/>
                            <w:szCs w:val="24"/>
                            <w:lang w:val="lt" w:eastAsia="lt-LT"/>
                          </w:rPr>
                        </w:pPr>
                        <w:r>
                          <w:rPr>
                            <w:color w:val="000000"/>
                            <w:szCs w:val="24"/>
                            <w:lang w:val="lt" w:eastAsia="lt-LT"/>
                          </w:rPr>
                          <w:t>1.1. Aktyvus stebėjimas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4" w14:textId="77777777">
                        <w:pPr>
                          <w:widowControl w:val="0"/>
                          <w:rPr>
                            <w:color w:val="000000"/>
                            <w:szCs w:val="24"/>
                            <w:lang w:val="lt" w:eastAsia="lt-LT"/>
                          </w:rPr>
                        </w:pPr>
                        <w:r>
                          <w:rPr>
                            <w:color w:val="000000"/>
                            <w:szCs w:val="24"/>
                            <w:lang w:val="lt" w:eastAsia="lt-LT"/>
                          </w:rPr>
                          <w:t>Aktyvų paciento stebėjimą vykdo gydytojas urologas – atliekamas PSA tyrimas kas 6 mėnesiai ir, esant indikacijų, gydytojo urologo sprendimu atliekama priešinės liaukos biopsija.</w:t>
                        </w:r>
                      </w:p>
                    </w:tc>
                  </w:tr>
                  <w:tr w14:paraId="50CA2BFA" w14:textId="77777777">
                    <w:trPr>
                      <w:trHeight w:val="60"/>
                    </w:trPr>
                    <w:tc>
                      <w:tcPr>
                        <w:tcW w:w="562" w:type="dxa"/>
                        <w:vMerge/>
                        <w:tcBorders>
                          <w:top w:val="single" w:sz="4" w:space="0" w:color="000000"/>
                          <w:left w:val="single" w:sz="4" w:space="0" w:color="000000"/>
                          <w:bottom w:val="single" w:sz="4" w:space="0" w:color="000000"/>
                          <w:right w:val="single" w:sz="4" w:space="0" w:color="000000"/>
                        </w:tcBorders>
                      </w:tcPr>
                      <w:p w14:paraId="50CA2BF6"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7"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8" w14:textId="77777777">
                        <w:pPr>
                          <w:widowControl w:val="0"/>
                          <w:rPr>
                            <w:color w:val="000000"/>
                            <w:szCs w:val="24"/>
                            <w:lang w:val="lt" w:eastAsia="lt-LT"/>
                          </w:rPr>
                        </w:pPr>
                        <w:r>
                          <w:rPr>
                            <w:color w:val="000000"/>
                            <w:szCs w:val="24"/>
                            <w:lang w:val="lt" w:eastAsia="lt-LT"/>
                          </w:rPr>
                          <w:t>1.2. Radikalioji prostatektomija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9" w14:textId="77777777">
                        <w:pPr>
                          <w:widowControl w:val="0"/>
                          <w:rPr>
                            <w:color w:val="000000"/>
                            <w:szCs w:val="24"/>
                            <w:lang w:val="lt" w:eastAsia="lt-LT"/>
                          </w:rPr>
                        </w:pPr>
                        <w:r>
                          <w:rPr>
                            <w:color w:val="000000"/>
                            <w:szCs w:val="24"/>
                            <w:lang w:val="lt" w:eastAsia="lt-LT"/>
                          </w:rPr>
                          <w:t>Skiriama pacientui, kuris atsisako aktyvaus stebėjimo.</w:t>
                        </w:r>
                      </w:p>
                    </w:tc>
                  </w:tr>
                  <w:tr w14:paraId="50CA2BFF" w14:textId="77777777">
                    <w:trPr>
                      <w:trHeight w:val="60"/>
                    </w:trPr>
                    <w:tc>
                      <w:tcPr>
                        <w:tcW w:w="562" w:type="dxa"/>
                        <w:vMerge/>
                        <w:tcBorders>
                          <w:top w:val="single" w:sz="4" w:space="0" w:color="000000"/>
                          <w:left w:val="single" w:sz="4" w:space="0" w:color="000000"/>
                          <w:bottom w:val="single" w:sz="4" w:space="0" w:color="000000"/>
                          <w:right w:val="single" w:sz="4" w:space="0" w:color="000000"/>
                        </w:tcBorders>
                      </w:tcPr>
                      <w:p w14:paraId="50CA2BFB"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C"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D" w14:textId="77777777">
                        <w:pPr>
                          <w:widowControl w:val="0"/>
                          <w:rPr>
                            <w:color w:val="000000"/>
                            <w:szCs w:val="24"/>
                            <w:lang w:val="lt" w:eastAsia="lt-LT"/>
                          </w:rPr>
                        </w:pPr>
                        <w:r>
                          <w:rPr>
                            <w:color w:val="000000"/>
                            <w:szCs w:val="24"/>
                            <w:lang w:val="lt" w:eastAsia="lt-LT"/>
                          </w:rPr>
                          <w:t>1.3. Radioterapija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BFE" w14:textId="77777777">
                        <w:pPr>
                          <w:widowControl w:val="0"/>
                          <w:rPr>
                            <w:color w:val="000000"/>
                            <w:szCs w:val="24"/>
                            <w:lang w:val="lt" w:eastAsia="lt-LT"/>
                          </w:rPr>
                        </w:pPr>
                        <w:r>
                          <w:rPr>
                            <w:color w:val="000000"/>
                            <w:szCs w:val="24"/>
                            <w:lang w:val="lt" w:eastAsia="lt-LT"/>
                          </w:rPr>
                          <w:t>Skiriama pacientui, kuris atsisako aktyvaus stebėjimo.</w:t>
                        </w:r>
                      </w:p>
                    </w:tc>
                  </w:tr>
                  <w:tr w14:paraId="50CA2C04" w14:textId="77777777">
                    <w:trPr>
                      <w:trHeight w:val="60"/>
                    </w:trPr>
                    <w:tc>
                      <w:tcPr>
                        <w:tcW w:w="562" w:type="dxa"/>
                        <w:vMerge/>
                        <w:tcBorders>
                          <w:top w:val="single" w:sz="4" w:space="0" w:color="000000"/>
                          <w:left w:val="single" w:sz="4" w:space="0" w:color="000000"/>
                          <w:bottom w:val="single" w:sz="4" w:space="0" w:color="000000"/>
                          <w:right w:val="single" w:sz="4" w:space="0" w:color="000000"/>
                        </w:tcBorders>
                      </w:tcPr>
                      <w:p w14:paraId="50CA2C00"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1"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2" w14:textId="01C7DD19">
                        <w:pPr>
                          <w:widowControl w:val="0"/>
                          <w:rPr>
                            <w:color w:val="000000"/>
                            <w:szCs w:val="24"/>
                            <w:lang w:val="lt" w:eastAsia="lt-LT"/>
                          </w:rPr>
                        </w:pPr>
                        <w:r>
                          <w:rPr>
                            <w:color w:val="000000"/>
                            <w:szCs w:val="24"/>
                            <w:lang w:val="lt" w:eastAsia="lt-LT"/>
                          </w:rPr>
                          <w:t>1.4. Brachiterapija jodo I-125 šaltiniais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3" w14:textId="77777777">
                        <w:pPr>
                          <w:widowControl w:val="0"/>
                          <w:rPr>
                            <w:color w:val="000000"/>
                            <w:szCs w:val="24"/>
                            <w:lang w:val="lt" w:eastAsia="lt-LT"/>
                          </w:rPr>
                        </w:pPr>
                        <w:r>
                          <w:rPr>
                            <w:color w:val="000000"/>
                            <w:szCs w:val="24"/>
                            <w:lang w:val="lt" w:eastAsia="lt-LT"/>
                          </w:rPr>
                          <w:t>Skiriama pacientui, kuris atsisako aktyvaus stebėjimo.</w:t>
                        </w:r>
                      </w:p>
                    </w:tc>
                  </w:tr>
                  <w:tr w14:paraId="50CA2C09" w14:textId="77777777">
                    <w:trPr>
                      <w:trHeight w:val="60"/>
                    </w:trPr>
                    <w:tc>
                      <w:tcPr>
                        <w:tcW w:w="562" w:type="dxa"/>
                        <w:vMerge w:val="restart"/>
                        <w:tcBorders>
                          <w:top w:val="single" w:sz="4" w:space="0" w:color="000000"/>
                          <w:left w:val="single" w:sz="4" w:space="0" w:color="000000"/>
                          <w:right w:val="single" w:sz="4" w:space="0" w:color="000000"/>
                        </w:tcBorders>
                      </w:tcPr>
                      <w:p w14:paraId="50CA2C05" w14:textId="77777777">
                        <w:pPr>
                          <w:widowControl w:val="0"/>
                          <w:rPr>
                            <w:color w:val="000000"/>
                            <w:szCs w:val="24"/>
                            <w:lang w:val="lt" w:eastAsia="lt-LT"/>
                          </w:rPr>
                        </w:pPr>
                        <w:r>
                          <w:rPr>
                            <w:color w:val="000000"/>
                            <w:szCs w:val="24"/>
                            <w:lang w:val="lt" w:eastAsia="lt-LT"/>
                          </w:rPr>
                          <w:t xml:space="preserve">2. </w:t>
                        </w:r>
                      </w:p>
                    </w:tc>
                    <w:tc>
                      <w:tcPr>
                        <w:tcW w:w="1418" w:type="dxa"/>
                        <w:vMerge w:val="restart"/>
                        <w:tcBorders>
                          <w:top w:val="single" w:sz="4" w:space="0" w:color="000000"/>
                          <w:left w:val="single" w:sz="4" w:space="0" w:color="000000"/>
                          <w:right w:val="single" w:sz="4" w:space="0" w:color="000000"/>
                        </w:tcBorders>
                        <w:tcMar>
                          <w:top w:w="28" w:type="dxa"/>
                          <w:left w:w="28" w:type="dxa"/>
                          <w:bottom w:w="28" w:type="dxa"/>
                          <w:right w:w="28" w:type="dxa"/>
                        </w:tcMar>
                      </w:tcPr>
                      <w:p w14:paraId="50CA2C06" w14:textId="43F1CBFF">
                        <w:pPr>
                          <w:widowControl w:val="0"/>
                          <w:rPr>
                            <w:color w:val="000000"/>
                            <w:szCs w:val="24"/>
                            <w:lang w:val="lt" w:eastAsia="lt-LT"/>
                          </w:rPr>
                        </w:pPr>
                        <w:r>
                          <w:rPr>
                            <w:color w:val="000000"/>
                            <w:szCs w:val="24"/>
                            <w:lang w:val="lt" w:eastAsia="lt-LT"/>
                          </w:rPr>
                          <w:t>Vidutinė</w:t>
                        </w: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7" w14:textId="2A8EEFED">
                        <w:pPr>
                          <w:widowControl w:val="0"/>
                          <w:rPr>
                            <w:color w:val="000000"/>
                            <w:szCs w:val="24"/>
                            <w:lang w:val="lt" w:eastAsia="lt-LT"/>
                          </w:rPr>
                        </w:pPr>
                        <w:r>
                          <w:rPr>
                            <w:color w:val="000000"/>
                            <w:szCs w:val="24"/>
                            <w:lang w:val="lt" w:eastAsia="lt-LT"/>
                          </w:rPr>
                          <w:t>2.1. Aktyvus stebėjimas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8" w14:textId="2A6FA6DA">
                        <w:pPr>
                          <w:widowControl w:val="0"/>
                          <w:rPr>
                            <w:color w:val="000000"/>
                            <w:szCs w:val="24"/>
                            <w:lang w:val="lt" w:eastAsia="lt-LT"/>
                          </w:rPr>
                        </w:pPr>
                        <w:r>
                          <w:rPr>
                            <w:color w:val="000000"/>
                            <w:szCs w:val="24"/>
                            <w:lang w:val="lt" w:eastAsia="lt-LT"/>
                          </w:rPr>
                          <w:t>Taikoma pacientui, kurio tikėtinas išgyvenamumas &lt; 10 metų. Aktyvų stebėjimą vykdo gydytojas urologas – atliekamas PSA tyrimas kas 6 mėnesiai ir, esant indikacijų, gydytojo urologo sprendimu atliekama priešinės liaukos biopsija.</w:t>
                        </w:r>
                      </w:p>
                    </w:tc>
                  </w:tr>
                  <w:tr w14:paraId="50CA2C0E" w14:textId="77777777">
                    <w:trPr>
                      <w:trHeight w:val="60"/>
                    </w:trPr>
                    <w:tc>
                      <w:tcPr>
                        <w:tcW w:w="562" w:type="dxa"/>
                        <w:vMerge/>
                        <w:tcBorders>
                          <w:top w:val="single" w:sz="4" w:space="0" w:color="000000"/>
                          <w:left w:val="single" w:sz="4" w:space="0" w:color="000000"/>
                          <w:right w:val="single" w:sz="4" w:space="0" w:color="000000"/>
                        </w:tcBorders>
                      </w:tcPr>
                      <w:p w14:paraId="50CA2C0A"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right w:val="single" w:sz="4" w:space="0" w:color="000000"/>
                        </w:tcBorders>
                        <w:tcMar>
                          <w:top w:w="28" w:type="dxa"/>
                          <w:left w:w="28" w:type="dxa"/>
                          <w:bottom w:w="28" w:type="dxa"/>
                          <w:right w:w="28" w:type="dxa"/>
                        </w:tcMar>
                      </w:tcPr>
                      <w:p w14:paraId="50CA2C0B"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C" w14:textId="77777777">
                        <w:pPr>
                          <w:widowControl w:val="0"/>
                          <w:rPr>
                            <w:color w:val="000000"/>
                            <w:szCs w:val="24"/>
                            <w:lang w:val="lt" w:eastAsia="lt-LT"/>
                          </w:rPr>
                        </w:pPr>
                        <w:r>
                          <w:rPr>
                            <w:color w:val="000000"/>
                            <w:szCs w:val="24"/>
                            <w:lang w:val="lt" w:eastAsia="lt-LT"/>
                          </w:rPr>
                          <w:t>2.2. Radikalioji prostatektomija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0D" w14:textId="77777777">
                        <w:pPr>
                          <w:widowControl w:val="0"/>
                          <w:rPr>
                            <w:color w:val="000000"/>
                            <w:szCs w:val="24"/>
                            <w:lang w:val="lt" w:eastAsia="lt-LT"/>
                          </w:rPr>
                        </w:pPr>
                        <w:r>
                          <w:rPr>
                            <w:color w:val="000000"/>
                            <w:szCs w:val="24"/>
                            <w:lang w:val="lt" w:eastAsia="lt-LT"/>
                          </w:rPr>
                          <w:t>Skiriama pacientui, kurio tikėtinas išgyvenamumas &gt; 10 metų ir kuriam priimtina su gydymu susijusių komplikacijų rizika.</w:t>
                        </w:r>
                      </w:p>
                    </w:tc>
                  </w:tr>
                  <w:tr w14:paraId="50CA2C13" w14:textId="77777777">
                    <w:trPr>
                      <w:trHeight w:val="60"/>
                    </w:trPr>
                    <w:tc>
                      <w:tcPr>
                        <w:tcW w:w="562" w:type="dxa"/>
                        <w:vMerge/>
                        <w:tcBorders>
                          <w:top w:val="single" w:sz="4" w:space="0" w:color="000000"/>
                          <w:left w:val="single" w:sz="4" w:space="0" w:color="000000"/>
                          <w:right w:val="single" w:sz="4" w:space="0" w:color="000000"/>
                        </w:tcBorders>
                      </w:tcPr>
                      <w:p w14:paraId="50CA2C0F"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right w:val="single" w:sz="4" w:space="0" w:color="000000"/>
                        </w:tcBorders>
                        <w:tcMar>
                          <w:top w:w="28" w:type="dxa"/>
                          <w:left w:w="28" w:type="dxa"/>
                          <w:bottom w:w="28" w:type="dxa"/>
                          <w:right w:w="28" w:type="dxa"/>
                        </w:tcMar>
                      </w:tcPr>
                      <w:p w14:paraId="50CA2C10"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1" w14:textId="77777777">
                        <w:pPr>
                          <w:widowControl w:val="0"/>
                          <w:rPr>
                            <w:color w:val="000000"/>
                            <w:szCs w:val="24"/>
                            <w:lang w:val="lt" w:eastAsia="lt-LT"/>
                          </w:rPr>
                        </w:pPr>
                        <w:r>
                          <w:rPr>
                            <w:color w:val="000000"/>
                            <w:szCs w:val="24"/>
                            <w:lang w:val="lt" w:eastAsia="lt-LT"/>
                          </w:rPr>
                          <w:t>2.3. Radioterapija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2" w14:textId="77777777">
                        <w:pPr>
                          <w:widowControl w:val="0"/>
                          <w:rPr>
                            <w:color w:val="000000"/>
                            <w:szCs w:val="24"/>
                            <w:lang w:val="lt" w:eastAsia="lt-LT"/>
                          </w:rPr>
                        </w:pPr>
                        <w:r>
                          <w:rPr>
                            <w:color w:val="000000"/>
                            <w:szCs w:val="24"/>
                            <w:lang w:val="lt" w:eastAsia="lt-LT"/>
                          </w:rPr>
                          <w:t>Skiriama pacientui, kurio tikėtinas išgyvenamumas &gt; 5 metai. Radioterapijos metu ir po jos rekomenduojama iki 6 mėnesių trukmės hormonų terapija.</w:t>
                        </w:r>
                      </w:p>
                    </w:tc>
                  </w:tr>
                  <w:tr w14:paraId="50CA2C18" w14:textId="77777777">
                    <w:trPr>
                      <w:trHeight w:val="60"/>
                    </w:trPr>
                    <w:tc>
                      <w:tcPr>
                        <w:tcW w:w="562" w:type="dxa"/>
                        <w:vMerge/>
                        <w:tcBorders>
                          <w:top w:val="single" w:sz="4" w:space="0" w:color="000000"/>
                          <w:left w:val="single" w:sz="4" w:space="0" w:color="000000"/>
                          <w:right w:val="single" w:sz="4" w:space="0" w:color="000000"/>
                        </w:tcBorders>
                      </w:tcPr>
                      <w:p w14:paraId="50CA2C14" w14:textId="77777777">
                        <w:pPr>
                          <w:widowControl w:val="0"/>
                          <w:pBdr>
                            <w:top w:val="nil"/>
                            <w:left w:val="nil"/>
                            <w:bottom w:val="nil"/>
                            <w:right w:val="nil"/>
                            <w:between w:val="nil"/>
                          </w:pBdr>
                          <w:spacing w:line="276" w:lineRule="auto"/>
                          <w:rPr>
                            <w:color w:val="000000"/>
                            <w:szCs w:val="24"/>
                            <w:lang w:val="lt" w:eastAsia="lt-LT"/>
                          </w:rPr>
                        </w:pPr>
                      </w:p>
                    </w:tc>
                    <w:tc>
                      <w:tcPr>
                        <w:tcW w:w="1418" w:type="dxa"/>
                        <w:vMerge/>
                        <w:tcBorders>
                          <w:top w:val="single" w:sz="4" w:space="0" w:color="000000"/>
                          <w:left w:val="single" w:sz="4" w:space="0" w:color="000000"/>
                          <w:right w:val="single" w:sz="4" w:space="0" w:color="000000"/>
                        </w:tcBorders>
                        <w:tcMar>
                          <w:top w:w="28" w:type="dxa"/>
                          <w:left w:w="28" w:type="dxa"/>
                          <w:bottom w:w="28" w:type="dxa"/>
                          <w:right w:w="28" w:type="dxa"/>
                        </w:tcMar>
                      </w:tcPr>
                      <w:p w14:paraId="50CA2C15" w14:textId="77777777">
                        <w:pPr>
                          <w:widowControl w:val="0"/>
                          <w:pBdr>
                            <w:top w:val="nil"/>
                            <w:left w:val="nil"/>
                            <w:bottom w:val="nil"/>
                            <w:right w:val="nil"/>
                            <w:between w:val="nil"/>
                          </w:pBdr>
                          <w:spacing w:line="276" w:lineRule="auto"/>
                          <w:rPr>
                            <w:color w:val="000000"/>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6" w14:textId="6B79B0C4">
                        <w:pPr>
                          <w:widowControl w:val="0"/>
                          <w:rPr>
                            <w:color w:val="000000"/>
                            <w:szCs w:val="24"/>
                            <w:lang w:val="lt" w:eastAsia="lt-LT"/>
                          </w:rPr>
                        </w:pPr>
                        <w:r>
                          <w:rPr>
                            <w:color w:val="000000"/>
                            <w:szCs w:val="24"/>
                            <w:lang w:val="lt" w:eastAsia="lt-LT"/>
                          </w:rPr>
                          <w:t>2.4. Brachiterapija jodo I-125 šaltiniais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7" w14:textId="77777777">
                        <w:pPr>
                          <w:widowControl w:val="0"/>
                          <w:rPr>
                            <w:color w:val="000000"/>
                            <w:szCs w:val="24"/>
                            <w:lang w:val="lt" w:eastAsia="lt-LT"/>
                          </w:rPr>
                        </w:pPr>
                        <w:r>
                          <w:rPr>
                            <w:color w:val="000000"/>
                            <w:szCs w:val="24"/>
                            <w:lang w:val="lt" w:eastAsia="lt-LT"/>
                          </w:rPr>
                          <w:t>Skiriama pacientui, kurio tikėtinas išgyvenamumas &gt; 5 metai.</w:t>
                        </w:r>
                      </w:p>
                    </w:tc>
                  </w:tr>
                  <w:tr w14:paraId="50CA2C1D" w14:textId="77777777">
                    <w:trPr>
                      <w:trHeight w:val="60"/>
                    </w:trPr>
                    <w:tc>
                      <w:tcPr>
                        <w:tcW w:w="562" w:type="dxa"/>
                        <w:tcBorders>
                          <w:top w:val="single" w:sz="4" w:space="0" w:color="000000"/>
                          <w:left w:val="single" w:sz="4" w:space="0" w:color="000000"/>
                          <w:bottom w:val="single" w:sz="4" w:space="0" w:color="000000"/>
                          <w:right w:val="single" w:sz="4" w:space="0" w:color="000000"/>
                        </w:tcBorders>
                      </w:tcPr>
                      <w:p w14:paraId="50CA2C19" w14:textId="77777777">
                        <w:pPr>
                          <w:widowControl w:val="0"/>
                          <w:rPr>
                            <w:color w:val="000000"/>
                            <w:szCs w:val="24"/>
                            <w:lang w:val="lt" w:eastAsia="lt-LT"/>
                          </w:rPr>
                        </w:pPr>
                        <w:r>
                          <w:rPr>
                            <w:color w:val="000000"/>
                            <w:szCs w:val="24"/>
                            <w:lang w:val="lt" w:eastAsia="lt-LT"/>
                          </w:rPr>
                          <w:t>3.</w:t>
                        </w:r>
                      </w:p>
                    </w:tc>
                    <w:tc>
                      <w:tcPr>
                        <w:tcW w:w="14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A" w14:textId="71BA619A">
                        <w:pPr>
                          <w:widowControl w:val="0"/>
                          <w:rPr>
                            <w:color w:val="000000"/>
                            <w:szCs w:val="24"/>
                            <w:lang w:val="lt" w:eastAsia="lt-LT"/>
                          </w:rPr>
                        </w:pPr>
                        <w:r>
                          <w:rPr>
                            <w:color w:val="000000"/>
                            <w:szCs w:val="24"/>
                            <w:lang w:val="lt" w:eastAsia="lt-LT"/>
                          </w:rPr>
                          <w:t xml:space="preserve">Aukšta ar labai aukšta </w:t>
                        </w: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B" w14:textId="77777777">
                        <w:pPr>
                          <w:widowControl w:val="0"/>
                          <w:rPr>
                            <w:color w:val="000000"/>
                            <w:szCs w:val="24"/>
                            <w:lang w:val="lt" w:eastAsia="lt-LT"/>
                          </w:rPr>
                        </w:pPr>
                        <w:r>
                          <w:rPr>
                            <w:color w:val="000000"/>
                            <w:szCs w:val="24"/>
                            <w:lang w:val="lt" w:eastAsia="lt-LT"/>
                          </w:rPr>
                          <w:t>3.1. Gydymas atsiradus simptomams</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C" w14:textId="48972AB8">
                        <w:pPr>
                          <w:widowControl w:val="0"/>
                          <w:rPr>
                            <w:color w:val="000000"/>
                            <w:szCs w:val="24"/>
                            <w:lang w:val="lt" w:eastAsia="lt-LT"/>
                          </w:rPr>
                        </w:pPr>
                        <w:r>
                          <w:rPr>
                            <w:color w:val="000000"/>
                            <w:szCs w:val="24"/>
                            <w:lang w:val="lt" w:eastAsia="lt-LT"/>
                          </w:rPr>
                          <w:t>Pacientui, kurio tikėtinas išgyvenamumas &lt; 5 metai, aktyvusis gydymas ir stebėjimas rekomenduojami tik atsiradus ligos sukeltiems simptomams.</w:t>
                        </w:r>
                      </w:p>
                    </w:tc>
                  </w:tr>
                  <w:tr w14:paraId="50CA2C22" w14:textId="77777777">
                    <w:trPr>
                      <w:trHeight w:val="60"/>
                    </w:trPr>
                    <w:tc>
                      <w:tcPr>
                        <w:tcW w:w="562" w:type="dxa"/>
                        <w:tcBorders>
                          <w:top w:val="single" w:sz="4" w:space="0" w:color="000000"/>
                          <w:left w:val="single" w:sz="4" w:space="0" w:color="000000"/>
                          <w:bottom w:val="single" w:sz="4" w:space="0" w:color="000000"/>
                          <w:right w:val="single" w:sz="4" w:space="0" w:color="000000"/>
                        </w:tcBorders>
                      </w:tcPr>
                      <w:p w14:paraId="50CA2C1E" w14:textId="77777777">
                        <w:pPr>
                          <w:widowControl w:val="0"/>
                          <w:rPr>
                            <w:szCs w:val="24"/>
                            <w:lang w:val="lt" w:eastAsia="lt-LT"/>
                          </w:rPr>
                        </w:pPr>
                      </w:p>
                    </w:tc>
                    <w:tc>
                      <w:tcPr>
                        <w:tcW w:w="14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1F" w14:textId="77777777">
                        <w:pPr>
                          <w:widowControl w:val="0"/>
                          <w:rPr>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0" w14:textId="77777777">
                        <w:pPr>
                          <w:widowControl w:val="0"/>
                          <w:rPr>
                            <w:color w:val="000000"/>
                            <w:szCs w:val="24"/>
                            <w:lang w:val="lt" w:eastAsia="lt-LT"/>
                          </w:rPr>
                        </w:pPr>
                        <w:r>
                          <w:rPr>
                            <w:color w:val="000000"/>
                            <w:szCs w:val="24"/>
                            <w:lang w:val="lt" w:eastAsia="lt-LT"/>
                          </w:rPr>
                          <w:t>3.2. Radikalioji prostatektomija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1" w14:textId="77777777">
                        <w:pPr>
                          <w:widowControl w:val="0"/>
                          <w:rPr>
                            <w:color w:val="000000"/>
                            <w:szCs w:val="24"/>
                            <w:lang w:val="lt" w:eastAsia="lt-LT"/>
                          </w:rPr>
                        </w:pPr>
                        <w:r>
                          <w:rPr>
                            <w:color w:val="000000"/>
                            <w:szCs w:val="24"/>
                            <w:lang w:val="lt" w:eastAsia="lt-LT"/>
                          </w:rPr>
                          <w:t>Radikaliąją prostatektomiją gali pasirinkti pacientas, kurio tikėtinas išgyvenamumas &gt; 10 metų.</w:t>
                        </w:r>
                      </w:p>
                    </w:tc>
                  </w:tr>
                  <w:tr w14:paraId="50CA2C27" w14:textId="77777777">
                    <w:trPr>
                      <w:trHeight w:val="60"/>
                    </w:trPr>
                    <w:tc>
                      <w:tcPr>
                        <w:tcW w:w="562" w:type="dxa"/>
                        <w:tcBorders>
                          <w:top w:val="single" w:sz="4" w:space="0" w:color="000000"/>
                          <w:left w:val="single" w:sz="4" w:space="0" w:color="000000"/>
                          <w:bottom w:val="single" w:sz="4" w:space="0" w:color="000000"/>
                          <w:right w:val="single" w:sz="4" w:space="0" w:color="000000"/>
                        </w:tcBorders>
                      </w:tcPr>
                      <w:p w14:paraId="50CA2C23" w14:textId="77777777">
                        <w:pPr>
                          <w:widowControl w:val="0"/>
                          <w:rPr>
                            <w:szCs w:val="24"/>
                            <w:lang w:val="lt" w:eastAsia="lt-LT"/>
                          </w:rPr>
                        </w:pPr>
                      </w:p>
                    </w:tc>
                    <w:tc>
                      <w:tcPr>
                        <w:tcW w:w="14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4" w14:textId="77777777">
                        <w:pPr>
                          <w:widowControl w:val="0"/>
                          <w:rPr>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5" w14:textId="77777777">
                        <w:pPr>
                          <w:widowControl w:val="0"/>
                          <w:rPr>
                            <w:color w:val="000000"/>
                            <w:szCs w:val="24"/>
                            <w:lang w:val="lt" w:eastAsia="lt-LT"/>
                          </w:rPr>
                        </w:pPr>
                        <w:r>
                          <w:rPr>
                            <w:color w:val="000000"/>
                            <w:szCs w:val="24"/>
                            <w:lang w:val="lt" w:eastAsia="lt-LT"/>
                          </w:rPr>
                          <w:t>3.3. Radioterapija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6" w14:textId="11CED04F">
                        <w:pPr>
                          <w:widowControl w:val="0"/>
                          <w:rPr>
                            <w:color w:val="000000"/>
                            <w:szCs w:val="24"/>
                            <w:lang w:val="lt" w:eastAsia="lt-LT"/>
                          </w:rPr>
                        </w:pPr>
                        <w:r>
                          <w:rPr>
                            <w:color w:val="000000"/>
                            <w:szCs w:val="24"/>
                            <w:lang w:val="lt" w:eastAsia="lt-LT"/>
                          </w:rPr>
                          <w:t>Skiriama pacientui, kurio tikėtinas išgyvenamumas &gt; 5–10 metų, ir pacientui rekomenduojama iki 3 metų trukmės hormonų terapija.</w:t>
                        </w:r>
                      </w:p>
                    </w:tc>
                  </w:tr>
                  <w:tr w14:paraId="50CA2C2C" w14:textId="77777777">
                    <w:trPr>
                      <w:trHeight w:val="60"/>
                    </w:trPr>
                    <w:tc>
                      <w:tcPr>
                        <w:tcW w:w="562" w:type="dxa"/>
                        <w:tcBorders>
                          <w:top w:val="single" w:sz="4" w:space="0" w:color="000000"/>
                          <w:left w:val="single" w:sz="4" w:space="0" w:color="000000"/>
                          <w:bottom w:val="single" w:sz="4" w:space="0" w:color="000000"/>
                          <w:right w:val="single" w:sz="4" w:space="0" w:color="000000"/>
                        </w:tcBorders>
                      </w:tcPr>
                      <w:p w14:paraId="50CA2C28" w14:textId="77777777">
                        <w:pPr>
                          <w:widowControl w:val="0"/>
                          <w:rPr>
                            <w:szCs w:val="24"/>
                            <w:lang w:val="lt" w:eastAsia="lt-LT"/>
                          </w:rPr>
                        </w:pPr>
                      </w:p>
                    </w:tc>
                    <w:tc>
                      <w:tcPr>
                        <w:tcW w:w="14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9" w14:textId="77777777">
                        <w:pPr>
                          <w:widowControl w:val="0"/>
                          <w:rPr>
                            <w:szCs w:val="24"/>
                            <w:lang w:val="lt" w:eastAsia="lt-LT"/>
                          </w:rPr>
                        </w:pPr>
                      </w:p>
                    </w:tc>
                    <w:tc>
                      <w:tcPr>
                        <w:tcW w:w="3118"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A" w14:textId="77777777">
                        <w:pPr>
                          <w:widowControl w:val="0"/>
                          <w:rPr>
                            <w:color w:val="000000"/>
                            <w:szCs w:val="24"/>
                            <w:lang w:val="lt" w:eastAsia="lt-LT"/>
                          </w:rPr>
                        </w:pPr>
                        <w:r>
                          <w:rPr>
                            <w:color w:val="000000"/>
                            <w:szCs w:val="24"/>
                            <w:lang w:val="lt" w:eastAsia="lt-LT"/>
                          </w:rPr>
                          <w:t>3.4. Hormonų terapija</w:t>
                        </w:r>
                      </w:p>
                    </w:tc>
                    <w:tc>
                      <w:tcPr>
                        <w:tcW w:w="4536" w:type="dxa"/>
                        <w:tcBorders>
                          <w:top w:val="single" w:sz="4" w:space="0" w:color="000000"/>
                          <w:left w:val="single" w:sz="4" w:space="0" w:color="000000"/>
                          <w:bottom w:val="single" w:sz="4" w:space="0" w:color="000000"/>
                          <w:right w:val="single" w:sz="4" w:space="0" w:color="000000"/>
                        </w:tcBorders>
                        <w:tcMar>
                          <w:top w:w="28" w:type="dxa"/>
                          <w:left w:w="28" w:type="dxa"/>
                          <w:bottom w:w="28" w:type="dxa"/>
                          <w:right w:w="28" w:type="dxa"/>
                        </w:tcMar>
                      </w:tcPr>
                      <w:p w14:paraId="50CA2C2B" w14:textId="636EAF75">
                        <w:pPr>
                          <w:widowControl w:val="0"/>
                          <w:rPr>
                            <w:color w:val="000000"/>
                            <w:szCs w:val="24"/>
                            <w:lang w:val="lt" w:eastAsia="lt-LT"/>
                          </w:rPr>
                        </w:pPr>
                        <w:r>
                          <w:rPr>
                            <w:color w:val="000000"/>
                            <w:szCs w:val="24"/>
                            <w:lang w:val="lt" w:eastAsia="lt-LT"/>
                          </w:rPr>
                          <w:t>Skiriama derinant su radioterapiniu gydymu arba skiriama pacientui, kurio negalima gydyti radikaliai, kartu su sisteminiu gydymu ar be jo.</w:t>
                        </w:r>
                      </w:p>
                    </w:tc>
                  </w:tr>
                </w:tbl>
                <w:p w14:paraId="50CA2C2D" w14:textId="77777777">
                  <w:pPr>
                    <w:pBdr>
                      <w:top w:val="nil"/>
                      <w:left w:val="nil"/>
                      <w:bottom w:val="nil"/>
                      <w:right w:val="nil"/>
                      <w:between w:val="nil"/>
                    </w:pBdr>
                    <w:rPr>
                      <w:color w:val="000000"/>
                      <w:szCs w:val="24"/>
                      <w:lang w:val="lt" w:eastAsia="lt-LT"/>
                    </w:rPr>
                  </w:pPr>
                </w:p>
              </w:sdtContent>
            </w:sdt>
            <w:sdt>
              <w:sdtPr>
                <w:alias w:val="14 p."/>
                <w:tag w:val="part_5d678299d10848c7a2458954f48100a7"/>
                <w:lock w:val="sdtLocked"/>
                <w:richText/>
              </w:sdtPr>
              <w:sdtContent>
                <w:p w14:paraId="50CA2C2E" w14:textId="77777777">
                  <w:pPr>
                    <w:ind w:firstLine="709"/>
                    <w:jc w:val="both"/>
                    <w:rPr>
                      <w:color w:val="000000"/>
                      <w:szCs w:val="24"/>
                      <w:lang w:val="lt" w:eastAsia="lt-LT"/>
                    </w:rPr>
                  </w:pPr>
                  <w:sdt>
                    <w:sdtPr>
                      <w:alias w:val="Numeris"/>
                      <w:tag w:val="nr_5d678299d10848c7a2458954f48100a7"/>
                      <w:lock w:val="sdtLocked"/>
                      <w:richText/>
                    </w:sdtPr>
                    <w:sdtContent>
                      <w:r>
                        <w:rPr>
                          <w:color w:val="000000"/>
                          <w:szCs w:val="24"/>
                          <w:lang w:val="lt" w:eastAsia="lt-LT"/>
                        </w:rPr>
                        <w:t>14</w:t>
                      </w:r>
                    </w:sdtContent>
                  </w:sdt>
                  <w:r>
                    <w:rPr>
                      <w:color w:val="000000"/>
                      <w:szCs w:val="24"/>
                      <w:lang w:val="lt" w:eastAsia="lt-LT"/>
                    </w:rPr>
                    <w:t>. Hormonų terapijai skiriami šių farmakoterapinių grupių vaistai:</w:t>
                  </w:r>
                </w:p>
                <w:sdt>
                  <w:sdtPr>
                    <w:alias w:val="14.1 pp."/>
                    <w:tag w:val="part_51ddcd316fc4441b84a41b2c91cd6c4f"/>
                    <w:lock w:val="sdtLocked"/>
                    <w:richText/>
                  </w:sdtPr>
                  <w:sdtContent>
                    <w:p w14:paraId="50CA2C2F" w14:textId="77777777">
                      <w:pPr>
                        <w:ind w:firstLine="709"/>
                        <w:jc w:val="both"/>
                        <w:rPr>
                          <w:szCs w:val="24"/>
                          <w:lang w:val="lt" w:eastAsia="lt-LT"/>
                        </w:rPr>
                      </w:pPr>
                      <w:sdt>
                        <w:sdtPr>
                          <w:alias w:val="Numeris"/>
                          <w:tag w:val="nr_51ddcd316fc4441b84a41b2c91cd6c4f"/>
                          <w:lock w:val="sdtLocked"/>
                          <w:richText/>
                        </w:sdtPr>
                        <w:sdtContent>
                          <w:r>
                            <w:rPr>
                              <w:color w:val="000000"/>
                              <w:szCs w:val="24"/>
                              <w:lang w:val="lt" w:eastAsia="lt-LT"/>
                            </w:rPr>
                            <w:t>14.1</w:t>
                          </w:r>
                        </w:sdtContent>
                      </w:sdt>
                      <w:r>
                        <w:rPr>
                          <w:color w:val="000000"/>
                          <w:szCs w:val="24"/>
                          <w:lang w:val="lt" w:eastAsia="lt-LT"/>
                        </w:rPr>
                        <w:t xml:space="preserve">. </w:t>
                      </w:r>
                      <w:r>
                        <w:rPr>
                          <w:szCs w:val="24"/>
                          <w:lang w:val="lt" w:eastAsia="lt-LT"/>
                        </w:rPr>
                        <w:t>gonadotropino išskyrimą skatinančio (toliau – GIS) hormono analogai / antagonistai;</w:t>
                      </w:r>
                    </w:p>
                  </w:sdtContent>
                </w:sdt>
                <w:sdt>
                  <w:sdtPr>
                    <w:alias w:val="14.2 pp."/>
                    <w:tag w:val="part_7f058fdef0fc404b97e5e54830f81982"/>
                    <w:lock w:val="sdtLocked"/>
                    <w:richText/>
                  </w:sdtPr>
                  <w:sdtContent>
                    <w:p w14:paraId="50CA2C30" w14:textId="77777777">
                      <w:pPr>
                        <w:ind w:firstLine="709"/>
                        <w:jc w:val="both"/>
                        <w:rPr>
                          <w:szCs w:val="24"/>
                          <w:lang w:val="lt" w:eastAsia="lt-LT"/>
                        </w:rPr>
                      </w:pPr>
                      <w:sdt>
                        <w:sdtPr>
                          <w:alias w:val="Numeris"/>
                          <w:tag w:val="nr_7f058fdef0fc404b97e5e54830f81982"/>
                          <w:lock w:val="sdtLocked"/>
                          <w:richText/>
                        </w:sdtPr>
                        <w:sdtContent>
                          <w:r>
                            <w:rPr>
                              <w:szCs w:val="24"/>
                              <w:lang w:val="lt" w:eastAsia="lt-LT"/>
                            </w:rPr>
                            <w:t>14.2</w:t>
                          </w:r>
                        </w:sdtContent>
                      </w:sdt>
                      <w:r>
                        <w:rPr>
                          <w:szCs w:val="24"/>
                          <w:lang w:val="lt" w:eastAsia="lt-LT"/>
                        </w:rPr>
                        <w:t>. antiandrogenai;</w:t>
                      </w:r>
                    </w:p>
                  </w:sdtContent>
                </w:sdt>
                <w:sdt>
                  <w:sdtPr>
                    <w:alias w:val="14.3 pp."/>
                    <w:tag w:val="part_45ecd1ac38f74a219f1fd120e18cb97a"/>
                    <w:lock w:val="sdtLocked"/>
                    <w:richText/>
                  </w:sdtPr>
                  <w:sdtContent>
                    <w:p w14:paraId="50CA2C31" w14:textId="77777777">
                      <w:pPr>
                        <w:ind w:firstLine="709"/>
                        <w:jc w:val="both"/>
                        <w:rPr>
                          <w:color w:val="000000"/>
                          <w:szCs w:val="24"/>
                          <w:lang w:val="lt" w:eastAsia="lt-LT"/>
                        </w:rPr>
                      </w:pPr>
                      <w:sdt>
                        <w:sdtPr>
                          <w:alias w:val="Numeris"/>
                          <w:tag w:val="nr_45ecd1ac38f74a219f1fd120e18cb97a"/>
                          <w:lock w:val="sdtLocked"/>
                          <w:richText/>
                        </w:sdtPr>
                        <w:sdtContent>
                          <w:r>
                            <w:rPr>
                              <w:color w:val="000000"/>
                              <w:szCs w:val="24"/>
                              <w:lang w:val="lt" w:eastAsia="lt-LT"/>
                            </w:rPr>
                            <w:t>14.3</w:t>
                          </w:r>
                        </w:sdtContent>
                      </w:sdt>
                      <w:r>
                        <w:rPr>
                          <w:color w:val="000000"/>
                          <w:szCs w:val="24"/>
                          <w:lang w:val="lt" w:eastAsia="lt-LT"/>
                        </w:rPr>
                        <w:t>. kortikosteroidai;</w:t>
                      </w:r>
                    </w:p>
                  </w:sdtContent>
                </w:sdt>
                <w:sdt>
                  <w:sdtPr>
                    <w:alias w:val="14.4 pp."/>
                    <w:tag w:val="part_8e8699b109cc4a31b9f447c0b35d277b"/>
                    <w:lock w:val="sdtLocked"/>
                    <w:richText/>
                  </w:sdtPr>
                  <w:sdtContent>
                    <w:p w14:paraId="50CA2C32" w14:textId="77777777">
                      <w:pPr>
                        <w:ind w:firstLine="709"/>
                        <w:jc w:val="both"/>
                        <w:rPr>
                          <w:szCs w:val="24"/>
                          <w:lang w:val="lt" w:eastAsia="lt-LT"/>
                        </w:rPr>
                      </w:pPr>
                      <w:sdt>
                        <w:sdtPr>
                          <w:alias w:val="Numeris"/>
                          <w:tag w:val="nr_8e8699b109cc4a31b9f447c0b35d277b"/>
                          <w:lock w:val="sdtLocked"/>
                          <w:richText/>
                        </w:sdtPr>
                        <w:sdtContent>
                          <w:r>
                            <w:rPr>
                              <w:szCs w:val="24"/>
                              <w:lang w:val="lt" w:eastAsia="lt-LT"/>
                            </w:rPr>
                            <w:t>14.4</w:t>
                          </w:r>
                        </w:sdtContent>
                      </w:sdt>
                      <w:r>
                        <w:rPr>
                          <w:szCs w:val="24"/>
                          <w:lang w:val="lt" w:eastAsia="lt-LT"/>
                        </w:rPr>
                        <w:t>. androgenų sintezės inhibitoriai.</w:t>
                      </w:r>
                    </w:p>
                  </w:sdtContent>
                </w:sdt>
              </w:sdtContent>
            </w:sdt>
            <w:sdt>
              <w:sdtPr>
                <w:alias w:val="15 p."/>
                <w:tag w:val="part_405225c253ee400aa60d26b81f9b30c6"/>
                <w:lock w:val="sdtLocked"/>
                <w:richText/>
              </w:sdtPr>
              <w:sdtContent>
                <w:p w14:paraId="50CA2C33" w14:textId="77777777">
                  <w:pPr>
                    <w:ind w:firstLine="709"/>
                    <w:jc w:val="both"/>
                    <w:rPr>
                      <w:color w:val="000000"/>
                      <w:szCs w:val="24"/>
                      <w:lang w:val="lt" w:eastAsia="lt-LT"/>
                    </w:rPr>
                  </w:pPr>
                  <w:sdt>
                    <w:sdtPr>
                      <w:alias w:val="Numeris"/>
                      <w:tag w:val="nr_405225c253ee400aa60d26b81f9b30c6"/>
                      <w:lock w:val="sdtLocked"/>
                      <w:richText/>
                    </w:sdtPr>
                    <w:sdtContent>
                      <w:r>
                        <w:rPr>
                          <w:color w:val="000000"/>
                          <w:szCs w:val="24"/>
                          <w:lang w:val="lt" w:eastAsia="lt-LT"/>
                        </w:rPr>
                        <w:t>15</w:t>
                      </w:r>
                    </w:sdtContent>
                  </w:sdt>
                  <w:r>
                    <w:rPr>
                      <w:color w:val="000000"/>
                      <w:szCs w:val="24"/>
                      <w:lang w:val="lt" w:eastAsia="lt-LT"/>
                    </w:rPr>
                    <w:t>. Nemetastazavusio priešinės liaukos piktybinio naviko hormonų terapija:</w:t>
                  </w:r>
                </w:p>
                <w:sdt>
                  <w:sdtPr>
                    <w:alias w:val="15.1 pp."/>
                    <w:tag w:val="part_68bc96f44b6d4782912e1a310cfa1bc3"/>
                    <w:lock w:val="sdtLocked"/>
                    <w:richText/>
                  </w:sdtPr>
                  <w:sdtContent>
                    <w:p w14:paraId="50CA2C34" w14:textId="1E4AE931">
                      <w:pPr>
                        <w:ind w:firstLine="709"/>
                        <w:jc w:val="both"/>
                        <w:rPr>
                          <w:strike/>
                          <w:color w:val="000000"/>
                          <w:szCs w:val="24"/>
                          <w:lang w:val="lt" w:eastAsia="lt-LT"/>
                        </w:rPr>
                      </w:pPr>
                      <w:sdt>
                        <w:sdtPr>
                          <w:alias w:val="Numeris"/>
                          <w:tag w:val="nr_68bc96f44b6d4782912e1a310cfa1bc3"/>
                          <w:lock w:val="sdtLocked"/>
                          <w:richText/>
                        </w:sdtPr>
                        <w:sdtContent>
                          <w:r>
                            <w:rPr>
                              <w:color w:val="000000"/>
                              <w:szCs w:val="24"/>
                              <w:lang w:val="lt" w:eastAsia="lt-LT"/>
                            </w:rPr>
                            <w:t>15.1</w:t>
                          </w:r>
                        </w:sdtContent>
                      </w:sdt>
                      <w:r>
                        <w:rPr>
                          <w:color w:val="000000"/>
                          <w:szCs w:val="24"/>
                          <w:lang w:val="lt" w:eastAsia="lt-LT"/>
                        </w:rPr>
                        <w:t>. neoadjuvantinė hormonų terapija GIS hormono analogu / antagonistu skiriama aukštos ar vidutinės ligos progresavimo rizikos pacientams, kuriems numatoma skirti radikalųjį radioterapinį gydymą;</w:t>
                      </w:r>
                    </w:p>
                  </w:sdtContent>
                </w:sdt>
                <w:sdt>
                  <w:sdtPr>
                    <w:alias w:val="15.2 pp."/>
                    <w:tag w:val="part_d35065662d4a4d9d8a0f0c00cddd7414"/>
                    <w:lock w:val="sdtLocked"/>
                    <w:richText/>
                  </w:sdtPr>
                  <w:sdtContent>
                    <w:p w14:paraId="50CA2C35" w14:textId="4F0D0810">
                      <w:pPr>
                        <w:ind w:firstLine="709"/>
                        <w:jc w:val="both"/>
                        <w:rPr>
                          <w:color w:val="000000"/>
                          <w:szCs w:val="24"/>
                          <w:lang w:val="lt" w:eastAsia="lt-LT"/>
                        </w:rPr>
                      </w:pPr>
                      <w:sdt>
                        <w:sdtPr>
                          <w:alias w:val="Numeris"/>
                          <w:tag w:val="nr_d35065662d4a4d9d8a0f0c00cddd7414"/>
                          <w:lock w:val="sdtLocked"/>
                          <w:richText/>
                        </w:sdtPr>
                        <w:sdtContent>
                          <w:r>
                            <w:rPr>
                              <w:color w:val="000000"/>
                              <w:szCs w:val="24"/>
                              <w:lang w:val="lt" w:eastAsia="lt-LT"/>
                            </w:rPr>
                            <w:t>15.2</w:t>
                          </w:r>
                        </w:sdtContent>
                      </w:sdt>
                      <w:r>
                        <w:rPr>
                          <w:color w:val="000000"/>
                          <w:szCs w:val="24"/>
                          <w:lang w:val="lt" w:eastAsia="lt-LT"/>
                        </w:rPr>
                        <w:t>. adjuvantinė hormonų terapija GIS hormono analogu / antagonistu skiriama aukštos ir labai aukštos ligos progresavimo rizikos pacientams po neoadjuvantinės hormonų terapijos bei radioterapijos. Taikant adjuvantinę hormonų terapiją GIS hormono analogu galima skirti ir ilgesnės kaip 3 mėnesių veikimo trukmės vaistinį preparatą, prieš skiriant įvertinus numatomą gyvenimo trukmę, galimų komplikacijų riziką;</w:t>
                      </w:r>
                    </w:p>
                  </w:sdtContent>
                </w:sdt>
                <w:sdt>
                  <w:sdtPr>
                    <w:alias w:val="15.3 pp."/>
                    <w:tag w:val="part_d89a73cc6c9c443e81f142f608bf4b42"/>
                    <w:lock w:val="sdtLocked"/>
                    <w:richText/>
                  </w:sdtPr>
                  <w:sdtContent>
                    <w:p w14:paraId="50CA2C36" w14:textId="284DFF03">
                      <w:pPr>
                        <w:ind w:firstLine="709"/>
                        <w:jc w:val="both"/>
                        <w:rPr>
                          <w:color w:val="000000"/>
                          <w:szCs w:val="24"/>
                          <w:lang w:val="lt" w:eastAsia="lt-LT"/>
                        </w:rPr>
                      </w:pPr>
                      <w:sdt>
                        <w:sdtPr>
                          <w:alias w:val="Numeris"/>
                          <w:tag w:val="nr_d89a73cc6c9c443e81f142f608bf4b42"/>
                          <w:lock w:val="sdtLocked"/>
                          <w:richText/>
                        </w:sdtPr>
                        <w:sdtContent>
                          <w:r>
                            <w:rPr>
                              <w:color w:val="000000"/>
                              <w:szCs w:val="24"/>
                              <w:lang w:val="lt" w:eastAsia="lt-LT"/>
                            </w:rPr>
                            <w:t>15.3</w:t>
                          </w:r>
                        </w:sdtContent>
                      </w:sdt>
                      <w:r>
                        <w:rPr>
                          <w:color w:val="000000"/>
                          <w:szCs w:val="24"/>
                          <w:lang w:val="lt" w:eastAsia="lt-LT"/>
                        </w:rPr>
                        <w:t>. adjuvantinė hormonų terapija antiandrogenu (bikalutamidu, 150 mg per dieną) gali būti skiriama pacientams, siekiantiems išsaugoti lytinę funkciją.</w:t>
                      </w:r>
                    </w:p>
                  </w:sdtContent>
                </w:sdt>
              </w:sdtContent>
            </w:sdt>
            <w:sdt>
              <w:sdtPr>
                <w:alias w:val="16 p."/>
                <w:tag w:val="part_d24e67a087b24c0ea786262f71a576da"/>
                <w:lock w:val="sdtLocked"/>
                <w:richText/>
              </w:sdtPr>
              <w:sdtContent>
                <w:p w14:paraId="50CA2C37" w14:textId="77777777">
                  <w:pPr>
                    <w:ind w:firstLine="709"/>
                    <w:jc w:val="both"/>
                    <w:rPr>
                      <w:color w:val="000000"/>
                      <w:szCs w:val="24"/>
                      <w:lang w:val="lt" w:eastAsia="lt-LT"/>
                    </w:rPr>
                  </w:pPr>
                  <w:sdt>
                    <w:sdtPr>
                      <w:alias w:val="Numeris"/>
                      <w:tag w:val="nr_d24e67a087b24c0ea786262f71a576da"/>
                      <w:lock w:val="sdtLocked"/>
                      <w:richText/>
                    </w:sdtPr>
                    <w:sdtContent>
                      <w:r>
                        <w:rPr>
                          <w:color w:val="000000"/>
                          <w:szCs w:val="24"/>
                          <w:lang w:val="lt" w:eastAsia="lt-LT"/>
                        </w:rPr>
                        <w:t>16</w:t>
                      </w:r>
                    </w:sdtContent>
                  </w:sdt>
                  <w:r>
                    <w:rPr>
                      <w:color w:val="000000"/>
                      <w:szCs w:val="24"/>
                      <w:lang w:val="lt" w:eastAsia="lt-LT"/>
                    </w:rPr>
                    <w:t>. Adjuvantinė hormonų terapija GIS hormono analogu / antagonistu skiriama po radikaliosios prostatektomijos pacientams, kuriems nustatytos metastazės sritiniuose limfmazgiuose.</w:t>
                  </w:r>
                </w:p>
              </w:sdtContent>
            </w:sdt>
            <w:sdt>
              <w:sdtPr>
                <w:alias w:val="17 p."/>
                <w:tag w:val="part_7a5ba056c9214bfbbd961c65a75dc98f"/>
                <w:lock w:val="sdtLocked"/>
                <w:richText/>
              </w:sdtPr>
              <w:sdtContent>
                <w:p w14:paraId="50CA2C38" w14:textId="46466C35">
                  <w:pPr>
                    <w:ind w:firstLine="709"/>
                    <w:jc w:val="both"/>
                    <w:rPr>
                      <w:color w:val="000000"/>
                      <w:szCs w:val="24"/>
                      <w:lang w:val="lt" w:eastAsia="lt-LT"/>
                    </w:rPr>
                  </w:pPr>
                  <w:sdt>
                    <w:sdtPr>
                      <w:alias w:val="Numeris"/>
                      <w:tag w:val="nr_7a5ba056c9214bfbbd961c65a75dc98f"/>
                      <w:lock w:val="sdtLocked"/>
                      <w:richText/>
                    </w:sdtPr>
                    <w:sdtContent>
                      <w:r>
                        <w:rPr>
                          <w:color w:val="000000"/>
                          <w:szCs w:val="24"/>
                          <w:lang w:val="lt" w:eastAsia="lt-LT"/>
                        </w:rPr>
                        <w:t>17</w:t>
                      </w:r>
                    </w:sdtContent>
                  </w:sdt>
                  <w:r>
                    <w:rPr>
                      <w:color w:val="000000"/>
                      <w:szCs w:val="24"/>
                      <w:lang w:val="lt" w:eastAsia="lt-LT"/>
                    </w:rPr>
                    <w:t>. Kai nustatomas biocheminis atkrytis po radikaliosios prostatektomijos arba biocheminis atkrytis po radikaliojo radioterapinio priešinės liaukos piktybinio naviko gydymo, pagal poreikį atliekami radiologiniai (PSMA PET tyrimas, MRT, KT ar kaulų scintigrafija) ir kiti tyrimai ligos atsinaujinimui ir išplitimui įvertinti ir skiriamas atkryčio gydymas:</w:t>
                  </w:r>
                </w:p>
                <w:sdt>
                  <w:sdtPr>
                    <w:alias w:val="17.1 pp."/>
                    <w:tag w:val="part_f1160424d0af4b5f97fb9ac051ceb90c"/>
                    <w:lock w:val="sdtLocked"/>
                    <w:richText/>
                  </w:sdtPr>
                  <w:sdtContent>
                    <w:p w14:paraId="50CA2C39" w14:textId="0C7C7099">
                      <w:pPr>
                        <w:ind w:firstLine="709"/>
                        <w:jc w:val="both"/>
                        <w:rPr>
                          <w:szCs w:val="24"/>
                          <w:lang w:val="lt" w:eastAsia="lt-LT"/>
                        </w:rPr>
                      </w:pPr>
                      <w:sdt>
                        <w:sdtPr>
                          <w:alias w:val="Numeris"/>
                          <w:tag w:val="nr_f1160424d0af4b5f97fb9ac051ceb90c"/>
                          <w:lock w:val="sdtLocked"/>
                          <w:richText/>
                        </w:sdtPr>
                        <w:sdtContent>
                          <w:r>
                            <w:rPr>
                              <w:color w:val="000000"/>
                              <w:szCs w:val="24"/>
                              <w:lang w:val="lt" w:eastAsia="lt-LT"/>
                            </w:rPr>
                            <w:t>17.1</w:t>
                          </w:r>
                        </w:sdtContent>
                      </w:sdt>
                      <w:r>
                        <w:rPr>
                          <w:color w:val="000000"/>
                          <w:szCs w:val="24"/>
                          <w:lang w:val="lt" w:eastAsia="lt-LT"/>
                        </w:rPr>
                        <w:t>. po radikaliosios prostatektomijos ir nenustačius tolimųjų metastazių galima skirti spindulinę terapiją ar pasirinkti aktyvaus stebėjimo taktiką. K</w:t>
                      </w:r>
                      <w:r>
                        <w:rPr>
                          <w:szCs w:val="24"/>
                          <w:lang w:val="lt" w:eastAsia="lt-LT"/>
                        </w:rPr>
                        <w:t>artu su spinduline terapija, atsižvelgiant į prostatos Ca riziką, gali būti skiriama hormonų terapija iki 3 metų;</w:t>
                      </w:r>
                    </w:p>
                  </w:sdtContent>
                </w:sdt>
                <w:sdt>
                  <w:sdtPr>
                    <w:alias w:val="17.2 pp."/>
                    <w:tag w:val="part_b7b3c11068924a53bc821cf26d668212"/>
                    <w:lock w:val="sdtLocked"/>
                    <w:richText/>
                  </w:sdtPr>
                  <w:sdtContent>
                    <w:p w14:paraId="50CA2C3A" w14:textId="085C307B">
                      <w:pPr>
                        <w:ind w:firstLine="709"/>
                        <w:jc w:val="both"/>
                        <w:rPr>
                          <w:color w:val="000000"/>
                          <w:szCs w:val="24"/>
                          <w:lang w:val="lt" w:eastAsia="lt-LT"/>
                        </w:rPr>
                      </w:pPr>
                      <w:sdt>
                        <w:sdtPr>
                          <w:alias w:val="Numeris"/>
                          <w:tag w:val="nr_b7b3c11068924a53bc821cf26d668212"/>
                          <w:lock w:val="sdtLocked"/>
                          <w:richText/>
                        </w:sdtPr>
                        <w:sdtContent>
                          <w:r>
                            <w:rPr>
                              <w:color w:val="000000"/>
                              <w:szCs w:val="24"/>
                              <w:lang w:val="lt" w:eastAsia="lt-LT"/>
                            </w:rPr>
                            <w:t>17.2</w:t>
                          </w:r>
                        </w:sdtContent>
                      </w:sdt>
                      <w:r>
                        <w:rPr>
                          <w:color w:val="000000"/>
                          <w:szCs w:val="24"/>
                          <w:lang w:val="lt" w:eastAsia="lt-LT"/>
                        </w:rPr>
                        <w:t>. po radikaliojo radioterapinio priešinės liaukos piktybinio naviko gydymo ir nenustačius tolimųjų metastazių galima atlikti radikaliąją prostatektomiją, prostatos krioterapiją, prostatos reiradiaciją (aukštų dozių brachiterapiją, žemų dozių brachiterapiją, gelbstinčiąją stereotaksinę spindulinę terapiją) ar kitą gydymą ar pasirinkti aktyvaus stebėjimo taktiką;</w:t>
                      </w:r>
                    </w:p>
                  </w:sdtContent>
                </w:sdt>
                <w:sdt>
                  <w:sdtPr>
                    <w:alias w:val="17.3 pp."/>
                    <w:tag w:val="part_1933647c4ef9486f91dd88efd494558b"/>
                    <w:lock w:val="sdtLocked"/>
                    <w:richText/>
                  </w:sdtPr>
                  <w:sdtContent>
                    <w:p w14:paraId="50CA2C3B" w14:textId="77777777">
                      <w:pPr>
                        <w:ind w:firstLine="709"/>
                        <w:jc w:val="both"/>
                        <w:rPr>
                          <w:color w:val="000000"/>
                          <w:szCs w:val="24"/>
                          <w:lang w:val="lt" w:eastAsia="lt-LT"/>
                        </w:rPr>
                      </w:pPr>
                      <w:sdt>
                        <w:sdtPr>
                          <w:alias w:val="Numeris"/>
                          <w:tag w:val="nr_1933647c4ef9486f91dd88efd494558b"/>
                          <w:lock w:val="sdtLocked"/>
                          <w:richText/>
                        </w:sdtPr>
                        <w:sdtContent>
                          <w:r>
                            <w:rPr>
                              <w:color w:val="000000"/>
                              <w:szCs w:val="24"/>
                              <w:lang w:val="lt" w:eastAsia="lt-LT"/>
                            </w:rPr>
                            <w:t>17.3</w:t>
                          </w:r>
                        </w:sdtContent>
                      </w:sdt>
                      <w:r>
                        <w:rPr>
                          <w:color w:val="000000"/>
                          <w:szCs w:val="24"/>
                          <w:lang w:val="lt" w:eastAsia="lt-LT"/>
                        </w:rPr>
                        <w:t>. nuolatinė ar su pertraukomis hormonų terapija GIS hormono analogu arba GIS hormono antagonistu skiriama:</w:t>
                      </w:r>
                    </w:p>
                    <w:sdt>
                      <w:sdtPr>
                        <w:alias w:val="17.3.1 pp."/>
                        <w:tag w:val="part_c2755a53e8034faf8e96d640444d0fd8"/>
                        <w:lock w:val="sdtLocked"/>
                        <w:richText/>
                      </w:sdtPr>
                      <w:sdtContent>
                        <w:p w14:paraId="50CA2C3C" w14:textId="77777777">
                          <w:pPr>
                            <w:ind w:firstLine="709"/>
                            <w:jc w:val="both"/>
                            <w:rPr>
                              <w:color w:val="000000"/>
                              <w:szCs w:val="24"/>
                              <w:lang w:val="lt" w:eastAsia="lt-LT"/>
                            </w:rPr>
                          </w:pPr>
                          <w:sdt>
                            <w:sdtPr>
                              <w:alias w:val="Numeris"/>
                              <w:tag w:val="nr_c2755a53e8034faf8e96d640444d0fd8"/>
                              <w:lock w:val="sdtLocked"/>
                              <w:richText/>
                            </w:sdtPr>
                            <w:sdtContent>
                              <w:r>
                                <w:rPr>
                                  <w:color w:val="000000"/>
                                  <w:szCs w:val="24"/>
                                  <w:lang w:val="lt" w:eastAsia="lt-LT"/>
                                </w:rPr>
                                <w:t>17.3.1</w:t>
                              </w:r>
                            </w:sdtContent>
                          </w:sdt>
                          <w:r>
                            <w:rPr>
                              <w:color w:val="000000"/>
                              <w:szCs w:val="24"/>
                              <w:lang w:val="lt" w:eastAsia="lt-LT"/>
                            </w:rPr>
                            <w:t>. kai nustatytos metastazės;</w:t>
                          </w:r>
                        </w:p>
                      </w:sdtContent>
                    </w:sdt>
                    <w:sdt>
                      <w:sdtPr>
                        <w:alias w:val="17.3.2 pp."/>
                        <w:tag w:val="part_ca0ed769574b4e5f938b272b2b799f13"/>
                        <w:lock w:val="sdtLocked"/>
                        <w:richText/>
                      </w:sdtPr>
                      <w:sdtContent>
                        <w:p w14:paraId="50CA2C3D" w14:textId="77777777">
                          <w:pPr>
                            <w:ind w:firstLine="709"/>
                            <w:jc w:val="both"/>
                            <w:rPr>
                              <w:color w:val="000000"/>
                              <w:szCs w:val="24"/>
                              <w:lang w:val="lt" w:eastAsia="lt-LT"/>
                            </w:rPr>
                          </w:pPr>
                          <w:sdt>
                            <w:sdtPr>
                              <w:alias w:val="Numeris"/>
                              <w:tag w:val="nr_ca0ed769574b4e5f938b272b2b799f13"/>
                              <w:lock w:val="sdtLocked"/>
                              <w:richText/>
                            </w:sdtPr>
                            <w:sdtContent>
                              <w:r>
                                <w:rPr>
                                  <w:color w:val="000000"/>
                                  <w:szCs w:val="24"/>
                                  <w:lang w:val="lt" w:eastAsia="lt-LT"/>
                                </w:rPr>
                                <w:t>17.3.2</w:t>
                              </w:r>
                            </w:sdtContent>
                          </w:sdt>
                          <w:r>
                            <w:rPr>
                              <w:color w:val="000000"/>
                              <w:szCs w:val="24"/>
                              <w:lang w:val="lt" w:eastAsia="lt-LT"/>
                            </w:rPr>
                            <w:t>. nustačius labai didelės rizikos priešinės liaukos piktybinį naviką (pT3b–T4, Gleasono balų suma – 8–10).</w:t>
                          </w:r>
                        </w:p>
                      </w:sdtContent>
                    </w:sdt>
                  </w:sdtContent>
                </w:sdt>
              </w:sdtContent>
            </w:sdt>
            <w:sdt>
              <w:sdtPr>
                <w:alias w:val="18 p."/>
                <w:tag w:val="part_10ca4fd743444105a8f4d45eee66848a"/>
                <w:lock w:val="sdtLocked"/>
                <w:richText/>
              </w:sdtPr>
              <w:sdtContent>
                <w:p w14:paraId="50CA2C3E" w14:textId="77777777">
                  <w:pPr>
                    <w:ind w:firstLine="709"/>
                    <w:jc w:val="both"/>
                    <w:rPr>
                      <w:szCs w:val="24"/>
                      <w:lang w:val="lt" w:eastAsia="lt-LT"/>
                    </w:rPr>
                  </w:pPr>
                  <w:sdt>
                    <w:sdtPr>
                      <w:alias w:val="Numeris"/>
                      <w:tag w:val="nr_10ca4fd743444105a8f4d45eee66848a"/>
                      <w:lock w:val="sdtLocked"/>
                      <w:richText/>
                    </w:sdtPr>
                    <w:sdtContent>
                      <w:r>
                        <w:rPr>
                          <w:color w:val="000000"/>
                          <w:szCs w:val="24"/>
                          <w:lang w:val="lt" w:eastAsia="lt-LT"/>
                        </w:rPr>
                        <w:t>18</w:t>
                      </w:r>
                    </w:sdtContent>
                  </w:sdt>
                  <w:r>
                    <w:rPr>
                      <w:color w:val="000000"/>
                      <w:szCs w:val="24"/>
                      <w:lang w:val="lt" w:eastAsia="lt-LT"/>
                    </w:rPr>
                    <w:t xml:space="preserve">. </w:t>
                  </w:r>
                  <w:r>
                    <w:rPr>
                      <w:szCs w:val="24"/>
                      <w:lang w:val="lt" w:eastAsia="lt-LT"/>
                    </w:rPr>
                    <w:t>Nemetastazavusiam kastracijai atspariam priešinės liaukos piktybiniam navikui gydyti pacientams, kuriems yra didelė metastazinės ligos išsivystymo rizika, skiriamas apalutamidas arba darolutamidas.</w:t>
                  </w:r>
                </w:p>
              </w:sdtContent>
            </w:sdt>
            <w:sdt>
              <w:sdtPr>
                <w:alias w:val="19 p."/>
                <w:tag w:val="part_7e7e7c6e7a8e49d88e218cfcb9eaabaa"/>
                <w:lock w:val="sdtLocked"/>
                <w:richText/>
              </w:sdtPr>
              <w:sdtContent>
                <w:p w14:paraId="50CA2C3F" w14:textId="77777777">
                  <w:pPr>
                    <w:ind w:firstLine="709"/>
                    <w:jc w:val="both"/>
                    <w:rPr>
                      <w:color w:val="000000"/>
                      <w:szCs w:val="24"/>
                      <w:lang w:val="lt" w:eastAsia="lt-LT"/>
                    </w:rPr>
                  </w:pPr>
                  <w:sdt>
                    <w:sdtPr>
                      <w:alias w:val="Numeris"/>
                      <w:tag w:val="nr_7e7e7c6e7a8e49d88e218cfcb9eaabaa"/>
                      <w:lock w:val="sdtLocked"/>
                      <w:richText/>
                    </w:sdtPr>
                    <w:sdtContent>
                      <w:r>
                        <w:rPr>
                          <w:szCs w:val="24"/>
                          <w:lang w:val="lt" w:eastAsia="lt-LT"/>
                        </w:rPr>
                        <w:t>19</w:t>
                      </w:r>
                    </w:sdtContent>
                  </w:sdt>
                  <w:r>
                    <w:rPr>
                      <w:szCs w:val="24"/>
                      <w:lang w:val="lt" w:eastAsia="lt-LT"/>
                    </w:rPr>
                    <w:t>. Metastazavusio kastracijai jautraus priešinės liaukos piktybinio naviko gydymas:</w:t>
                  </w:r>
                </w:p>
                <w:sdt>
                  <w:sdtPr>
                    <w:alias w:val="19.1 pp."/>
                    <w:tag w:val="part_7e10ddc597b44508bd03ff057cc63949"/>
                    <w:lock w:val="sdtLocked"/>
                    <w:richText/>
                  </w:sdtPr>
                  <w:sdtContent>
                    <w:p w14:paraId="50CA2C40" w14:textId="0EF451C5">
                      <w:pPr>
                        <w:ind w:firstLine="709"/>
                        <w:jc w:val="both"/>
                        <w:rPr>
                          <w:szCs w:val="24"/>
                          <w:lang w:val="lt" w:eastAsia="lt-LT"/>
                        </w:rPr>
                      </w:pPr>
                      <w:sdt>
                        <w:sdtPr>
                          <w:alias w:val="Numeris"/>
                          <w:tag w:val="nr_7e10ddc597b44508bd03ff057cc63949"/>
                          <w:lock w:val="sdtLocked"/>
                          <w:richText/>
                        </w:sdtPr>
                        <w:sdtContent>
                          <w:r>
                            <w:rPr>
                              <w:szCs w:val="24"/>
                              <w:lang w:val="lt" w:eastAsia="lt-LT"/>
                            </w:rPr>
                            <w:t>19.1</w:t>
                          </w:r>
                        </w:sdtContent>
                      </w:sdt>
                      <w:r>
                        <w:rPr>
                          <w:szCs w:val="24"/>
                          <w:lang w:val="lt" w:eastAsia="lt-LT"/>
                        </w:rPr>
                        <w:t>. skiriama chirurginė kastracija, o pacientui atsisakius chirurginės kastracijos, skiriama kastracija vaistais, kurių veikimo trukmė ne ilgesnė kaip 6 mėnesiai, ir papildomai gydymo pradžioje skiriamas GIS hormono analogas kartu su ne ilgiau kaip 1 mėnesį skiriamu gydymu antiandrogenu arba GIS hormono antagonistu;</w:t>
                      </w:r>
                    </w:p>
                  </w:sdtContent>
                </w:sdt>
                <w:sdt>
                  <w:sdtPr>
                    <w:alias w:val="19.2 pp."/>
                    <w:tag w:val="part_9ebb8ca01b5744d588211e492c8de4d7"/>
                    <w:lock w:val="sdtLocked"/>
                    <w:richText/>
                  </w:sdtPr>
                  <w:sdtContent>
                    <w:p w14:paraId="50CA2C41" w14:textId="77777777">
                      <w:pPr>
                        <w:ind w:firstLine="709"/>
                        <w:jc w:val="both"/>
                        <w:rPr>
                          <w:color w:val="000000"/>
                          <w:szCs w:val="24"/>
                          <w:lang w:val="lt" w:eastAsia="lt-LT"/>
                        </w:rPr>
                      </w:pPr>
                      <w:sdt>
                        <w:sdtPr>
                          <w:alias w:val="Numeris"/>
                          <w:tag w:val="nr_9ebb8ca01b5744d588211e492c8de4d7"/>
                          <w:lock w:val="sdtLocked"/>
                          <w:richText/>
                        </w:sdtPr>
                        <w:sdtContent>
                          <w:r>
                            <w:rPr>
                              <w:szCs w:val="24"/>
                              <w:lang w:val="lt" w:eastAsia="lt-LT"/>
                            </w:rPr>
                            <w:t>19.2</w:t>
                          </w:r>
                        </w:sdtContent>
                      </w:sdt>
                      <w:r>
                        <w:rPr>
                          <w:szCs w:val="24"/>
                          <w:lang w:val="lt" w:eastAsia="lt-LT"/>
                        </w:rPr>
                        <w:t>. gydymas antiandrogenu:</w:t>
                      </w:r>
                    </w:p>
                    <w:sdt>
                      <w:sdtPr>
                        <w:alias w:val="19.2.1 pp."/>
                        <w:tag w:val="part_d86c048c4a8a4c5380c1e2dc2f4fc266"/>
                        <w:lock w:val="sdtLocked"/>
                        <w:richText/>
                      </w:sdtPr>
                      <w:sdtContent>
                        <w:p w14:paraId="17D8EF3C" w14:textId="6851112E">
                          <w:pPr>
                            <w:ind w:firstLine="709"/>
                            <w:jc w:val="both"/>
                            <w:rPr>
                              <w:szCs w:val="24"/>
                              <w:lang w:val="lt" w:eastAsia="lt-LT"/>
                            </w:rPr>
                          </w:pPr>
                          <w:sdt>
                            <w:sdtPr>
                              <w:alias w:val="Numeris"/>
                              <w:tag w:val="nr_d86c048c4a8a4c5380c1e2dc2f4fc266"/>
                              <w:lock w:val="sdtLocked"/>
                              <w:richText/>
                            </w:sdtPr>
                            <w:sdtContent>
                              <w:r>
                                <w:rPr>
                                  <w:szCs w:val="24"/>
                                  <w:lang w:val="lt" w:eastAsia="lt-LT"/>
                                </w:rPr>
                                <w:t>19.2.1</w:t>
                              </w:r>
                            </w:sdtContent>
                          </w:sdt>
                          <w:r>
                            <w:rPr>
                              <w:szCs w:val="24"/>
                              <w:lang w:val="lt" w:eastAsia="lt-LT"/>
                            </w:rPr>
                            <w:t>. apalutamidas skiriamas (</w:t>
                          </w:r>
                          <w:r>
                            <w:rPr>
                              <w:color w:val="000000"/>
                              <w:szCs w:val="24"/>
                              <w:lang w:val="lt" w:eastAsia="lt-LT"/>
                            </w:rPr>
                            <w:t>vienu kartu leidžiama skirti ne ilgesniam kaip 3 mėn. laikotarpiui)</w:t>
                          </w:r>
                          <w:r>
                            <w:rPr>
                              <w:szCs w:val="24"/>
                              <w:lang w:val="lt" w:eastAsia="lt-LT"/>
                            </w:rPr>
                            <w:t xml:space="preserve"> metastazavusiam hormonams jautriam priešinės liaukos piktybiniam navikui gydyti, derinant su androgenų deprivacijos terapija </w:t>
                          </w:r>
                          <w:r>
                            <w:rPr>
                              <w:color w:val="000000"/>
                              <w:szCs w:val="24"/>
                              <w:lang w:val="lt" w:eastAsia="lt-LT"/>
                            </w:rPr>
                            <w:t>metastazavusiam hormonams jautriam priešinės liaukos piktybiniam navikui (m-HJPV) gydyti suaugusiems vyrams, kuriems nustatytos kaulinės metastazės;</w:t>
                          </w:r>
                        </w:p>
                      </w:sdtContent>
                    </w:sdt>
                    <w:sdt>
                      <w:sdtPr>
                        <w:alias w:val="19.2.2 pp."/>
                        <w:tag w:val="part_ab3a474e7c4f43d09e74c97ff4779fdd"/>
                        <w:lock w:val="sdtLocked"/>
                        <w:richText/>
                      </w:sdtPr>
                      <w:sdtContent>
                        <w:p w14:paraId="50CA2C43" w14:textId="6540D01A">
                          <w:pPr>
                            <w:ind w:firstLine="709"/>
                            <w:jc w:val="both"/>
                            <w:rPr>
                              <w:szCs w:val="24"/>
                              <w:lang w:val="lt" w:eastAsia="lt-LT"/>
                            </w:rPr>
                          </w:pPr>
                          <w:sdt>
                            <w:sdtPr>
                              <w:alias w:val="Numeris"/>
                              <w:tag w:val="nr_ab3a474e7c4f43d09e74c97ff4779fdd"/>
                              <w:lock w:val="sdtLocked"/>
                              <w:richText/>
                            </w:sdtPr>
                            <w:sdtContent>
                              <w:r>
                                <w:rPr>
                                  <w:szCs w:val="24"/>
                                  <w:lang w:val="lt" w:eastAsia="lt-LT"/>
                                </w:rPr>
                                <w:t>19.2.2</w:t>
                              </w:r>
                            </w:sdtContent>
                          </w:sdt>
                          <w:r>
                            <w:rPr>
                              <w:szCs w:val="24"/>
                              <w:lang w:val="lt" w:eastAsia="lt-LT"/>
                            </w:rPr>
                            <w:t>. darolutamidas skiriamas pacientams, sergantiems metastazavusiu hormonams jautriu priešinės liaukos piktybiniu naviku, kartu skiriant docetakselį ir androgenų deprivacijos terapiją;</w:t>
                          </w:r>
                        </w:p>
                      </w:sdtContent>
                    </w:sdt>
                  </w:sdtContent>
                </w:sdt>
                <w:sdt>
                  <w:sdtPr>
                    <w:alias w:val="19.3 pp."/>
                    <w:tag w:val="part_08a95b1dc09740f48a3c6b261b56bdcd"/>
                    <w:lock w:val="sdtLocked"/>
                    <w:richText/>
                  </w:sdtPr>
                  <w:sdtContent>
                    <w:p w14:paraId="50CA2C44" w14:textId="61F71EA6">
                      <w:pPr>
                        <w:ind w:firstLine="709"/>
                        <w:jc w:val="both"/>
                        <w:rPr>
                          <w:szCs w:val="24"/>
                          <w:lang w:val="lt" w:eastAsia="lt-LT"/>
                        </w:rPr>
                      </w:pPr>
                      <w:sdt>
                        <w:sdtPr>
                          <w:alias w:val="Numeris"/>
                          <w:tag w:val="nr_08a95b1dc09740f48a3c6b261b56bdcd"/>
                          <w:lock w:val="sdtLocked"/>
                          <w:richText/>
                        </w:sdtPr>
                        <w:sdtContent>
                          <w:r>
                            <w:rPr>
                              <w:szCs w:val="24"/>
                              <w:lang w:val="lt" w:eastAsia="lt-LT"/>
                            </w:rPr>
                            <w:t>19.3</w:t>
                          </w:r>
                        </w:sdtContent>
                      </w:sdt>
                      <w:r>
                        <w:rPr>
                          <w:szCs w:val="24"/>
                          <w:lang w:val="lt" w:eastAsia="lt-LT"/>
                        </w:rPr>
                        <w:t>. didelės rizikos pacientams (t. y. pacientams, kuriems diagnozuotos daugybinės kaulinės ir (ar) visceralinės metastazės), kurie gali būti gydomi chemoterapiniais vaistais, kartu su chirurgine kastracija, o pacientui atsisakius chirurginės kastracijos, su kastracija vaistais (GIS hormono analogu / antagonistu, kurio veikimo trukmė ne ilgesnė kaip 6 mėnesiai, ir papildomai gydymo pradžioje ne ilgiau kaip 1 mėnesį kartu skiriant gydymą antiandrogenu) skiriamas docetakselis – po 75 mg/m</w:t>
                      </w:r>
                      <w:r>
                        <w:rPr>
                          <w:szCs w:val="24"/>
                          <w:vertAlign w:val="superscript"/>
                          <w:lang w:val="lt" w:eastAsia="lt-LT"/>
                        </w:rPr>
                        <w:t>2</w:t>
                      </w:r>
                      <w:r>
                        <w:rPr>
                          <w:szCs w:val="24"/>
                          <w:lang w:val="lt" w:eastAsia="lt-LT"/>
                        </w:rPr>
                        <w:t xml:space="preserve"> į veną kas 3 savaites. </w:t>
                      </w:r>
                    </w:p>
                  </w:sdtContent>
                </w:sdt>
              </w:sdtContent>
            </w:sdt>
            <w:sdt>
              <w:sdtPr>
                <w:alias w:val="20 p."/>
                <w:tag w:val="part_35e548d72bd94410a7bde1b848e49755"/>
                <w:lock w:val="sdtLocked"/>
                <w:richText/>
              </w:sdtPr>
              <w:sdtContent>
                <w:p w14:paraId="50CA2C45" w14:textId="77777777">
                  <w:pPr>
                    <w:widowControl w:val="0"/>
                    <w:ind w:firstLine="709"/>
                    <w:jc w:val="both"/>
                    <w:rPr>
                      <w:color w:val="000000"/>
                      <w:szCs w:val="24"/>
                      <w:lang w:val="lt" w:eastAsia="lt-LT"/>
                    </w:rPr>
                  </w:pPr>
                  <w:sdt>
                    <w:sdtPr>
                      <w:alias w:val="Numeris"/>
                      <w:tag w:val="nr_35e548d72bd94410a7bde1b848e49755"/>
                      <w:lock w:val="sdtLocked"/>
                      <w:richText/>
                    </w:sdtPr>
                    <w:sdtContent>
                      <w:r>
                        <w:rPr>
                          <w:color w:val="000000"/>
                          <w:szCs w:val="24"/>
                          <w:lang w:val="lt" w:eastAsia="lt-LT"/>
                        </w:rPr>
                        <w:t>20</w:t>
                      </w:r>
                    </w:sdtContent>
                  </w:sdt>
                  <w:r>
                    <w:rPr>
                      <w:color w:val="000000"/>
                      <w:szCs w:val="24"/>
                      <w:lang w:val="lt" w:eastAsia="lt-LT"/>
                    </w:rPr>
                    <w:t>. Kastracijai atsparaus metastazavusio priešinės liaukos piktybinio naviko ligos progresija patvirtinama, kai:</w:t>
                  </w:r>
                </w:p>
                <w:sdt>
                  <w:sdtPr>
                    <w:alias w:val="20.1 pp."/>
                    <w:tag w:val="part_941e2b8fe418486aacf292177641214a"/>
                    <w:lock w:val="sdtLocked"/>
                    <w:richText/>
                  </w:sdtPr>
                  <w:sdtContent>
                    <w:p w14:paraId="50CA2C46" w14:textId="50AEF02E">
                      <w:pPr>
                        <w:widowControl w:val="0"/>
                        <w:ind w:firstLine="709"/>
                        <w:jc w:val="both"/>
                        <w:rPr>
                          <w:color w:val="000000"/>
                          <w:szCs w:val="24"/>
                          <w:lang w:val="lt" w:eastAsia="lt-LT"/>
                        </w:rPr>
                      </w:pPr>
                      <w:sdt>
                        <w:sdtPr>
                          <w:alias w:val="Numeris"/>
                          <w:tag w:val="nr_941e2b8fe418486aacf292177641214a"/>
                          <w:lock w:val="sdtLocked"/>
                          <w:richText/>
                        </w:sdtPr>
                        <w:sdtContent>
                          <w:r>
                            <w:rPr>
                              <w:color w:val="000000"/>
                              <w:szCs w:val="24"/>
                              <w:lang w:val="lt" w:eastAsia="lt-LT"/>
                            </w:rPr>
                            <w:t>20.1</w:t>
                          </w:r>
                        </w:sdtContent>
                      </w:sdt>
                      <w:r>
                        <w:rPr>
                          <w:color w:val="000000"/>
                          <w:szCs w:val="24"/>
                          <w:lang w:val="lt" w:eastAsia="lt-LT"/>
                        </w:rPr>
                        <w:t xml:space="preserve">. ne mažiau kaip trijuose iš eilės atliktuose tyrimuose nustatomas nuo pradinio 2 ng/ml lygmens padidėjęs PSA lygis ir (arba)  </w:t>
                      </w:r>
                    </w:p>
                  </w:sdtContent>
                </w:sdt>
                <w:sdt>
                  <w:sdtPr>
                    <w:alias w:val="20.2 pp."/>
                    <w:tag w:val="part_af3d83d7b9b64420952906f7a379d0eb"/>
                    <w:lock w:val="sdtLocked"/>
                    <w:richText/>
                  </w:sdtPr>
                  <w:sdtContent>
                    <w:p w14:paraId="50CA2C47" w14:textId="6DC910CD">
                      <w:pPr>
                        <w:widowControl w:val="0"/>
                        <w:ind w:firstLine="709"/>
                        <w:jc w:val="both"/>
                        <w:rPr>
                          <w:color w:val="000000"/>
                          <w:szCs w:val="24"/>
                          <w:lang w:val="lt" w:eastAsia="lt-LT"/>
                        </w:rPr>
                      </w:pPr>
                      <w:sdt>
                        <w:sdtPr>
                          <w:alias w:val="Numeris"/>
                          <w:tag w:val="nr_af3d83d7b9b64420952906f7a379d0eb"/>
                          <w:lock w:val="sdtLocked"/>
                          <w:richText/>
                        </w:sdtPr>
                        <w:sdtContent>
                          <w:r>
                            <w:rPr>
                              <w:szCs w:val="24"/>
                              <w:lang w:val="lt" w:eastAsia="lt-LT"/>
                            </w:rPr>
                            <w:t>20</w:t>
                          </w:r>
                          <w:r>
                            <w:rPr>
                              <w:color w:val="000000"/>
                              <w:szCs w:val="24"/>
                              <w:lang w:val="lt" w:eastAsia="lt-LT"/>
                            </w:rPr>
                            <w:t>.2</w:t>
                          </w:r>
                        </w:sdtContent>
                      </w:sdt>
                      <w:r>
                        <w:rPr>
                          <w:color w:val="000000"/>
                          <w:szCs w:val="24"/>
                          <w:lang w:val="lt" w:eastAsia="lt-LT"/>
                        </w:rPr>
                        <w:t xml:space="preserve">. nustatoma ligos progresija pagal šiuos (vienus arba abu) kriterijus: </w:t>
                      </w:r>
                    </w:p>
                    <w:sdt>
                      <w:sdtPr>
                        <w:alias w:val="20.2.1 pp."/>
                        <w:tag w:val="part_dbc5d0da4c844abca7d1ff06de8ca176"/>
                        <w:lock w:val="sdtLocked"/>
                        <w:richText/>
                      </w:sdtPr>
                      <w:sdtContent>
                        <w:p w14:paraId="50CA2C48" w14:textId="66591614">
                          <w:pPr>
                            <w:widowControl w:val="0"/>
                            <w:ind w:firstLine="709"/>
                            <w:jc w:val="both"/>
                            <w:rPr>
                              <w:color w:val="000000"/>
                              <w:szCs w:val="24"/>
                              <w:lang w:val="lt" w:eastAsia="lt-LT"/>
                            </w:rPr>
                          </w:pPr>
                          <w:sdt>
                            <w:sdtPr>
                              <w:alias w:val="Numeris"/>
                              <w:tag w:val="nr_dbc5d0da4c844abca7d1ff06de8ca176"/>
                              <w:lock w:val="sdtLocked"/>
                              <w:richText/>
                            </w:sdtPr>
                            <w:sdtContent>
                              <w:r>
                                <w:rPr>
                                  <w:color w:val="000000"/>
                                  <w:szCs w:val="24"/>
                                  <w:lang w:val="lt" w:eastAsia="lt-LT"/>
                                </w:rPr>
                                <w:t>20.2.1</w:t>
                              </w:r>
                            </w:sdtContent>
                          </w:sdt>
                          <w:r>
                            <w:rPr>
                              <w:color w:val="000000"/>
                              <w:szCs w:val="24"/>
                              <w:lang w:val="lt" w:eastAsia="lt-LT"/>
                            </w:rPr>
                            <w:t xml:space="preserve">. </w:t>
                          </w:r>
                          <w:r>
                            <w:rPr>
                              <w:szCs w:val="24"/>
                              <w:lang w:val="lt" w:eastAsia="lt-LT"/>
                            </w:rPr>
                            <w:t xml:space="preserve">solidinių navikų gydymo poveikio atsako </w:t>
                          </w:r>
                          <w:r>
                            <w:rPr>
                              <w:color w:val="000000"/>
                              <w:szCs w:val="24"/>
                              <w:lang w:val="lt" w:eastAsia="lt-LT"/>
                            </w:rPr>
                            <w:t xml:space="preserve">(angl. </w:t>
                          </w:r>
                          <w:r>
                            <w:rPr>
                              <w:i/>
                              <w:iCs/>
                              <w:color w:val="000000"/>
                              <w:szCs w:val="24"/>
                              <w:lang w:val="lt" w:eastAsia="lt-LT"/>
                            </w:rPr>
                            <w:t>Response Evaluation Criteria in Solid Tumors</w:t>
                          </w:r>
                          <w:r>
                            <w:rPr>
                              <w:color w:val="000000"/>
                              <w:szCs w:val="24"/>
                              <w:lang w:val="lt" w:eastAsia="lt-LT"/>
                            </w:rPr>
                            <w:t>) (toliau – RECIST) kriterijus;</w:t>
                          </w:r>
                        </w:p>
                      </w:sdtContent>
                    </w:sdt>
                    <w:sdt>
                      <w:sdtPr>
                        <w:alias w:val="20.2.2 pp."/>
                        <w:tag w:val="part_dca02dbccf4f44fe8be367a094d4e762"/>
                        <w:lock w:val="sdtLocked"/>
                        <w:richText/>
                      </w:sdtPr>
                      <w:sdtContent>
                        <w:p w14:paraId="50CA2C49" w14:textId="559685FA">
                          <w:pPr>
                            <w:widowControl w:val="0"/>
                            <w:ind w:firstLine="709"/>
                            <w:jc w:val="both"/>
                            <w:rPr>
                              <w:szCs w:val="24"/>
                              <w:lang w:val="lt" w:eastAsia="lt-LT"/>
                            </w:rPr>
                          </w:pPr>
                          <w:sdt>
                            <w:sdtPr>
                              <w:alias w:val="Numeris"/>
                              <w:tag w:val="nr_dca02dbccf4f44fe8be367a094d4e762"/>
                              <w:lock w:val="sdtLocked"/>
                              <w:richText/>
                            </w:sdtPr>
                            <w:sdtContent>
                              <w:r>
                                <w:rPr>
                                  <w:color w:val="000000"/>
                                  <w:szCs w:val="24"/>
                                  <w:lang w:val="lt" w:eastAsia="lt-LT"/>
                                </w:rPr>
                                <w:t>20.2.2</w:t>
                              </w:r>
                            </w:sdtContent>
                          </w:sdt>
                          <w:r>
                            <w:rPr>
                              <w:color w:val="000000"/>
                              <w:szCs w:val="24"/>
                              <w:lang w:val="lt" w:eastAsia="lt-LT"/>
                            </w:rPr>
                            <w:t xml:space="preserve">. kaulų metastazių gydymo atsako </w:t>
                          </w:r>
                          <w:r>
                            <w:rPr>
                              <w:b/>
                              <w:bCs/>
                              <w:color w:val="000000"/>
                              <w:szCs w:val="24"/>
                              <w:lang w:val="lt" w:eastAsia="lt-LT"/>
                            </w:rPr>
                            <w:t>(</w:t>
                          </w:r>
                          <w:r>
                            <w:rPr>
                              <w:szCs w:val="24"/>
                              <w:lang w:val="lt" w:eastAsia="lt-LT"/>
                            </w:rPr>
                            <w:t xml:space="preserve">angl. </w:t>
                          </w:r>
                          <w:r>
                            <w:rPr>
                              <w:i/>
                              <w:iCs/>
                              <w:szCs w:val="24"/>
                              <w:lang w:val="lt" w:eastAsia="lt-LT"/>
                            </w:rPr>
                            <w:t>Prostate Cancer Working Group 3 response criteria</w:t>
                          </w:r>
                          <w:r>
                            <w:rPr>
                              <w:szCs w:val="24"/>
                              <w:lang w:val="lt" w:eastAsia="lt-LT"/>
                            </w:rPr>
                            <w:t>) (toliau – PCWG3) kriterijus;</w:t>
                          </w:r>
                          <w:r>
                            <w:rPr>
                              <w:b/>
                              <w:bCs/>
                              <w:szCs w:val="24"/>
                              <w:lang w:val="lt" w:eastAsia="lt-LT"/>
                            </w:rPr>
                            <w:t xml:space="preserve"> </w:t>
                          </w:r>
                        </w:p>
                      </w:sdtContent>
                    </w:sdt>
                  </w:sdtContent>
                </w:sdt>
                <w:sdt>
                  <w:sdtPr>
                    <w:alias w:val="20.3 pp."/>
                    <w:tag w:val="part_8661417099bb440681776c60eef317e7"/>
                    <w:lock w:val="sdtLocked"/>
                    <w:richText/>
                  </w:sdtPr>
                  <w:sdtContent>
                    <w:p w14:paraId="50CA2C4A" w14:textId="77777777">
                      <w:pPr>
                        <w:widowControl w:val="0"/>
                        <w:ind w:firstLine="709"/>
                        <w:jc w:val="both"/>
                        <w:rPr>
                          <w:szCs w:val="24"/>
                          <w:lang w:val="lt" w:eastAsia="lt-LT"/>
                        </w:rPr>
                      </w:pPr>
                      <w:sdt>
                        <w:sdtPr>
                          <w:alias w:val="Numeris"/>
                          <w:tag w:val="nr_8661417099bb440681776c60eef317e7"/>
                          <w:lock w:val="sdtLocked"/>
                          <w:richText/>
                        </w:sdtPr>
                        <w:sdtContent>
                          <w:r>
                            <w:rPr>
                              <w:szCs w:val="24"/>
                              <w:lang w:val="lt" w:eastAsia="lt-LT"/>
                            </w:rPr>
                            <w:t>20.3</w:t>
                          </w:r>
                        </w:sdtContent>
                      </w:sdt>
                      <w:r>
                        <w:rPr>
                          <w:szCs w:val="24"/>
                          <w:lang w:val="lt" w:eastAsia="lt-LT"/>
                        </w:rPr>
                        <w:t xml:space="preserve">. yra tęsiama hormonų terapija GIS hormono analogu arba atlikta chirurginė kastracija ir kraujo serumo testosterono lygis yra mažesnis negu 1,7 nmol/l arba jam lygus. </w:t>
                      </w:r>
                    </w:p>
                  </w:sdtContent>
                </w:sdt>
              </w:sdtContent>
            </w:sdt>
            <w:sdt>
              <w:sdtPr>
                <w:alias w:val="21 p."/>
                <w:tag w:val="part_15734cf33c114b6c94473ce036999b8a"/>
                <w:lock w:val="sdtLocked"/>
                <w:richText/>
              </w:sdtPr>
              <w:sdtContent>
                <w:p w14:paraId="50CA2C4B" w14:textId="77777777">
                  <w:pPr>
                    <w:widowControl w:val="0"/>
                    <w:ind w:firstLine="709"/>
                    <w:jc w:val="both"/>
                    <w:rPr>
                      <w:szCs w:val="24"/>
                      <w:lang w:val="lt" w:eastAsia="lt-LT"/>
                    </w:rPr>
                  </w:pPr>
                  <w:sdt>
                    <w:sdtPr>
                      <w:alias w:val="Numeris"/>
                      <w:tag w:val="nr_15734cf33c114b6c94473ce036999b8a"/>
                      <w:lock w:val="sdtLocked"/>
                      <w:richText/>
                    </w:sdtPr>
                    <w:sdtContent>
                      <w:r>
                        <w:rPr>
                          <w:color w:val="000000"/>
                          <w:szCs w:val="24"/>
                          <w:lang w:val="lt" w:eastAsia="lt-LT"/>
                        </w:rPr>
                        <w:t>21</w:t>
                      </w:r>
                    </w:sdtContent>
                  </w:sdt>
                  <w:r>
                    <w:rPr>
                      <w:color w:val="000000"/>
                      <w:szCs w:val="24"/>
                      <w:lang w:val="lt" w:eastAsia="lt-LT"/>
                    </w:rPr>
                    <w:t>. Progresuojant kastracijai atspariam priešinės liaukos piktybiniam navikui, tęsiama androgenų supresija:</w:t>
                  </w:r>
                </w:p>
                <w:sdt>
                  <w:sdtPr>
                    <w:alias w:val="21.1 pp."/>
                    <w:tag w:val="part_1f5d0f949dc04465b45221ef0bfbe18c"/>
                    <w:lock w:val="sdtLocked"/>
                    <w:richText/>
                  </w:sdtPr>
                  <w:sdtContent>
                    <w:p w14:paraId="50CA2C4C" w14:textId="0A9EAB41">
                      <w:pPr>
                        <w:widowControl w:val="0"/>
                        <w:ind w:firstLine="709"/>
                        <w:jc w:val="both"/>
                        <w:rPr>
                          <w:szCs w:val="24"/>
                          <w:lang w:val="lt" w:eastAsia="lt-LT"/>
                        </w:rPr>
                      </w:pPr>
                      <w:sdt>
                        <w:sdtPr>
                          <w:alias w:val="Numeris"/>
                          <w:tag w:val="nr_1f5d0f949dc04465b45221ef0bfbe18c"/>
                          <w:lock w:val="sdtLocked"/>
                          <w:richText/>
                        </w:sdtPr>
                        <w:sdtContent>
                          <w:r>
                            <w:rPr>
                              <w:szCs w:val="24"/>
                              <w:lang w:val="lt" w:eastAsia="lt-LT"/>
                            </w:rPr>
                            <w:t>21</w:t>
                          </w:r>
                          <w:r>
                            <w:rPr>
                              <w:color w:val="000000"/>
                              <w:szCs w:val="24"/>
                              <w:lang w:val="lt" w:eastAsia="lt-LT"/>
                            </w:rPr>
                            <w:t>.1</w:t>
                          </w:r>
                        </w:sdtContent>
                      </w:sdt>
                      <w:r>
                        <w:rPr>
                          <w:color w:val="000000"/>
                          <w:szCs w:val="24"/>
                          <w:lang w:val="lt" w:eastAsia="lt-LT"/>
                        </w:rPr>
                        <w:t>. kaip pirmaeilis gydymas gali būti taikoma chirurginė kastracija;</w:t>
                      </w:r>
                    </w:p>
                  </w:sdtContent>
                </w:sdt>
                <w:sdt>
                  <w:sdtPr>
                    <w:alias w:val="21.2 pp."/>
                    <w:tag w:val="part_bea11f78344b4381a3e8c41d6f404437"/>
                    <w:lock w:val="sdtLocked"/>
                    <w:richText/>
                  </w:sdtPr>
                  <w:sdtContent>
                    <w:p w14:paraId="50CA2C4D" w14:textId="77777777">
                      <w:pPr>
                        <w:widowControl w:val="0"/>
                        <w:tabs>
                          <w:tab w:val="left" w:pos="709"/>
                        </w:tabs>
                        <w:ind w:firstLine="709"/>
                        <w:jc w:val="both"/>
                        <w:rPr>
                          <w:szCs w:val="24"/>
                          <w:lang w:val="lt" w:eastAsia="lt-LT"/>
                        </w:rPr>
                      </w:pPr>
                      <w:sdt>
                        <w:sdtPr>
                          <w:alias w:val="Numeris"/>
                          <w:tag w:val="nr_bea11f78344b4381a3e8c41d6f404437"/>
                          <w:lock w:val="sdtLocked"/>
                          <w:richText/>
                        </w:sdtPr>
                        <w:sdtContent>
                          <w:r>
                            <w:rPr>
                              <w:szCs w:val="24"/>
                              <w:lang w:val="lt" w:eastAsia="lt-LT"/>
                            </w:rPr>
                            <w:t>21.2</w:t>
                          </w:r>
                        </w:sdtContent>
                      </w:sdt>
                      <w:r>
                        <w:rPr>
                          <w:szCs w:val="24"/>
                          <w:lang w:val="lt" w:eastAsia="lt-LT"/>
                        </w:rPr>
                        <w:t>. pacientui atsisakius chirurginės kastracijos, skiriama kastracija vaistais (</w:t>
                      </w:r>
                      <w:r>
                        <w:rPr>
                          <w:color w:val="000000"/>
                          <w:szCs w:val="24"/>
                          <w:lang w:val="lt" w:eastAsia="lt-LT"/>
                        </w:rPr>
                        <w:t>GIS hormono analogu</w:t>
                      </w:r>
                      <w:r>
                        <w:rPr>
                          <w:szCs w:val="24"/>
                          <w:lang w:val="lt" w:eastAsia="lt-LT"/>
                        </w:rPr>
                        <w:t xml:space="preserve"> ne ilgesnės kaip 6 mėn. veikimo trukmės).</w:t>
                      </w:r>
                    </w:p>
                  </w:sdtContent>
                </w:sdt>
              </w:sdtContent>
            </w:sdt>
            <w:sdt>
              <w:sdtPr>
                <w:alias w:val="22 p."/>
                <w:tag w:val="part_ffa89be2b4dd4a34acdf3ecb0d08e5ab"/>
                <w:lock w:val="sdtLocked"/>
                <w:richText/>
              </w:sdtPr>
              <w:sdtContent>
                <w:p w14:paraId="50CA2C4E" w14:textId="77777777">
                  <w:pPr>
                    <w:widowControl w:val="0"/>
                    <w:ind w:firstLine="709"/>
                    <w:jc w:val="both"/>
                    <w:rPr>
                      <w:color w:val="000000"/>
                      <w:szCs w:val="24"/>
                      <w:lang w:val="lt" w:eastAsia="lt-LT"/>
                    </w:rPr>
                  </w:pPr>
                  <w:sdt>
                    <w:sdtPr>
                      <w:alias w:val="Numeris"/>
                      <w:tag w:val="nr_ffa89be2b4dd4a34acdf3ecb0d08e5ab"/>
                      <w:lock w:val="sdtLocked"/>
                      <w:richText/>
                    </w:sdtPr>
                    <w:sdtContent>
                      <w:r>
                        <w:rPr>
                          <w:szCs w:val="24"/>
                          <w:lang w:val="lt" w:eastAsia="lt-LT"/>
                        </w:rPr>
                        <w:t>22</w:t>
                      </w:r>
                    </w:sdtContent>
                  </w:sdt>
                  <w:r>
                    <w:rPr>
                      <w:szCs w:val="24"/>
                      <w:lang w:val="lt" w:eastAsia="lt-LT"/>
                    </w:rPr>
                    <w:t>. Metastazavusio kastracijai atsparaus priešinės liaukos piktybinio naviko gydymas:</w:t>
                  </w:r>
                </w:p>
                <w:sdt>
                  <w:sdtPr>
                    <w:alias w:val="22.1 pp."/>
                    <w:tag w:val="part_deabeff5f3114c078b57e1ff1c350700"/>
                    <w:lock w:val="sdtLocked"/>
                    <w:richText/>
                  </w:sdtPr>
                  <w:sdtContent>
                    <w:p w14:paraId="50CA2C4F" w14:textId="2DEF2E7D">
                      <w:pPr>
                        <w:widowControl w:val="0"/>
                        <w:ind w:firstLine="709"/>
                        <w:jc w:val="both"/>
                        <w:rPr>
                          <w:szCs w:val="24"/>
                          <w:lang w:val="lt" w:eastAsia="lt-LT"/>
                        </w:rPr>
                      </w:pPr>
                      <w:sdt>
                        <w:sdtPr>
                          <w:alias w:val="Numeris"/>
                          <w:tag w:val="nr_deabeff5f3114c078b57e1ff1c350700"/>
                          <w:lock w:val="sdtLocked"/>
                          <w:richText/>
                        </w:sdtPr>
                        <w:sdtContent>
                          <w:r>
                            <w:rPr>
                              <w:color w:val="000000"/>
                              <w:szCs w:val="24"/>
                              <w:lang w:val="lt" w:eastAsia="lt-LT"/>
                            </w:rPr>
                            <w:t>22</w:t>
                          </w:r>
                          <w:r>
                            <w:rPr>
                              <w:szCs w:val="24"/>
                              <w:lang w:val="lt" w:eastAsia="lt-LT"/>
                            </w:rPr>
                            <w:t>.1</w:t>
                          </w:r>
                        </w:sdtContent>
                      </w:sdt>
                      <w:r>
                        <w:rPr>
                          <w:szCs w:val="24"/>
                          <w:lang w:val="lt" w:eastAsia="lt-LT"/>
                        </w:rPr>
                        <w:t xml:space="preserve">. tęsiama nuolatinė (iki gyvenimo pabaigos) hormonų terapija </w:t>
                      </w:r>
                      <w:r>
                        <w:rPr>
                          <w:color w:val="000000"/>
                          <w:szCs w:val="24"/>
                          <w:lang w:val="lt" w:eastAsia="lt-LT"/>
                        </w:rPr>
                        <w:t xml:space="preserve">GIS hormono </w:t>
                      </w:r>
                      <w:r>
                        <w:rPr>
                          <w:szCs w:val="24"/>
                          <w:lang w:val="lt" w:eastAsia="lt-LT"/>
                        </w:rPr>
                        <w:t xml:space="preserve">analogu arba gali būti atlikta chirurginė kastracija ir palaikomas  1,7 nmol/l arba mažesnis kraujo serumo testosterono lygis; </w:t>
                      </w:r>
                    </w:p>
                  </w:sdtContent>
                </w:sdt>
                <w:sdt>
                  <w:sdtPr>
                    <w:alias w:val="22.2 pp."/>
                    <w:tag w:val="part_e9adc07f26a6459cbfcbb34fc0bf01e1"/>
                    <w:lock w:val="sdtLocked"/>
                    <w:richText/>
                  </w:sdtPr>
                  <w:sdtContent>
                    <w:p w14:paraId="50CA2C50" w14:textId="1EA65A6E">
                      <w:pPr>
                        <w:widowControl w:val="0"/>
                        <w:ind w:firstLine="709"/>
                        <w:jc w:val="both"/>
                        <w:rPr>
                          <w:szCs w:val="24"/>
                          <w:lang w:val="lt" w:eastAsia="lt-LT"/>
                        </w:rPr>
                      </w:pPr>
                      <w:sdt>
                        <w:sdtPr>
                          <w:alias w:val="Numeris"/>
                          <w:tag w:val="nr_e9adc07f26a6459cbfcbb34fc0bf01e1"/>
                          <w:lock w:val="sdtLocked"/>
                          <w:richText/>
                        </w:sdtPr>
                        <w:sdtContent>
                          <w:r>
                            <w:rPr>
                              <w:szCs w:val="24"/>
                              <w:lang w:val="lt" w:eastAsia="lt-LT"/>
                            </w:rPr>
                            <w:t>22.2</w:t>
                          </w:r>
                        </w:sdtContent>
                      </w:sdt>
                      <w:r>
                        <w:rPr>
                          <w:szCs w:val="24"/>
                          <w:lang w:val="lt" w:eastAsia="lt-LT"/>
                        </w:rPr>
                        <w:t>. nusprendus pacientui Aprašo nustatyta tvarka skirti gydymą docetakseliu, kas 3 savaites skiriama po 75 mg/m</w:t>
                      </w:r>
                      <w:r>
                        <w:rPr>
                          <w:szCs w:val="24"/>
                          <w:vertAlign w:val="superscript"/>
                          <w:lang w:val="lt" w:eastAsia="lt-LT"/>
                        </w:rPr>
                        <w:t>2</w:t>
                      </w:r>
                      <w:r>
                        <w:rPr>
                          <w:szCs w:val="24"/>
                          <w:lang w:val="lt" w:eastAsia="lt-LT"/>
                        </w:rPr>
                        <w:t xml:space="preserve"> docetakselio. Gydymas taikomas iki ligos progresavimo arba netoleruojamų vaisto toksinių reiškinių atsiradimo. PSA lygis prieš pradedant gydymą turi būti didesnis kaip 2 ng/ml;</w:t>
                      </w:r>
                    </w:p>
                  </w:sdtContent>
                </w:sdt>
                <w:sdt>
                  <w:sdtPr>
                    <w:alias w:val="22.3 pp."/>
                    <w:tag w:val="part_07b249ab5a77489c98d151e26c6563e5"/>
                    <w:lock w:val="sdtLocked"/>
                    <w:richText/>
                  </w:sdtPr>
                  <w:sdtContent>
                    <w:p w14:paraId="50CA2C51" w14:textId="1A2D0D6E">
                      <w:pPr>
                        <w:widowControl w:val="0"/>
                        <w:ind w:firstLine="709"/>
                        <w:jc w:val="both"/>
                        <w:rPr>
                          <w:szCs w:val="24"/>
                          <w:lang w:val="lt" w:eastAsia="lt-LT"/>
                        </w:rPr>
                      </w:pPr>
                      <w:sdt>
                        <w:sdtPr>
                          <w:alias w:val="Numeris"/>
                          <w:tag w:val="nr_07b249ab5a77489c98d151e26c6563e5"/>
                          <w:lock w:val="sdtLocked"/>
                          <w:richText/>
                        </w:sdtPr>
                        <w:sdtContent>
                          <w:r>
                            <w:rPr>
                              <w:szCs w:val="24"/>
                              <w:lang w:val="lt" w:eastAsia="lt-LT"/>
                            </w:rPr>
                            <w:t>22.3</w:t>
                          </w:r>
                        </w:sdtContent>
                      </w:sdt>
                      <w:r>
                        <w:rPr>
                          <w:szCs w:val="24"/>
                          <w:lang w:val="lt" w:eastAsia="lt-LT"/>
                        </w:rPr>
                        <w:t xml:space="preserve">. nusprendus pacientui, kurio liga progresavo taikant chemoterapiją su docetakseliu arba po jos, metastazavusiam kastracijai atspariam prostatos vėžiui gydyti arba metastazavusiam kastracijai atspariam priešinės liaukos piktybiniam navikui gydyti suaugusiam pacientui, kuriam nėra simptomų arba pasireiškia nedideli simptomai po nesėkmingos androgenų deprivacijos terapijos ir dar nėra klinikinių indikacijų Aprašo nustatyta tvarka skirti chemoterapiją ar gydymą abirateronu, skiriama vieną kartą per parą 1000 mg abiraterono, kartu 2 kartus per parą skiriama po 5 mg prednizolono. Skiriant gydymą paciento bendra būklė pagal ECOG skalę turi būti nuo 0 iki 2 balų, PSA lygis – didesnis kaip 2 ng/ml. Abiraterono vienu kartu leidžiama skirti ne ilgesniam kaip 3 mėnesio laikotarpiui. Abirateronas gali būti skiriamas tik tuo atveju, jeigu nebuvo skirtas viso ankstesnio priešinės liaukos piktybinio naviko gydymo metu ir yra išlikęs jautrumas šiam vaistui. Pacientui, kuriam chemoterapija kliniškai neskirtina ir kuriam yra nustatytos HRR geno mutacijos, galima gydymą papildyti olaparibu, o nustačius BRCA1/2 genų mutacijas (germinacines ir (arba) somatines) pacientams, kuriems nėra klinikinių indikacijų taikyti chemoterapiją, </w:t>
                      </w:r>
                      <w:r>
                        <w:rPr>
                          <w:color w:val="000000"/>
                          <w:szCs w:val="24"/>
                          <w:lang w:val="lt" w:eastAsia="lt-LT"/>
                        </w:rPr>
                        <w:t xml:space="preserve">– </w:t>
                      </w:r>
                      <w:r>
                        <w:rPr>
                          <w:szCs w:val="24"/>
                          <w:lang w:val="lt" w:eastAsia="lt-LT"/>
                        </w:rPr>
                        <w:t>niraparibu ir abiraterono acetatu kartu su prednizolonu. Gydymas tęsiamas iki radiologiniu tyrimu patvirtinto ligos progresavimo ar nepriimtino toksinio poveikio atsiradimo;</w:t>
                      </w:r>
                    </w:p>
                  </w:sdtContent>
                </w:sdt>
                <w:sdt>
                  <w:sdtPr>
                    <w:alias w:val="22.4 pp."/>
                    <w:tag w:val="part_f56d123e11a04bccae89eee1d6046013"/>
                    <w:lock w:val="sdtLocked"/>
                    <w:richText/>
                  </w:sdtPr>
                  <w:sdtContent>
                    <w:p w14:paraId="50CA2C52" w14:textId="328BCACE">
                      <w:pPr>
                        <w:widowControl w:val="0"/>
                        <w:suppressAutoHyphens/>
                        <w:ind w:firstLine="709"/>
                        <w:jc w:val="both"/>
                        <w:rPr>
                          <w:color w:val="000000"/>
                          <w:szCs w:val="24"/>
                          <w:lang w:val="lt" w:eastAsia="lt-LT"/>
                        </w:rPr>
                      </w:pPr>
                      <w:sdt>
                        <w:sdtPr>
                          <w:alias w:val="Numeris"/>
                          <w:tag w:val="nr_f56d123e11a04bccae89eee1d6046013"/>
                          <w:lock w:val="sdtLocked"/>
                          <w:richText/>
                        </w:sdtPr>
                        <w:sdtContent>
                          <w:r>
                            <w:rPr>
                              <w:color w:val="000000"/>
                              <w:szCs w:val="24"/>
                              <w:lang w:val="lt" w:eastAsia="lt-LT"/>
                            </w:rPr>
                            <w:t>22</w:t>
                          </w:r>
                          <w:r>
                            <w:rPr>
                              <w:color w:val="212121"/>
                              <w:szCs w:val="24"/>
                              <w:lang w:val="lt" w:eastAsia="lt-LT"/>
                            </w:rPr>
                            <w:t>.4</w:t>
                          </w:r>
                        </w:sdtContent>
                      </w:sdt>
                      <w:r>
                        <w:rPr>
                          <w:szCs w:val="24"/>
                          <w:lang w:val="lt" w:eastAsia="lt-LT"/>
                        </w:rPr>
                        <w:t xml:space="preserve">. nusprendus pacientui, kurio liga progresavo taikant chemoterapiją su docetakseliu arba po jos, arba pacientui, kuriam nėra simptomų arba pasireiškia nedideli simptomai po nesėkmingos androgenų deprivacijos terapijos ir dar nėra klinikinių indikacijų Aprašo nustatyta tvarka skirti chemoterapiją ar gydymą enzalutamidu, skiriama vieną kartą per parą 160 mg enzalutamido. Skiriant gydymą paciento bendra būklė pagal ECOG skalę turi būti nuo 0 iki 2 balų, PSA lygis – didesnis kaip 2 ng/ml, </w:t>
                      </w:r>
                      <w:r>
                        <w:rPr>
                          <w:color w:val="000000"/>
                          <w:szCs w:val="24"/>
                          <w:lang w:val="lt" w:eastAsia="lt-LT"/>
                        </w:rPr>
                        <w:t xml:space="preserve">diagnozuotas C klasės kepenų nepakankamumas pagal Child-Pugh skalę. </w:t>
                      </w:r>
                      <w:r>
                        <w:rPr>
                          <w:szCs w:val="24"/>
                          <w:lang w:val="lt" w:eastAsia="lt-LT"/>
                        </w:rPr>
                        <w:t xml:space="preserve">Enzalutamido vienu kartu leidžiama skirti ne ilgesniam kaip 3 mėnesių laikotarpiui. Enzalutamidas gali būti skiriamas tik tuo atveju, jeigu nebuvo skirtas viso ankstesnio priešinės liaukos piktybinio naviko gydymo metu.  </w:t>
                      </w:r>
                    </w:p>
                  </w:sdtContent>
                </w:sdt>
              </w:sdtContent>
            </w:sdt>
            <w:sdt>
              <w:sdtPr>
                <w:alias w:val="23 p."/>
                <w:tag w:val="part_8ffce0790a2345199e7cdc2378d7a0e3"/>
                <w:lock w:val="sdtLocked"/>
                <w:richText/>
              </w:sdtPr>
              <w:sdtContent>
                <w:p w14:paraId="50CA2C53" w14:textId="77777777">
                  <w:pPr>
                    <w:tabs>
                      <w:tab w:val="left" w:pos="1296"/>
                    </w:tabs>
                    <w:ind w:firstLine="709"/>
                    <w:jc w:val="both"/>
                    <w:rPr>
                      <w:szCs w:val="24"/>
                      <w:lang w:val="lt" w:eastAsia="lt-LT"/>
                    </w:rPr>
                  </w:pPr>
                  <w:sdt>
                    <w:sdtPr>
                      <w:alias w:val="Numeris"/>
                      <w:tag w:val="nr_8ffce0790a2345199e7cdc2378d7a0e3"/>
                      <w:lock w:val="sdtLocked"/>
                      <w:richText/>
                    </w:sdtPr>
                    <w:sdtContent>
                      <w:r>
                        <w:rPr>
                          <w:szCs w:val="24"/>
                          <w:lang w:val="lt" w:eastAsia="lt-LT"/>
                        </w:rPr>
                        <w:t>23</w:t>
                      </w:r>
                    </w:sdtContent>
                  </w:sdt>
                  <w:r>
                    <w:rPr>
                      <w:szCs w:val="24"/>
                      <w:lang w:val="lt" w:eastAsia="lt-LT"/>
                    </w:rPr>
                    <w:t xml:space="preserve">. </w:t>
                  </w:r>
                  <w:r>
                    <w:rPr>
                      <w:color w:val="000000"/>
                      <w:szCs w:val="24"/>
                      <w:lang w:val="lt" w:eastAsia="lt-LT"/>
                    </w:rPr>
                    <w:t>Kai liga progresuoja chemoterapijos docetakseliu metu arba po jos, gali būti:</w:t>
                  </w:r>
                </w:p>
                <w:sdt>
                  <w:sdtPr>
                    <w:alias w:val="23.1 pp."/>
                    <w:tag w:val="part_296605e47e2c406688e282fe9e3d8cc9"/>
                    <w:lock w:val="sdtLocked"/>
                    <w:richText/>
                  </w:sdtPr>
                  <w:sdtContent>
                    <w:p w14:paraId="50CA2C54" w14:textId="77777777">
                      <w:pPr>
                        <w:tabs>
                          <w:tab w:val="left" w:pos="1296"/>
                        </w:tabs>
                        <w:ind w:firstLine="709"/>
                        <w:jc w:val="both"/>
                        <w:rPr>
                          <w:strike/>
                          <w:szCs w:val="24"/>
                          <w:lang w:val="lt" w:eastAsia="lt-LT"/>
                        </w:rPr>
                      </w:pPr>
                      <w:sdt>
                        <w:sdtPr>
                          <w:alias w:val="Numeris"/>
                          <w:tag w:val="nr_296605e47e2c406688e282fe9e3d8cc9"/>
                          <w:lock w:val="sdtLocked"/>
                          <w:richText/>
                        </w:sdtPr>
                        <w:sdtContent>
                          <w:r>
                            <w:rPr>
                              <w:szCs w:val="24"/>
                              <w:lang w:val="lt" w:eastAsia="lt-LT"/>
                            </w:rPr>
                            <w:t>23</w:t>
                          </w:r>
                          <w:r>
                            <w:rPr>
                              <w:color w:val="000000"/>
                              <w:szCs w:val="24"/>
                              <w:lang w:val="lt" w:eastAsia="lt-LT"/>
                            </w:rPr>
                            <w:t>.1</w:t>
                          </w:r>
                        </w:sdtContent>
                      </w:sdt>
                      <w:r>
                        <w:rPr>
                          <w:color w:val="000000"/>
                          <w:szCs w:val="24"/>
                          <w:lang w:val="lt" w:eastAsia="lt-LT"/>
                        </w:rPr>
                        <w:t>. arba kartojamas gydymas docetakseliu (ne daugiau</w:t>
                      </w:r>
                      <w:r>
                        <w:rPr>
                          <w:szCs w:val="24"/>
                          <w:lang w:val="lt" w:eastAsia="lt-LT"/>
                        </w:rPr>
                        <w:t xml:space="preserve"> </w:t>
                      </w:r>
                      <w:r>
                        <w:rPr>
                          <w:color w:val="000000"/>
                          <w:szCs w:val="24"/>
                          <w:lang w:val="lt" w:eastAsia="lt-LT"/>
                        </w:rPr>
                        <w:t>kaip 10 chemoterapijos kursų), kai ankstesnis gydymas docetakseliu buvo efektyvus ir klinikinis atsakas į gydymą (visiška remisija, dalinė remisija, stabili ligos eiga) truko dvylika ir daugiau mėnesių;</w:t>
                      </w:r>
                    </w:p>
                  </w:sdtContent>
                </w:sdt>
                <w:sdt>
                  <w:sdtPr>
                    <w:alias w:val="23.2 pp."/>
                    <w:tag w:val="part_6c9be82be8d443eca2c75bb26edbfcb8"/>
                    <w:lock w:val="sdtLocked"/>
                    <w:richText/>
                  </w:sdtPr>
                  <w:sdtContent>
                    <w:p w14:paraId="50CA2C55" w14:textId="77777777">
                      <w:pPr>
                        <w:ind w:firstLine="709"/>
                        <w:jc w:val="both"/>
                        <w:rPr>
                          <w:color w:val="000000"/>
                          <w:szCs w:val="24"/>
                          <w:lang w:val="lt" w:eastAsia="lt-LT"/>
                        </w:rPr>
                      </w:pPr>
                      <w:sdt>
                        <w:sdtPr>
                          <w:alias w:val="Numeris"/>
                          <w:tag w:val="nr_6c9be82be8d443eca2c75bb26edbfcb8"/>
                          <w:lock w:val="sdtLocked"/>
                          <w:richText/>
                        </w:sdtPr>
                        <w:sdtContent>
                          <w:r>
                            <w:rPr>
                              <w:szCs w:val="24"/>
                              <w:lang w:val="lt" w:eastAsia="lt-LT"/>
                            </w:rPr>
                            <w:t>23.2</w:t>
                          </w:r>
                        </w:sdtContent>
                      </w:sdt>
                      <w:r>
                        <w:rPr>
                          <w:szCs w:val="24"/>
                          <w:lang w:val="lt" w:eastAsia="lt-LT"/>
                        </w:rPr>
                        <w:t xml:space="preserve">. arba skiriamas gydymas abirateronu – skiriama vieną kartą per parą 1000 mg abiraterono, kartu 2 kartus per parą skiriama po 5 mg prednizolono. Skiriant gydymą paciento bendra būklė pagal ECOG skalę turi būti nuo 0 iki 2 balų, PSA lygis – didesnis kaip 2 ng/ml. Abiraterono vienu kartu leidžiama skirti ne ilgesniam kaip 3 mėnesių laikotarpiui. Abirateronas gali būti skiriamas tik tuo atveju, jeigu nebuvo skirtas viso ankstesnio priešinės liaukos piktybinio naviko gydymo metu;   </w:t>
                      </w:r>
                    </w:p>
                  </w:sdtContent>
                </w:sdt>
                <w:sdt>
                  <w:sdtPr>
                    <w:alias w:val="23.3 pp."/>
                    <w:tag w:val="part_5a8077811753470b9781895d72629ba1"/>
                    <w:lock w:val="sdtLocked"/>
                    <w:richText/>
                  </w:sdtPr>
                  <w:sdtContent>
                    <w:p w14:paraId="50CA2C56" w14:textId="4C63C38B">
                      <w:pPr>
                        <w:tabs>
                          <w:tab w:val="left" w:pos="1134"/>
                        </w:tabs>
                        <w:ind w:firstLine="709"/>
                        <w:jc w:val="both"/>
                        <w:rPr>
                          <w:strike/>
                          <w:szCs w:val="24"/>
                          <w:lang w:val="lt" w:eastAsia="lt-LT"/>
                        </w:rPr>
                      </w:pPr>
                      <w:sdt>
                        <w:sdtPr>
                          <w:alias w:val="Numeris"/>
                          <w:tag w:val="nr_5a8077811753470b9781895d72629ba1"/>
                          <w:lock w:val="sdtLocked"/>
                          <w:richText/>
                        </w:sdtPr>
                        <w:sdtContent>
                          <w:r>
                            <w:rPr>
                              <w:szCs w:val="24"/>
                              <w:lang w:val="lt" w:eastAsia="lt-LT"/>
                            </w:rPr>
                            <w:t>23.3</w:t>
                          </w:r>
                        </w:sdtContent>
                      </w:sdt>
                      <w:r>
                        <w:rPr>
                          <w:szCs w:val="24"/>
                          <w:lang w:val="lt" w:eastAsia="lt-LT"/>
                        </w:rPr>
                        <w:t xml:space="preserve">. arba Aprašo nustatyta tvarka nusprendus skirti gydymą enzalutamidu, skiriama vieną kartą per parą 160 mg enzalutamido. Skiriant gydymą paciento bendra būklė pagal ECOG skalę turi būti nuo 0 iki 2 balų, PSA lygis – didesnis kaip 2 ng/ml, </w:t>
                      </w:r>
                      <w:r>
                        <w:rPr>
                          <w:color w:val="000000"/>
                          <w:szCs w:val="24"/>
                          <w:lang w:val="lt" w:eastAsia="lt-LT"/>
                        </w:rPr>
                        <w:t>diagnozuotas C klasės kepenų nepakankamumas pagal Child-Pugh skalę.</w:t>
                      </w:r>
                      <w:r>
                        <w:rPr>
                          <w:szCs w:val="24"/>
                          <w:lang w:val="lt" w:eastAsia="lt-LT"/>
                        </w:rPr>
                        <w:t xml:space="preserve"> Enzalutamido vienu kartu leidžiama skirti ne ilgesniam kaip 3 mėnesio laikotarpiui. Enzalutamidas gali būti skiriamas tik tuo atveju, jeigu nebuvo skirtas viso ankstesnio priešinės liaukos piktybinio naviko gydymo metu; </w:t>
                      </w:r>
                    </w:p>
                  </w:sdtContent>
                </w:sdt>
                <w:sdt>
                  <w:sdtPr>
                    <w:alias w:val="23.4 pp."/>
                    <w:tag w:val="part_c09c5edb78d441db9a59feccee3c415a"/>
                    <w:lock w:val="sdtLocked"/>
                    <w:richText/>
                  </w:sdtPr>
                  <w:sdtContent>
                    <w:p w14:paraId="50CA2C57" w14:textId="4D78D90C">
                      <w:pPr>
                        <w:tabs>
                          <w:tab w:val="left" w:pos="1134"/>
                        </w:tabs>
                        <w:ind w:firstLine="709"/>
                        <w:jc w:val="both"/>
                        <w:rPr>
                          <w:szCs w:val="24"/>
                          <w:lang w:val="lt" w:eastAsia="lt-LT"/>
                        </w:rPr>
                      </w:pPr>
                      <w:sdt>
                        <w:sdtPr>
                          <w:alias w:val="Numeris"/>
                          <w:tag w:val="nr_c09c5edb78d441db9a59feccee3c415a"/>
                          <w:lock w:val="sdtLocked"/>
                          <w:richText/>
                        </w:sdtPr>
                        <w:sdtContent>
                          <w:r>
                            <w:rPr>
                              <w:szCs w:val="24"/>
                              <w:lang w:val="lt" w:eastAsia="lt-LT"/>
                            </w:rPr>
                            <w:t>23.4</w:t>
                          </w:r>
                        </w:sdtContent>
                      </w:sdt>
                      <w:r>
                        <w:rPr>
                          <w:szCs w:val="24"/>
                          <w:lang w:val="lt" w:eastAsia="lt-LT"/>
                        </w:rPr>
                        <w:t>. arba, esant metastazavusiam kastracijai atspariam priešinės liaukos piktybiniam navikui, progresavusiam taikant chemoterapiją docetakseliu arba po jos, skiriama chemoterapija kabazitakseliu – po 25 mg/m</w:t>
                      </w:r>
                      <w:r>
                        <w:rPr>
                          <w:szCs w:val="24"/>
                          <w:vertAlign w:val="superscript"/>
                          <w:lang w:val="lt" w:eastAsia="lt-LT"/>
                        </w:rPr>
                        <w:t>2</w:t>
                      </w:r>
                      <w:r>
                        <w:rPr>
                          <w:szCs w:val="24"/>
                          <w:lang w:val="lt" w:eastAsia="lt-LT"/>
                        </w:rPr>
                        <w:t xml:space="preserve"> kas 3 savaites, bet ne daugiau kaip 10 kursų. Be to, gydymo metu kartu skiriama 10 mg prednizolono paros dozė. Skiriant gydymą paciento bendra būklė pagal ECOG skalę turi būti nuo 0 iki 2 balų, PSA lygis – didesnis kaip 2 ng/ml. Kabazitakselį galima derinti su chemoterapija karboplatina (kai karboplatina bus kompensuojama PSDF biudžeto lėšomis) arba skirti monochemoterapiją karboplatina (kai karboplatina bus kompensuojama PSDF biudžeto lėšomis);</w:t>
                      </w:r>
                    </w:p>
                  </w:sdtContent>
                </w:sdt>
                <w:sdt>
                  <w:sdtPr>
                    <w:alias w:val="23.5 pp."/>
                    <w:tag w:val="part_53514678dd114d16874fe5dd14607325"/>
                    <w:lock w:val="sdtLocked"/>
                    <w:richText/>
                  </w:sdtPr>
                  <w:sdtContent>
                    <w:p w14:paraId="50CA2C58" w14:textId="27A1C188">
                      <w:pPr>
                        <w:tabs>
                          <w:tab w:val="left" w:pos="1134"/>
                        </w:tabs>
                        <w:ind w:firstLine="709"/>
                        <w:jc w:val="both"/>
                        <w:rPr>
                          <w:szCs w:val="24"/>
                          <w:lang w:val="lt" w:eastAsia="lt-LT"/>
                        </w:rPr>
                      </w:pPr>
                      <w:sdt>
                        <w:sdtPr>
                          <w:alias w:val="Numeris"/>
                          <w:tag w:val="nr_53514678dd114d16874fe5dd14607325"/>
                          <w:lock w:val="sdtLocked"/>
                          <w:richText/>
                        </w:sdtPr>
                        <w:sdtContent>
                          <w:r>
                            <w:rPr>
                              <w:szCs w:val="24"/>
                              <w:lang w:val="lt" w:eastAsia="lt-LT"/>
                            </w:rPr>
                            <w:t>23.5</w:t>
                          </w:r>
                        </w:sdtContent>
                      </w:sdt>
                      <w:r>
                        <w:rPr>
                          <w:szCs w:val="24"/>
                          <w:lang w:val="lt" w:eastAsia="lt-LT"/>
                        </w:rPr>
                        <w:t>. esant kaulinėms metastazėms, su skeletu susijusių reiškinių (patologinių lūžių, spindulinio poveikio kaulams, nugaros smegenų kompresijos ir pan.) profilaktikai skiriamas denozumabas arba zoledrono rūgštis;</w:t>
                      </w:r>
                    </w:p>
                  </w:sdtContent>
                </w:sdt>
                <w:sdt>
                  <w:sdtPr>
                    <w:alias w:val="23.6 pp."/>
                    <w:tag w:val="part_82bca8d4dc0f4235b8af675d4e7286da"/>
                    <w:lock w:val="sdtLocked"/>
                    <w:richText/>
                  </w:sdtPr>
                  <w:sdtContent>
                    <w:p w14:paraId="04AA141C" w14:textId="07843815">
                      <w:pPr>
                        <w:tabs>
                          <w:tab w:val="left" w:pos="1134"/>
                        </w:tabs>
                        <w:ind w:firstLine="709"/>
                        <w:jc w:val="both"/>
                        <w:rPr>
                          <w:szCs w:val="24"/>
                          <w:lang w:val="lt" w:eastAsia="lt-LT"/>
                        </w:rPr>
                      </w:pPr>
                      <w:sdt>
                        <w:sdtPr>
                          <w:alias w:val="Numeris"/>
                          <w:tag w:val="nr_82bca8d4dc0f4235b8af675d4e7286da"/>
                          <w:lock w:val="sdtLocked"/>
                          <w:richText/>
                        </w:sdtPr>
                        <w:sdtContent>
                          <w:r>
                            <w:rPr>
                              <w:szCs w:val="24"/>
                              <w:lang w:val="lt" w:eastAsia="lt-LT"/>
                            </w:rPr>
                            <w:t>23.6</w:t>
                          </w:r>
                        </w:sdtContent>
                      </w:sdt>
                      <w:r>
                        <w:rPr>
                          <w:szCs w:val="24"/>
                          <w:lang w:val="lt" w:eastAsia="lt-LT"/>
                        </w:rPr>
                        <w:t xml:space="preserve">. olaparibas skiriamas kartu su abirateronu ir prednizonu arba prednizolonu suaugusiems pacientams, </w:t>
                      </w:r>
                      <w:r>
                        <w:rPr>
                          <w:color w:val="000000"/>
                          <w:szCs w:val="24"/>
                          <w:lang w:val="lt" w:eastAsia="lt-LT"/>
                        </w:rPr>
                        <w:t>sergantiems metastazavusiu kastracijai atspariu priešinės liaukos piktybiniu naviku,</w:t>
                      </w:r>
                      <w:r>
                        <w:rPr>
                          <w:szCs w:val="24"/>
                          <w:lang w:val="lt" w:eastAsia="lt-LT"/>
                        </w:rPr>
                        <w:t xml:space="preserve"> kuriems chemoterapija kliniškai neskirtina ir kuriems yra nustatytos HRR geno mutacijos;</w:t>
                      </w:r>
                    </w:p>
                  </w:sdtContent>
                </w:sdt>
                <w:sdt>
                  <w:sdtPr>
                    <w:alias w:val="23.7 pp."/>
                    <w:tag w:val="part_b04f7ec9772843e3bef2d1012a94bd98"/>
                    <w:lock w:val="sdtLocked"/>
                    <w:richText/>
                  </w:sdtPr>
                  <w:sdtContent>
                    <w:p w14:paraId="50CA2C5A" w14:textId="5B1035F4">
                      <w:pPr>
                        <w:widowControl w:val="0"/>
                        <w:ind w:firstLine="709"/>
                        <w:jc w:val="both"/>
                        <w:rPr>
                          <w:szCs w:val="24"/>
                          <w:lang w:val="lt" w:eastAsia="lt-LT"/>
                        </w:rPr>
                      </w:pPr>
                      <w:sdt>
                        <w:sdtPr>
                          <w:alias w:val="Numeris"/>
                          <w:tag w:val="nr_b04f7ec9772843e3bef2d1012a94bd98"/>
                          <w:lock w:val="sdtLocked"/>
                          <w:richText/>
                        </w:sdtPr>
                        <w:sdtContent>
                          <w:r>
                            <w:rPr>
                              <w:szCs w:val="24"/>
                              <w:lang w:val="lt" w:eastAsia="lt-LT"/>
                            </w:rPr>
                            <w:t>23.7</w:t>
                          </w:r>
                        </w:sdtContent>
                      </w:sdt>
                      <w:r>
                        <w:rPr>
                          <w:szCs w:val="24"/>
                          <w:lang w:val="lt" w:eastAsia="lt-LT"/>
                        </w:rPr>
                        <w:t>. niraparibas ir abiraterono acetatas su prednizolonu skiriami nustačius tik BRCA1/2 genų mutacijas (germinacines ir (arba) somatines) pacientams, kuriems nėra klinikinių indikacijų taikyti chemoterapiją. Gydymas tęsiamas iki radiologiniu tyrimu patvirtinto ligos progresavimo ar nepriimtino toksinio poveikio atsiradimo.</w:t>
                      </w:r>
                    </w:p>
                  </w:sdtContent>
                </w:sdt>
              </w:sdtContent>
            </w:sdt>
            <w:sdt>
              <w:sdtPr>
                <w:alias w:val="24 p."/>
                <w:tag w:val="part_7e0dff040bb9403fb849a420c02a9057"/>
                <w:lock w:val="sdtLocked"/>
                <w:richText/>
              </w:sdtPr>
              <w:sdtContent>
                <w:p w14:paraId="50CA2C5B" w14:textId="17F2C64F">
                  <w:pPr>
                    <w:ind w:firstLine="709"/>
                    <w:jc w:val="both"/>
                    <w:rPr>
                      <w:color w:val="000000"/>
                      <w:szCs w:val="24"/>
                      <w:lang w:val="lt" w:eastAsia="lt-LT"/>
                    </w:rPr>
                  </w:pPr>
                  <w:sdt>
                    <w:sdtPr>
                      <w:alias w:val="Numeris"/>
                      <w:tag w:val="nr_7e0dff040bb9403fb849a420c02a9057"/>
                      <w:lock w:val="sdtLocked"/>
                      <w:richText/>
                    </w:sdtPr>
                    <w:sdtContent>
                      <w:r>
                        <w:rPr>
                          <w:szCs w:val="24"/>
                          <w:lang w:val="lt" w:eastAsia="lt-LT"/>
                        </w:rPr>
                        <w:t>24</w:t>
                      </w:r>
                    </w:sdtContent>
                  </w:sdt>
                  <w:r>
                    <w:rPr>
                      <w:szCs w:val="24"/>
                      <w:lang w:val="lt" w:eastAsia="lt-LT"/>
                    </w:rPr>
                    <w:t xml:space="preserve">. </w:t>
                  </w:r>
                  <w:r>
                    <w:rPr>
                      <w:color w:val="000000"/>
                      <w:szCs w:val="24"/>
                      <w:lang w:val="lt" w:eastAsia="lt-LT"/>
                    </w:rPr>
                    <w:t>Kai liga progresuoja po anksčiau skirto gydymo androgenų receptorių inhibitoriais ir chemoterapija taksanų pagrindu:</w:t>
                  </w:r>
                </w:p>
                <w:sdt>
                  <w:sdtPr>
                    <w:alias w:val="24.1 pp."/>
                    <w:tag w:val="part_1c23bf5fd0094bce98436ebe13aacf9e"/>
                    <w:lock w:val="sdtLocked"/>
                    <w:richText/>
                  </w:sdtPr>
                  <w:sdtContent>
                    <w:p w14:paraId="50CA2C5C" w14:textId="5A34144E">
                      <w:pPr>
                        <w:widowControl w:val="0"/>
                        <w:ind w:firstLine="709"/>
                        <w:jc w:val="both"/>
                        <w:rPr>
                          <w:szCs w:val="24"/>
                          <w:lang w:val="lt" w:eastAsia="lt-LT"/>
                        </w:rPr>
                      </w:pPr>
                      <w:sdt>
                        <w:sdtPr>
                          <w:alias w:val="Numeris"/>
                          <w:tag w:val="nr_1c23bf5fd0094bce98436ebe13aacf9e"/>
                          <w:lock w:val="sdtLocked"/>
                          <w:richText/>
                        </w:sdtPr>
                        <w:sdtContent>
                          <w:r>
                            <w:rPr>
                              <w:szCs w:val="24"/>
                              <w:lang w:val="lt" w:eastAsia="lt-LT"/>
                            </w:rPr>
                            <w:t>24.1</w:t>
                          </w:r>
                        </w:sdtContent>
                      </w:sdt>
                      <w:r>
                        <w:rPr>
                          <w:szCs w:val="24"/>
                          <w:lang w:val="lt" w:eastAsia="lt-LT"/>
                        </w:rPr>
                        <w:t>.</w:t>
                      </w:r>
                      <w:r>
                        <w:rPr>
                          <w:color w:val="000000"/>
                          <w:szCs w:val="24"/>
                          <w:lang w:val="lt" w:eastAsia="lt-LT"/>
                        </w:rPr>
                        <w:t xml:space="preserve"> arba gali būti skiriamas gydymas radioligandais su Liutecio (177Lu) vipivotido tetraksetanu (177Lu PSMA) kartu su GIS hormono </w:t>
                      </w:r>
                      <w:r>
                        <w:rPr>
                          <w:szCs w:val="24"/>
                          <w:lang w:val="lt" w:eastAsia="lt-LT"/>
                        </w:rPr>
                        <w:t xml:space="preserve">analogu </w:t>
                      </w:r>
                      <w:r>
                        <w:rPr>
                          <w:color w:val="000000"/>
                          <w:szCs w:val="24"/>
                          <w:lang w:val="lt" w:eastAsia="lt-LT"/>
                        </w:rPr>
                        <w:t xml:space="preserve">su androgenų receptorių (AR) inhibitoriais arba be jų, kai, atlikus </w:t>
                      </w:r>
                      <w:r>
                        <w:rPr>
                          <w:szCs w:val="24"/>
                          <w:lang w:val="lt" w:eastAsia="lt-LT"/>
                        </w:rPr>
                        <w:t>prostatos specifini</w:t>
                      </w:r>
                      <w:r>
                        <w:rPr>
                          <w:szCs w:val="24"/>
                          <w:lang w:eastAsia="lt-LT"/>
                        </w:rPr>
                        <w:t>ų</w:t>
                      </w:r>
                      <w:r>
                        <w:rPr>
                          <w:szCs w:val="24"/>
                          <w:lang w:val="lt" w:eastAsia="lt-LT"/>
                        </w:rPr>
                        <w:t xml:space="preserve"> membranos antigenų, naudojant žymėtus radioaktyviuoju galiu (68Ga PSMA), PET tyrimą vadovaujantis įsakymu Nr. V-449, ir nustačius aukštą PSMA raišką priešinės liaukos </w:t>
                      </w:r>
                      <w:r>
                        <w:rPr>
                          <w:color w:val="000000"/>
                          <w:szCs w:val="24"/>
                          <w:lang w:val="lt" w:eastAsia="lt-LT"/>
                        </w:rPr>
                        <w:t xml:space="preserve">piktybinio naviko </w:t>
                      </w:r>
                      <w:r>
                        <w:rPr>
                          <w:szCs w:val="24"/>
                          <w:lang w:val="lt" w:eastAsia="lt-LT"/>
                        </w:rPr>
                        <w:t xml:space="preserve">metastazėse ir nenustačius reikšmingų PSMA nekaupiančių metastazių; </w:t>
                      </w:r>
                    </w:p>
                  </w:sdtContent>
                </w:sdt>
                <w:sdt>
                  <w:sdtPr>
                    <w:alias w:val="24.2 pp."/>
                    <w:tag w:val="part_4c355a9b07264c7da209534e915ef420"/>
                    <w:lock w:val="sdtLocked"/>
                    <w:richText/>
                  </w:sdtPr>
                  <w:sdtContent>
                    <w:p w14:paraId="41397E03" w14:textId="1AFBD598">
                      <w:pPr>
                        <w:tabs>
                          <w:tab w:val="left" w:pos="1296"/>
                        </w:tabs>
                        <w:ind w:firstLine="709"/>
                        <w:jc w:val="both"/>
                        <w:rPr>
                          <w:szCs w:val="24"/>
                          <w:lang w:val="lt" w:eastAsia="lt-LT"/>
                        </w:rPr>
                      </w:pPr>
                      <w:sdt>
                        <w:sdtPr>
                          <w:alias w:val="Numeris"/>
                          <w:tag w:val="nr_4c355a9b07264c7da209534e915ef420"/>
                          <w:lock w:val="sdtLocked"/>
                          <w:richText/>
                        </w:sdtPr>
                        <w:sdtContent>
                          <w:r>
                            <w:rPr>
                              <w:szCs w:val="24"/>
                              <w:lang w:val="lt" w:eastAsia="lt-LT"/>
                            </w:rPr>
                            <w:t>24.2</w:t>
                          </w:r>
                        </w:sdtContent>
                      </w:sdt>
                      <w:r>
                        <w:rPr>
                          <w:szCs w:val="24"/>
                          <w:lang w:val="lt" w:eastAsia="lt-LT"/>
                        </w:rPr>
                        <w:t xml:space="preserve">. arba pacientams, kuriems netinka kitas sisteminis metastazavusio kastracijai atsparaus priešinės liaukos </w:t>
                      </w:r>
                      <w:r>
                        <w:rPr>
                          <w:color w:val="000000"/>
                          <w:szCs w:val="24"/>
                          <w:lang w:val="lt" w:eastAsia="lt-LT"/>
                        </w:rPr>
                        <w:t xml:space="preserve">piktybinio naviko </w:t>
                      </w:r>
                      <w:r>
                        <w:rPr>
                          <w:szCs w:val="24"/>
                          <w:lang w:val="lt" w:eastAsia="lt-LT"/>
                        </w:rPr>
                        <w:t>gydymas ir jiems yra simptominių metastazių kauluose ir nėra žinomų metastazių vidaus organuose, gali būti skiriamas gydymas Ra 223 dichloridu (radžio-223 dichloridu) kartu su GIS hormono analogu.</w:t>
                      </w:r>
                    </w:p>
                  </w:sdtContent>
                </w:sdt>
              </w:sdtContent>
            </w:sdt>
            <w:sdt>
              <w:sdtPr>
                <w:alias w:val="25 p."/>
                <w:tag w:val="part_d7d2debc4a424b888ebfbb24853ab8f1"/>
                <w:lock w:val="sdtLocked"/>
                <w:richText/>
              </w:sdtPr>
              <w:sdtContent>
                <w:p w14:paraId="50CA2C5D" w14:textId="1E8075F2">
                  <w:pPr>
                    <w:tabs>
                      <w:tab w:val="left" w:pos="1296"/>
                    </w:tabs>
                    <w:ind w:firstLine="709"/>
                    <w:jc w:val="both"/>
                    <w:rPr>
                      <w:color w:val="000000"/>
                      <w:szCs w:val="24"/>
                      <w:lang w:val="lt" w:eastAsia="lt-LT"/>
                    </w:rPr>
                  </w:pPr>
                  <w:sdt>
                    <w:sdtPr>
                      <w:alias w:val="Numeris"/>
                      <w:tag w:val="nr_d7d2debc4a424b888ebfbb24853ab8f1"/>
                      <w:lock w:val="sdtLocked"/>
                      <w:richText/>
                    </w:sdtPr>
                    <w:sdtContent>
                      <w:r>
                        <w:rPr>
                          <w:szCs w:val="24"/>
                          <w:lang w:val="lt" w:eastAsia="lt-LT"/>
                        </w:rPr>
                        <w:t>25</w:t>
                      </w:r>
                    </w:sdtContent>
                  </w:sdt>
                  <w:r>
                    <w:rPr>
                      <w:szCs w:val="24"/>
                      <w:lang w:val="lt" w:eastAsia="lt-LT"/>
                    </w:rPr>
                    <w:t>.</w:t>
                  </w:r>
                  <w:r>
                    <w:rPr>
                      <w:color w:val="000000"/>
                      <w:szCs w:val="24"/>
                      <w:lang w:val="lt" w:eastAsia="lt-LT"/>
                    </w:rPr>
                    <w:t xml:space="preserve"> Metastazavusio kastracijai atsparaus priešinės liaukos piktybinio naviko gydymas tęsiamas iki ligos progresavimo (bet ne daugiau chemoterapijos kursų, nei nurodyta Apraše) ar jei yra nors viena iš toliau nurodytų priežasčių:</w:t>
                  </w:r>
                </w:p>
                <w:sdt>
                  <w:sdtPr>
                    <w:alias w:val="25.1 pp."/>
                    <w:tag w:val="part_31b4ff119d93414597a566fa5bc1bf62"/>
                    <w:lock w:val="sdtLocked"/>
                    <w:richText/>
                  </w:sdtPr>
                  <w:sdtContent>
                    <w:p w14:paraId="50CA2C5E" w14:textId="77777777">
                      <w:pPr>
                        <w:tabs>
                          <w:tab w:val="left" w:pos="1296"/>
                        </w:tabs>
                        <w:ind w:firstLine="709"/>
                        <w:jc w:val="both"/>
                        <w:rPr>
                          <w:color w:val="000000"/>
                          <w:szCs w:val="24"/>
                          <w:lang w:val="lt" w:eastAsia="lt-LT"/>
                        </w:rPr>
                      </w:pPr>
                      <w:sdt>
                        <w:sdtPr>
                          <w:alias w:val="Numeris"/>
                          <w:tag w:val="nr_31b4ff119d93414597a566fa5bc1bf62"/>
                          <w:lock w:val="sdtLocked"/>
                          <w:richText/>
                        </w:sdtPr>
                        <w:sdtContent>
                          <w:r>
                            <w:rPr>
                              <w:szCs w:val="24"/>
                              <w:lang w:val="lt" w:eastAsia="lt-LT"/>
                            </w:rPr>
                            <w:t>25.</w:t>
                          </w:r>
                          <w:r>
                            <w:rPr>
                              <w:color w:val="000000"/>
                              <w:szCs w:val="24"/>
                              <w:lang w:val="lt" w:eastAsia="lt-LT"/>
                            </w:rPr>
                            <w:t>1</w:t>
                          </w:r>
                        </w:sdtContent>
                      </w:sdt>
                      <w:r>
                        <w:rPr>
                          <w:color w:val="000000"/>
                          <w:szCs w:val="24"/>
                          <w:lang w:val="lt" w:eastAsia="lt-LT"/>
                        </w:rPr>
                        <w:t>. atsirado netoleruojamų vaisto toksinių reiškinių;</w:t>
                      </w:r>
                    </w:p>
                  </w:sdtContent>
                </w:sdt>
                <w:sdt>
                  <w:sdtPr>
                    <w:alias w:val="25.2 pp."/>
                    <w:tag w:val="part_b325790ad3164945b0d8551deedd5ec8"/>
                    <w:lock w:val="sdtLocked"/>
                    <w:richText/>
                  </w:sdtPr>
                  <w:sdtContent>
                    <w:p w14:paraId="50CA2C5F" w14:textId="77777777">
                      <w:pPr>
                        <w:tabs>
                          <w:tab w:val="left" w:pos="1296"/>
                        </w:tabs>
                        <w:ind w:firstLine="709"/>
                        <w:jc w:val="both"/>
                        <w:rPr>
                          <w:color w:val="000000"/>
                          <w:szCs w:val="24"/>
                          <w:lang w:val="lt" w:eastAsia="lt-LT"/>
                        </w:rPr>
                      </w:pPr>
                      <w:sdt>
                        <w:sdtPr>
                          <w:alias w:val="Numeris"/>
                          <w:tag w:val="nr_b325790ad3164945b0d8551deedd5ec8"/>
                          <w:lock w:val="sdtLocked"/>
                          <w:richText/>
                        </w:sdtPr>
                        <w:sdtContent>
                          <w:r>
                            <w:rPr>
                              <w:szCs w:val="24"/>
                              <w:lang w:val="lt" w:eastAsia="lt-LT"/>
                            </w:rPr>
                            <w:t>25</w:t>
                          </w:r>
                          <w:r>
                            <w:rPr>
                              <w:color w:val="000000"/>
                              <w:szCs w:val="24"/>
                              <w:lang w:val="lt" w:eastAsia="lt-LT"/>
                            </w:rPr>
                            <w:t>.2</w:t>
                          </w:r>
                        </w:sdtContent>
                      </w:sdt>
                      <w:r>
                        <w:rPr>
                          <w:color w:val="000000"/>
                          <w:szCs w:val="24"/>
                          <w:lang w:val="lt" w:eastAsia="lt-LT"/>
                        </w:rPr>
                        <w:t>. atsirado ligos progresavimo požymių, nustatytų radiologiniais tyrimais;</w:t>
                      </w:r>
                    </w:p>
                  </w:sdtContent>
                </w:sdt>
                <w:sdt>
                  <w:sdtPr>
                    <w:alias w:val="25.3 pp."/>
                    <w:tag w:val="part_c6167f291cfa4ec2817493da6be8c039"/>
                    <w:lock w:val="sdtLocked"/>
                    <w:richText/>
                  </w:sdtPr>
                  <w:sdtContent>
                    <w:p w14:paraId="50CA2C60" w14:textId="77777777">
                      <w:pPr>
                        <w:tabs>
                          <w:tab w:val="left" w:pos="1296"/>
                        </w:tabs>
                        <w:ind w:firstLine="709"/>
                        <w:jc w:val="both"/>
                        <w:rPr>
                          <w:color w:val="000000"/>
                          <w:szCs w:val="24"/>
                          <w:lang w:val="lt" w:eastAsia="lt-LT"/>
                        </w:rPr>
                      </w:pPr>
                      <w:sdt>
                        <w:sdtPr>
                          <w:alias w:val="Numeris"/>
                          <w:tag w:val="nr_c6167f291cfa4ec2817493da6be8c039"/>
                          <w:lock w:val="sdtLocked"/>
                          <w:richText/>
                        </w:sdtPr>
                        <w:sdtContent>
                          <w:r>
                            <w:rPr>
                              <w:szCs w:val="24"/>
                              <w:lang w:val="lt" w:eastAsia="lt-LT"/>
                            </w:rPr>
                            <w:t>25</w:t>
                          </w:r>
                          <w:r>
                            <w:rPr>
                              <w:color w:val="000000"/>
                              <w:szCs w:val="24"/>
                              <w:lang w:val="lt" w:eastAsia="lt-LT"/>
                            </w:rPr>
                            <w:t>.3</w:t>
                          </w:r>
                        </w:sdtContent>
                      </w:sdt>
                      <w:r>
                        <w:rPr>
                          <w:color w:val="000000"/>
                          <w:szCs w:val="24"/>
                          <w:lang w:val="lt" w:eastAsia="lt-LT"/>
                        </w:rPr>
                        <w:t>. progresuoja prostatos piktybinio naviko simptomai (skausmas, astenija, silpnumas) ir skiriamas gydymas analgetikais;</w:t>
                      </w:r>
                    </w:p>
                  </w:sdtContent>
                </w:sdt>
                <w:sdt>
                  <w:sdtPr>
                    <w:alias w:val="25.4 pp."/>
                    <w:tag w:val="part_56e75038a1404e089b648b3c42bb910e"/>
                    <w:lock w:val="sdtLocked"/>
                    <w:richText/>
                  </w:sdtPr>
                  <w:sdtContent>
                    <w:p w14:paraId="50CA2C61" w14:textId="77777777">
                      <w:pPr>
                        <w:tabs>
                          <w:tab w:val="left" w:pos="1296"/>
                        </w:tabs>
                        <w:ind w:firstLine="709"/>
                        <w:jc w:val="both"/>
                        <w:rPr>
                          <w:color w:val="000000"/>
                          <w:szCs w:val="24"/>
                          <w:lang w:val="lt" w:eastAsia="lt-LT"/>
                        </w:rPr>
                      </w:pPr>
                      <w:sdt>
                        <w:sdtPr>
                          <w:alias w:val="Numeris"/>
                          <w:tag w:val="nr_56e75038a1404e089b648b3c42bb910e"/>
                          <w:lock w:val="sdtLocked"/>
                          <w:richText/>
                        </w:sdtPr>
                        <w:sdtContent>
                          <w:r>
                            <w:rPr>
                              <w:szCs w:val="24"/>
                              <w:lang w:val="lt" w:eastAsia="lt-LT"/>
                            </w:rPr>
                            <w:t>25</w:t>
                          </w:r>
                          <w:r>
                            <w:rPr>
                              <w:color w:val="000000"/>
                              <w:szCs w:val="24"/>
                              <w:lang w:val="lt" w:eastAsia="lt-LT"/>
                            </w:rPr>
                            <w:t>.4</w:t>
                          </w:r>
                        </w:sdtContent>
                      </w:sdt>
                      <w:r>
                        <w:rPr>
                          <w:color w:val="000000"/>
                          <w:szCs w:val="24"/>
                          <w:lang w:val="lt" w:eastAsia="lt-LT"/>
                        </w:rPr>
                        <w:t xml:space="preserve">. jei paciento </w:t>
                      </w:r>
                      <w:r>
                        <w:rPr>
                          <w:szCs w:val="24"/>
                          <w:lang w:val="lt" w:eastAsia="lt-LT"/>
                        </w:rPr>
                        <w:t>bendra būklė pagal ECOG skalę įvertinama daugiau kaip 2 balais</w:t>
                      </w:r>
                      <w:r>
                        <w:rPr>
                          <w:color w:val="000000"/>
                          <w:szCs w:val="24"/>
                          <w:lang w:val="lt" w:eastAsia="lt-LT"/>
                        </w:rPr>
                        <w:t>;</w:t>
                      </w:r>
                    </w:p>
                  </w:sdtContent>
                </w:sdt>
                <w:sdt>
                  <w:sdtPr>
                    <w:alias w:val="25.5 pp."/>
                    <w:tag w:val="part_0d6c863c862a46a0a8617c0145a382c1"/>
                    <w:lock w:val="sdtLocked"/>
                    <w:richText/>
                  </w:sdtPr>
                  <w:sdtContent>
                    <w:p w14:paraId="50CA2C62" w14:textId="40732070">
                      <w:pPr>
                        <w:tabs>
                          <w:tab w:val="left" w:pos="1296"/>
                        </w:tabs>
                        <w:ind w:firstLine="709"/>
                        <w:jc w:val="both"/>
                        <w:rPr>
                          <w:szCs w:val="24"/>
                          <w:lang w:val="lt" w:eastAsia="lt-LT"/>
                        </w:rPr>
                      </w:pPr>
                      <w:sdt>
                        <w:sdtPr>
                          <w:alias w:val="Numeris"/>
                          <w:tag w:val="nr_0d6c863c862a46a0a8617c0145a382c1"/>
                          <w:lock w:val="sdtLocked"/>
                          <w:richText/>
                        </w:sdtPr>
                        <w:sdtContent>
                          <w:r>
                            <w:rPr>
                              <w:szCs w:val="24"/>
                              <w:lang w:val="lt" w:eastAsia="lt-LT"/>
                            </w:rPr>
                            <w:t>25</w:t>
                          </w:r>
                          <w:r>
                            <w:rPr>
                              <w:color w:val="000000"/>
                              <w:szCs w:val="24"/>
                              <w:lang w:val="lt" w:eastAsia="lt-LT"/>
                            </w:rPr>
                            <w:t>.5</w:t>
                          </w:r>
                        </w:sdtContent>
                      </w:sdt>
                      <w:r>
                        <w:rPr>
                          <w:color w:val="000000"/>
                          <w:szCs w:val="24"/>
                          <w:lang w:val="lt" w:eastAsia="lt-LT"/>
                        </w:rPr>
                        <w:t xml:space="preserve">. nustatytas PSA lygio padidėjimas daugiau kaip 50 proc., palyginti su vaisto skyrimo metu nustatytu žemiausiu PSA lygiu, ir yra viena iš Aprašo </w:t>
                      </w:r>
                      <w:r>
                        <w:rPr>
                          <w:szCs w:val="24"/>
                          <w:lang w:val="lt" w:eastAsia="lt-LT"/>
                        </w:rPr>
                        <w:t>25</w:t>
                      </w:r>
                      <w:r>
                        <w:rPr>
                          <w:color w:val="000000"/>
                          <w:szCs w:val="24"/>
                          <w:lang w:val="lt" w:eastAsia="lt-LT"/>
                        </w:rPr>
                        <w:t>.1–</w:t>
                      </w:r>
                      <w:r>
                        <w:rPr>
                          <w:szCs w:val="24"/>
                          <w:lang w:val="lt" w:eastAsia="lt-LT"/>
                        </w:rPr>
                        <w:t>25</w:t>
                      </w:r>
                      <w:r>
                        <w:rPr>
                          <w:color w:val="000000"/>
                          <w:szCs w:val="24"/>
                          <w:lang w:val="lt" w:eastAsia="lt-LT"/>
                        </w:rPr>
                        <w:t>.4 papunkčiuose nurodytų priežasčių.</w:t>
                      </w:r>
                      <w:r>
                        <w:rPr>
                          <w:szCs w:val="24"/>
                          <w:lang w:val="lt" w:eastAsia="lt-LT"/>
                        </w:rPr>
                        <w:t xml:space="preserve"> </w:t>
                      </w:r>
                    </w:p>
                    <w:p w14:paraId="50CA2C63" w14:textId="77777777">
                      <w:pPr>
                        <w:tabs>
                          <w:tab w:val="left" w:pos="1296"/>
                        </w:tabs>
                        <w:jc w:val="both"/>
                        <w:rPr>
                          <w:szCs w:val="24"/>
                          <w:lang w:val="lt" w:eastAsia="lt-LT"/>
                        </w:rPr>
                      </w:pPr>
                    </w:p>
                  </w:sdtContent>
                </w:sdt>
              </w:sdtContent>
            </w:sdt>
            <w:sdt>
              <w:sdtPr>
                <w:alias w:val="skirsnis"/>
                <w:tag w:val="part_157aa5b9bf7c4d92b94fba032812772e"/>
                <w:lock w:val="sdtLocked"/>
                <w:richText/>
              </w:sdtPr>
              <w:sdtContent>
                <w:p w14:paraId="50CA2C64" w14:textId="77777777">
                  <w:pPr>
                    <w:keepLines/>
                    <w:widowControl w:val="0"/>
                    <w:jc w:val="center"/>
                    <w:rPr>
                      <w:b/>
                      <w:bCs/>
                      <w:smallCaps/>
                      <w:szCs w:val="24"/>
                      <w:lang w:val="lt" w:eastAsia="lt-LT"/>
                    </w:rPr>
                  </w:pPr>
                  <w:sdt>
                    <w:sdtPr>
                      <w:alias w:val="Numeris"/>
                      <w:tag w:val="nr_157aa5b9bf7c4d92b94fba032812772e"/>
                      <w:lock w:val="sdtLocked"/>
                      <w:richText/>
                    </w:sdtPr>
                    <w:sdtContent>
                      <w:r>
                        <w:rPr>
                          <w:b/>
                          <w:bCs/>
                          <w:smallCaps/>
                          <w:szCs w:val="24"/>
                          <w:lang w:val="lt" w:eastAsia="lt-LT"/>
                        </w:rPr>
                        <w:t>IV</w:t>
                      </w:r>
                    </w:sdtContent>
                  </w:sdt>
                  <w:r>
                    <w:rPr>
                      <w:b/>
                      <w:bCs/>
                      <w:smallCaps/>
                      <w:szCs w:val="24"/>
                      <w:lang w:val="lt" w:eastAsia="lt-LT"/>
                    </w:rPr>
                    <w:t xml:space="preserve"> SKIRSNIS</w:t>
                  </w:r>
                </w:p>
                <w:p w14:paraId="50CA2C65" w14:textId="367F413F">
                  <w:pPr>
                    <w:keepLines/>
                    <w:widowControl w:val="0"/>
                    <w:jc w:val="center"/>
                    <w:rPr>
                      <w:b/>
                      <w:bCs/>
                      <w:smallCaps/>
                      <w:szCs w:val="24"/>
                      <w:lang w:val="lt" w:eastAsia="lt-LT"/>
                    </w:rPr>
                  </w:pPr>
                  <w:sdt>
                    <w:sdtPr>
                      <w:alias w:val="Pavadinimas"/>
                      <w:tag w:val="title_157aa5b9bf7c4d92b94fba032812772e"/>
                      <w:lock w:val="sdtLocked"/>
                      <w:richText/>
                    </w:sdtPr>
                    <w:sdtContent>
                      <w:r>
                        <w:rPr>
                          <w:b/>
                          <w:bCs/>
                          <w:smallCaps/>
                          <w:szCs w:val="24"/>
                          <w:lang w:val="lt" w:eastAsia="lt-LT"/>
                        </w:rPr>
                        <w:t xml:space="preserve">SISTEMINIO PRIEŠINĖS LIAUKOS PIKTYBINIO NAVIKO AMBULATORINIO GYDYMO PSDF BIUDŽETO LĖŠOMIS KOMPENSUOJAMAIS VAISTAIS TVARKA  </w:t>
                      </w:r>
                    </w:sdtContent>
                  </w:sdt>
                </w:p>
                <w:p w14:paraId="50CA2C66" w14:textId="77777777">
                  <w:pPr>
                    <w:jc w:val="both"/>
                    <w:rPr>
                      <w:szCs w:val="24"/>
                      <w:lang w:val="lt" w:eastAsia="lt-LT"/>
                    </w:rPr>
                  </w:pPr>
                </w:p>
                <w:sdt>
                  <w:sdtPr>
                    <w:alias w:val="26 p."/>
                    <w:tag w:val="part_f3c00f08df664a43b22e0406b80c4c09"/>
                    <w:lock w:val="sdtLocked"/>
                    <w:richText/>
                  </w:sdtPr>
                  <w:sdtContent>
                    <w:p w14:paraId="34446E23" w14:textId="34747E80">
                      <w:pPr>
                        <w:widowControl w:val="0"/>
                        <w:ind w:firstLine="709"/>
                        <w:jc w:val="both"/>
                        <w:rPr>
                          <w:szCs w:val="24"/>
                          <w:lang w:val="lt" w:eastAsia="lt-LT"/>
                        </w:rPr>
                      </w:pPr>
                      <w:sdt>
                        <w:sdtPr>
                          <w:alias w:val="Numeris"/>
                          <w:tag w:val="nr_f3c00f08df664a43b22e0406b80c4c09"/>
                          <w:lock w:val="sdtLocked"/>
                          <w:richText/>
                        </w:sdtPr>
                        <w:sdtContent>
                          <w:r>
                            <w:rPr>
                              <w:szCs w:val="24"/>
                              <w:lang w:val="lt" w:eastAsia="lt-LT"/>
                            </w:rPr>
                            <w:t>26</w:t>
                          </w:r>
                        </w:sdtContent>
                      </w:sdt>
                      <w:r>
                        <w:rPr>
                          <w:szCs w:val="24"/>
                          <w:lang w:val="lt" w:eastAsia="lt-LT"/>
                        </w:rPr>
                        <w:t xml:space="preserve">. Kartu su priešinės liaukos piktybinio naviko gydymu vaistais skiriami antiemetikai. Antiemetikus skirti ir (ar) tęsti gali gydytojas specialistas ir (ar) šeimos gydytojas, vadovaudamasis medicinos normoje nustatyta kompetencija, gydytojo specialisto </w:t>
                      </w:r>
                      <w:r>
                        <w:rPr>
                          <w:color w:val="000000"/>
                          <w:szCs w:val="24"/>
                          <w:lang w:val="lt" w:eastAsia="lt-LT"/>
                        </w:rPr>
                        <w:t xml:space="preserve">rekomendacijomis ir (ar) vaistinio preparato charakteristikų santrauka. </w:t>
                      </w:r>
                    </w:p>
                  </w:sdtContent>
                </w:sdt>
                <w:sdt>
                  <w:sdtPr>
                    <w:alias w:val="27 p."/>
                    <w:tag w:val="part_5dc3fbd90b024db1aa5479054a64cda5"/>
                    <w:lock w:val="sdtLocked"/>
                    <w:richText/>
                  </w:sdtPr>
                  <w:sdtContent>
                    <w:p w14:paraId="50CA2C68" w14:textId="101D199E">
                      <w:pPr>
                        <w:widowControl w:val="0"/>
                        <w:ind w:firstLine="709"/>
                        <w:jc w:val="both"/>
                        <w:rPr>
                          <w:szCs w:val="24"/>
                          <w:lang w:val="lt" w:eastAsia="lt-LT"/>
                        </w:rPr>
                      </w:pPr>
                      <w:sdt>
                        <w:sdtPr>
                          <w:alias w:val="Numeris"/>
                          <w:tag w:val="nr_5dc3fbd90b024db1aa5479054a64cda5"/>
                          <w:lock w:val="sdtLocked"/>
                          <w:richText/>
                        </w:sdtPr>
                        <w:sdtContent>
                          <w:r>
                            <w:rPr>
                              <w:szCs w:val="24"/>
                              <w:lang w:val="lt" w:eastAsia="lt-LT"/>
                            </w:rPr>
                            <w:t>27</w:t>
                          </w:r>
                        </w:sdtContent>
                      </w:sdt>
                      <w:r>
                        <w:rPr>
                          <w:szCs w:val="24"/>
                          <w:lang w:val="lt" w:eastAsia="lt-LT"/>
                        </w:rPr>
                        <w:t xml:space="preserve">. Dozės parenkamos individualiai ir keičiamos atsižvelgiant į tai, kaip pacientas toleruoja chemoterapiją: </w:t>
                      </w:r>
                    </w:p>
                    <w:sdt>
                      <w:sdtPr>
                        <w:alias w:val="27.1 pp."/>
                        <w:tag w:val="part_18c13aa0283943b7b0d8eeb5bcba40e7"/>
                        <w:lock w:val="sdtLocked"/>
                        <w:richText/>
                      </w:sdtPr>
                      <w:sdtContent>
                        <w:p w14:paraId="50CA2C69" w14:textId="5C123FA1">
                          <w:pPr>
                            <w:widowControl w:val="0"/>
                            <w:ind w:firstLine="709"/>
                            <w:jc w:val="both"/>
                            <w:rPr>
                              <w:szCs w:val="24"/>
                              <w:lang w:val="lt" w:eastAsia="lt-LT"/>
                            </w:rPr>
                          </w:pPr>
                          <w:sdt>
                            <w:sdtPr>
                              <w:alias w:val="Numeris"/>
                              <w:tag w:val="nr_18c13aa0283943b7b0d8eeb5bcba40e7"/>
                              <w:lock w:val="sdtLocked"/>
                              <w:richText/>
                            </w:sdtPr>
                            <w:sdtContent>
                              <w:r>
                                <w:rPr>
                                  <w:szCs w:val="24"/>
                                  <w:lang w:val="lt" w:eastAsia="lt-LT"/>
                                </w:rPr>
                                <w:t>27.1</w:t>
                              </w:r>
                            </w:sdtContent>
                          </w:sdt>
                          <w:r>
                            <w:rPr>
                              <w:szCs w:val="24"/>
                              <w:lang w:val="lt" w:eastAsia="lt-LT"/>
                            </w:rPr>
                            <w:t xml:space="preserve">. per parą skiriama 8–32 mg ondansetrono į veną ir (ar) </w:t>
                          </w:r>
                          <w:r>
                            <w:rPr>
                              <w:i/>
                              <w:iCs/>
                              <w:szCs w:val="24"/>
                              <w:lang w:val="lt" w:eastAsia="lt-LT"/>
                            </w:rPr>
                            <w:t xml:space="preserve">per os </w:t>
                          </w:r>
                          <w:r>
                            <w:rPr>
                              <w:szCs w:val="24"/>
                              <w:lang w:val="lt" w:eastAsia="lt-LT"/>
                            </w:rPr>
                            <w:t>8–24 mg per parą</w:t>
                          </w:r>
                          <w:r>
                            <w:rPr>
                              <w:i/>
                              <w:iCs/>
                              <w:szCs w:val="24"/>
                              <w:lang w:val="lt" w:eastAsia="lt-LT"/>
                            </w:rPr>
                            <w:t xml:space="preserve"> </w:t>
                          </w:r>
                          <w:r>
                            <w:rPr>
                              <w:szCs w:val="24"/>
                              <w:lang w:val="lt" w:eastAsia="lt-LT"/>
                            </w:rPr>
                            <w:t>iki penkių parų, baigus chemoterapiją;</w:t>
                          </w:r>
                        </w:p>
                      </w:sdtContent>
                    </w:sdt>
                    <w:sdt>
                      <w:sdtPr>
                        <w:alias w:val="27.2 pp."/>
                        <w:tag w:val="part_3e244df37f6c4fa9b9ea41d0db673163"/>
                        <w:lock w:val="sdtLocked"/>
                        <w:richText/>
                      </w:sdtPr>
                      <w:sdtContent>
                        <w:p w14:paraId="50CA2C6A" w14:textId="0C1A8A3A">
                          <w:pPr>
                            <w:widowControl w:val="0"/>
                            <w:ind w:firstLine="709"/>
                            <w:jc w:val="both"/>
                            <w:rPr>
                              <w:szCs w:val="24"/>
                              <w:lang w:val="lt" w:eastAsia="lt-LT"/>
                            </w:rPr>
                          </w:pPr>
                          <w:sdt>
                            <w:sdtPr>
                              <w:alias w:val="Numeris"/>
                              <w:tag w:val="nr_3e244df37f6c4fa9b9ea41d0db673163"/>
                              <w:lock w:val="sdtLocked"/>
                              <w:richText/>
                            </w:sdtPr>
                            <w:sdtContent>
                              <w:r>
                                <w:rPr>
                                  <w:color w:val="000000"/>
                                  <w:szCs w:val="24"/>
                                  <w:lang w:val="lt" w:eastAsia="lt-LT"/>
                                </w:rPr>
                                <w:t>27.2</w:t>
                              </w:r>
                            </w:sdtContent>
                          </w:sdt>
                          <w:r>
                            <w:rPr>
                              <w:color w:val="000000"/>
                              <w:szCs w:val="24"/>
                              <w:lang w:val="lt" w:eastAsia="lt-LT"/>
                            </w:rPr>
                            <w:t>. jei gydant didžiausiomis ondansetrono dozėmis nenuslopinamas vėmimas arba jei šis vaistas sukelia nepageidaujamą reakciją, per parą skiriama 250 mg palonosetrono į veną;</w:t>
                          </w:r>
                          <w:r>
                            <w:rPr>
                              <w:szCs w:val="24"/>
                              <w:lang w:val="lt" w:eastAsia="lt-LT"/>
                            </w:rPr>
                            <w:t xml:space="preserve"> </w:t>
                          </w:r>
                        </w:p>
                      </w:sdtContent>
                    </w:sdt>
                    <w:sdt>
                      <w:sdtPr>
                        <w:alias w:val="27.3 pp."/>
                        <w:tag w:val="part_c44f6722e57145f1898d3fac87bcf6e8"/>
                        <w:lock w:val="sdtLocked"/>
                        <w:richText/>
                      </w:sdtPr>
                      <w:sdtContent>
                        <w:p w14:paraId="50CA2C6B" w14:textId="556654A1">
                          <w:pPr>
                            <w:widowControl w:val="0"/>
                            <w:ind w:firstLine="709"/>
                            <w:jc w:val="both"/>
                            <w:rPr>
                              <w:szCs w:val="24"/>
                              <w:lang w:val="lt" w:eastAsia="lt-LT"/>
                            </w:rPr>
                          </w:pPr>
                          <w:sdt>
                            <w:sdtPr>
                              <w:alias w:val="Numeris"/>
                              <w:tag w:val="nr_c44f6722e57145f1898d3fac87bcf6e8"/>
                              <w:lock w:val="sdtLocked"/>
                              <w:richText/>
                            </w:sdtPr>
                            <w:sdtContent>
                              <w:r>
                                <w:rPr>
                                  <w:szCs w:val="24"/>
                                  <w:lang w:val="lt" w:eastAsia="lt-LT"/>
                                </w:rPr>
                                <w:t>27.3</w:t>
                              </w:r>
                            </w:sdtContent>
                          </w:sdt>
                          <w:r>
                            <w:rPr>
                              <w:szCs w:val="24"/>
                              <w:lang w:val="lt" w:eastAsia="lt-LT"/>
                            </w:rPr>
                            <w:t xml:space="preserve">. deksametazonas 6–10 mg per parą </w:t>
                          </w:r>
                          <w:r>
                            <w:rPr>
                              <w:i/>
                              <w:iCs/>
                              <w:szCs w:val="24"/>
                              <w:lang w:val="lt" w:eastAsia="lt-LT"/>
                            </w:rPr>
                            <w:t>per os</w:t>
                          </w:r>
                          <w:r>
                            <w:rPr>
                              <w:szCs w:val="24"/>
                              <w:lang w:val="lt" w:eastAsia="lt-LT"/>
                            </w:rPr>
                            <w:t xml:space="preserve"> ar iki 20 mg per parą į veną ir (ar) prokinetikai (metoklopramidas nuo 5–30 mg per parą) kartu su setronų grupės antiemetikais arba be jų iki dešimties dienų;</w:t>
                          </w:r>
                        </w:p>
                      </w:sdtContent>
                    </w:sdt>
                    <w:sdt>
                      <w:sdtPr>
                        <w:alias w:val="27.4 pp."/>
                        <w:tag w:val="part_89020c4d3d144fdd8f5cdb38e0be0208"/>
                        <w:lock w:val="sdtLocked"/>
                        <w:richText/>
                      </w:sdtPr>
                      <w:sdtContent>
                        <w:p w14:paraId="50CA2C6C" w14:textId="1C2F05F8">
                          <w:pPr>
                            <w:widowControl w:val="0"/>
                            <w:ind w:firstLine="709"/>
                            <w:jc w:val="both"/>
                            <w:rPr>
                              <w:szCs w:val="24"/>
                              <w:lang w:val="lt" w:eastAsia="lt-LT"/>
                            </w:rPr>
                          </w:pPr>
                          <w:sdt>
                            <w:sdtPr>
                              <w:alias w:val="Numeris"/>
                              <w:tag w:val="nr_89020c4d3d144fdd8f5cdb38e0be0208"/>
                              <w:lock w:val="sdtLocked"/>
                              <w:richText/>
                            </w:sdtPr>
                            <w:sdtContent>
                              <w:r>
                                <w:rPr>
                                  <w:szCs w:val="24"/>
                                  <w:lang w:val="lt" w:eastAsia="lt-LT"/>
                                </w:rPr>
                                <w:t>27.4</w:t>
                              </w:r>
                            </w:sdtContent>
                          </w:sdt>
                          <w:r>
                            <w:rPr>
                              <w:szCs w:val="24"/>
                              <w:lang w:val="lt" w:eastAsia="lt-LT"/>
                            </w:rPr>
                            <w:t>. aprepitanto skiriama 125 mg pirmą parą, po 80 mg antrą ir trečią paras tik su ondansetronu, kai skiriant prie</w:t>
                          </w:r>
                          <w:r>
                            <w:rPr>
                              <w:szCs w:val="24"/>
                              <w:lang w:eastAsia="lt-LT"/>
                            </w:rPr>
                            <w:t>šinės liaukos</w:t>
                          </w:r>
                          <w:r>
                            <w:rPr>
                              <w:szCs w:val="24"/>
                              <w:lang w:val="lt" w:eastAsia="lt-LT"/>
                            </w:rPr>
                            <w:t xml:space="preserve"> piktybiniam navikui gydyti skirtus vaistinius preparatus pykinimas ir (ar) vėmimas nenuslopinamas didžiausiomis individualiai skiriamomis ondansetrono dozėmis; </w:t>
                          </w:r>
                        </w:p>
                      </w:sdtContent>
                    </w:sdt>
                    <w:sdt>
                      <w:sdtPr>
                        <w:alias w:val="27.5 pp."/>
                        <w:tag w:val="part_addb817e61674301baf83678c636bfe2"/>
                        <w:lock w:val="sdtLocked"/>
                        <w:richText/>
                      </w:sdtPr>
                      <w:sdtContent>
                        <w:p w14:paraId="50CA2C6D" w14:textId="1F64711E">
                          <w:pPr>
                            <w:widowControl w:val="0"/>
                            <w:ind w:firstLine="709"/>
                            <w:jc w:val="both"/>
                            <w:rPr>
                              <w:szCs w:val="24"/>
                              <w:lang w:val="lt" w:eastAsia="lt-LT"/>
                            </w:rPr>
                          </w:pPr>
                          <w:sdt>
                            <w:sdtPr>
                              <w:alias w:val="Numeris"/>
                              <w:tag w:val="nr_addb817e61674301baf83678c636bfe2"/>
                              <w:lock w:val="sdtLocked"/>
                              <w:richText/>
                            </w:sdtPr>
                            <w:sdtContent>
                              <w:r>
                                <w:rPr>
                                  <w:szCs w:val="24"/>
                                  <w:lang w:val="lt" w:eastAsia="lt-LT"/>
                                </w:rPr>
                                <w:t>27.5</w:t>
                              </w:r>
                            </w:sdtContent>
                          </w:sdt>
                          <w:r>
                            <w:rPr>
                              <w:szCs w:val="24"/>
                              <w:lang w:val="lt" w:eastAsia="lt-LT"/>
                            </w:rPr>
                            <w:t xml:space="preserve">. jei gydant didžiausiomis ondansetrono dozėmis nenuslopinamas vėmimas arba jei šis vaistas sukelia nepageidaujamą reakciją, per parą skiriama 1 kapsulė netupitanto ir palonosetrono hidrochlorido </w:t>
                          </w:r>
                          <w:r>
                            <w:rPr>
                              <w:i/>
                              <w:iCs/>
                              <w:szCs w:val="24"/>
                              <w:lang w:val="lt" w:eastAsia="lt-LT"/>
                            </w:rPr>
                            <w:t>per os</w:t>
                          </w:r>
                          <w:r>
                            <w:rPr>
                              <w:szCs w:val="24"/>
                              <w:lang w:val="lt" w:eastAsia="lt-LT"/>
                            </w:rPr>
                            <w:t xml:space="preserve">. </w:t>
                          </w:r>
                        </w:p>
                      </w:sdtContent>
                    </w:sdt>
                  </w:sdtContent>
                </w:sdt>
                <w:sdt>
                  <w:sdtPr>
                    <w:alias w:val="28 p."/>
                    <w:tag w:val="part_a195f982270f4c509ca7612d7c0d499f"/>
                    <w:lock w:val="sdtLocked"/>
                    <w:richText/>
                  </w:sdtPr>
                  <w:sdtContent>
                    <w:p w14:paraId="50CA2C72" w14:textId="5DD7D46D">
                      <w:pPr>
                        <w:widowControl w:val="0"/>
                        <w:ind w:firstLine="709"/>
                        <w:jc w:val="both"/>
                        <w:rPr>
                          <w:szCs w:val="24"/>
                          <w:lang w:val="lt" w:eastAsia="lt-LT"/>
                        </w:rPr>
                      </w:pPr>
                      <w:sdt>
                        <w:sdtPr>
                          <w:alias w:val="Numeris"/>
                          <w:tag w:val="nr_a195f982270f4c509ca7612d7c0d499f"/>
                          <w:lock w:val="sdtLocked"/>
                          <w:richText/>
                        </w:sdtPr>
                        <w:sdtContent>
                          <w:r>
                            <w:rPr>
                              <w:szCs w:val="24"/>
                              <w:lang w:val="lt" w:eastAsia="lt-LT"/>
                            </w:rPr>
                            <w:t>28</w:t>
                          </w:r>
                        </w:sdtContent>
                      </w:sdt>
                      <w:r>
                        <w:rPr>
                          <w:szCs w:val="24"/>
                          <w:lang w:val="lt" w:eastAsia="lt-LT"/>
                        </w:rPr>
                        <w:t>. Zoledrono rūgštis skiriama:</w:t>
                      </w:r>
                    </w:p>
                    <w:sdt>
                      <w:sdtPr>
                        <w:alias w:val="28.1 pp."/>
                        <w:tag w:val="part_c59fb0fb2d6c41a6a34f4ef85fbba28d"/>
                        <w:lock w:val="sdtLocked"/>
                        <w:richText/>
                      </w:sdtPr>
                      <w:sdtContent>
                        <w:p w14:paraId="50CA2C73" w14:textId="6FC9EEF8">
                          <w:pPr>
                            <w:widowControl w:val="0"/>
                            <w:ind w:firstLine="709"/>
                            <w:jc w:val="both"/>
                            <w:rPr>
                              <w:szCs w:val="24"/>
                              <w:lang w:val="lt" w:eastAsia="lt-LT"/>
                            </w:rPr>
                          </w:pPr>
                          <w:sdt>
                            <w:sdtPr>
                              <w:alias w:val="Numeris"/>
                              <w:tag w:val="nr_c59fb0fb2d6c41a6a34f4ef85fbba28d"/>
                              <w:lock w:val="sdtLocked"/>
                              <w:richText/>
                            </w:sdtPr>
                            <w:sdtContent>
                              <w:r>
                                <w:rPr>
                                  <w:szCs w:val="24"/>
                                  <w:lang w:val="lt" w:eastAsia="lt-LT"/>
                                </w:rPr>
                                <w:t>28.1</w:t>
                              </w:r>
                            </w:sdtContent>
                          </w:sdt>
                          <w:r>
                            <w:rPr>
                              <w:szCs w:val="24"/>
                              <w:lang w:val="lt" w:eastAsia="lt-LT"/>
                            </w:rPr>
                            <w:t>. jeigu yra skausminis sindromas bei su metastazėmis kauluose susijusių komplikacijų prevencijai ir gydymui;</w:t>
                          </w:r>
                        </w:p>
                      </w:sdtContent>
                    </w:sdt>
                    <w:sdt>
                      <w:sdtPr>
                        <w:alias w:val="28.2 pp."/>
                        <w:tag w:val="part_11a2d2d15be2425996ae7e778f047f28"/>
                        <w:lock w:val="sdtLocked"/>
                        <w:richText/>
                      </w:sdtPr>
                      <w:sdtContent>
                        <w:p w14:paraId="50CA2C74" w14:textId="7F894593">
                          <w:pPr>
                            <w:widowControl w:val="0"/>
                            <w:ind w:firstLine="709"/>
                            <w:jc w:val="both"/>
                            <w:rPr>
                              <w:szCs w:val="24"/>
                              <w:lang w:val="lt" w:eastAsia="lt-LT"/>
                            </w:rPr>
                          </w:pPr>
                          <w:sdt>
                            <w:sdtPr>
                              <w:alias w:val="Numeris"/>
                              <w:tag w:val="nr_11a2d2d15be2425996ae7e778f047f28"/>
                              <w:lock w:val="sdtLocked"/>
                              <w:richText/>
                            </w:sdtPr>
                            <w:sdtContent>
                              <w:r>
                                <w:rPr>
                                  <w:szCs w:val="24"/>
                                  <w:lang w:val="lt" w:eastAsia="lt-LT"/>
                                </w:rPr>
                                <w:t>28.2</w:t>
                              </w:r>
                            </w:sdtContent>
                          </w:sdt>
                          <w:r>
                            <w:rPr>
                              <w:szCs w:val="24"/>
                              <w:lang w:val="lt" w:eastAsia="lt-LT"/>
                            </w:rPr>
                            <w:t xml:space="preserve">. kai nustatoma hiperkalcemija dėl išplitusio proceso kauluose. </w:t>
                          </w:r>
                        </w:p>
                      </w:sdtContent>
                    </w:sdt>
                  </w:sdtContent>
                </w:sdt>
                <w:sdt>
                  <w:sdtPr>
                    <w:alias w:val="29 p."/>
                    <w:tag w:val="part_330f22cc36004ad79d2f7dbf18b9018a"/>
                    <w:lock w:val="sdtLocked"/>
                    <w:richText/>
                  </w:sdtPr>
                  <w:sdtContent>
                    <w:p w14:paraId="50CA2C75" w14:textId="5AFC694C">
                      <w:pPr>
                        <w:widowControl w:val="0"/>
                        <w:ind w:firstLine="709"/>
                        <w:jc w:val="both"/>
                        <w:rPr>
                          <w:szCs w:val="24"/>
                          <w:lang w:val="lt" w:eastAsia="lt-LT"/>
                        </w:rPr>
                      </w:pPr>
                      <w:sdt>
                        <w:sdtPr>
                          <w:alias w:val="Numeris"/>
                          <w:tag w:val="nr_330f22cc36004ad79d2f7dbf18b9018a"/>
                          <w:lock w:val="sdtLocked"/>
                          <w:richText/>
                        </w:sdtPr>
                        <w:sdtContent>
                          <w:r>
                            <w:rPr>
                              <w:smallCaps/>
                              <w:szCs w:val="24"/>
                              <w:lang w:val="lt" w:eastAsia="lt-LT"/>
                            </w:rPr>
                            <w:t>29</w:t>
                          </w:r>
                        </w:sdtContent>
                      </w:sdt>
                      <w:r>
                        <w:rPr>
                          <w:smallCaps/>
                          <w:szCs w:val="24"/>
                          <w:lang w:val="lt" w:eastAsia="lt-LT"/>
                        </w:rPr>
                        <w:t xml:space="preserve">. </w:t>
                      </w:r>
                      <w:r>
                        <w:rPr>
                          <w:szCs w:val="24"/>
                          <w:lang w:val="lt" w:eastAsia="lt-LT"/>
                        </w:rPr>
                        <w:t>Bifosfonatas pamidrono rūgštis skiriama naviko sukeltai hiperkalcemijai ir vyraujančioms lizinėms kaulų metastazėms gydyti, jeigu spindulinis gydymas ir gydymas narkotiniais analgetikais yra neveiksmingi.</w:t>
                      </w:r>
                    </w:p>
                  </w:sdtContent>
                </w:sdt>
                <w:sdt>
                  <w:sdtPr>
                    <w:alias w:val="30 p."/>
                    <w:tag w:val="part_89204a3aa61245f48e59d80b464f28d9"/>
                    <w:lock w:val="sdtLocked"/>
                    <w:richText/>
                  </w:sdtPr>
                  <w:sdtContent>
                    <w:p w14:paraId="769EEC84" w14:textId="3122D41C">
                      <w:pPr>
                        <w:widowControl w:val="0"/>
                        <w:ind w:firstLine="709"/>
                        <w:jc w:val="both"/>
                        <w:rPr>
                          <w:szCs w:val="24"/>
                          <w:lang w:val="lt" w:eastAsia="lt-LT"/>
                        </w:rPr>
                      </w:pPr>
                      <w:sdt>
                        <w:sdtPr>
                          <w:alias w:val="Numeris"/>
                          <w:tag w:val="nr_89204a3aa61245f48e59d80b464f28d9"/>
                          <w:lock w:val="sdtLocked"/>
                          <w:richText/>
                        </w:sdtPr>
                        <w:sdtContent>
                          <w:r>
                            <w:rPr>
                              <w:szCs w:val="24"/>
                              <w:lang w:val="lt" w:eastAsia="lt-LT"/>
                            </w:rPr>
                            <w:t>30</w:t>
                          </w:r>
                        </w:sdtContent>
                      </w:sdt>
                      <w:r>
                        <w:rPr>
                          <w:szCs w:val="24"/>
                          <w:lang w:val="lt" w:eastAsia="lt-LT"/>
                        </w:rPr>
                        <w:t>. Denozumabas skiriamas suaugusiųjų, kuriems yra metastazių kauluose, su skeletu susijusių reiškinių (patologinių lūžių, spindulinio poveikio kaulams, nugaros smegenų kompresijos ir pan.) profilaktikai.</w:t>
                      </w:r>
                    </w:p>
                  </w:sdtContent>
                </w:sdt>
                <w:sdt>
                  <w:sdtPr>
                    <w:alias w:val="31 p."/>
                    <w:tag w:val="part_dbe28de308624fb4b0442f06d84c40ea"/>
                    <w:lock w:val="sdtLocked"/>
                    <w:richText/>
                  </w:sdtPr>
                  <w:sdtContent>
                    <w:p w14:paraId="527E7422" w14:textId="02A34F55">
                      <w:pPr>
                        <w:widowControl w:val="0"/>
                        <w:ind w:firstLine="709"/>
                        <w:jc w:val="both"/>
                        <w:rPr>
                          <w:szCs w:val="24"/>
                          <w:lang w:val="lt" w:eastAsia="lt-LT"/>
                        </w:rPr>
                      </w:pPr>
                      <w:sdt>
                        <w:sdtPr>
                          <w:alias w:val="Numeris"/>
                          <w:tag w:val="nr_dbe28de308624fb4b0442f06d84c40ea"/>
                          <w:lock w:val="sdtLocked"/>
                          <w:richText/>
                        </w:sdtPr>
                        <w:sdtContent>
                          <w:r>
                            <w:rPr>
                              <w:szCs w:val="24"/>
                              <w:lang w:val="lt" w:eastAsia="lt-LT"/>
                            </w:rPr>
                            <w:t>31</w:t>
                          </w:r>
                        </w:sdtContent>
                      </w:sdt>
                      <w:r>
                        <w:rPr>
                          <w:szCs w:val="24"/>
                          <w:lang w:val="lt" w:eastAsia="lt-LT"/>
                        </w:rPr>
                        <w:t>. Granuliocitų kolonijas stimuliuojantys faktoriai (pvz., filgrastimas) skiriami:</w:t>
                      </w:r>
                    </w:p>
                    <w:sdt>
                      <w:sdtPr>
                        <w:alias w:val="31.1 pp."/>
                        <w:tag w:val="part_9ea67e478a0c4a4abfcbd9be1e4541ef"/>
                        <w:lock w:val="sdtLocked"/>
                        <w:richText/>
                      </w:sdtPr>
                      <w:sdtContent>
                        <w:p w14:paraId="583A0F25" w14:textId="066E9012">
                          <w:pPr>
                            <w:widowControl w:val="0"/>
                            <w:ind w:firstLine="709"/>
                            <w:jc w:val="both"/>
                            <w:rPr>
                              <w:szCs w:val="24"/>
                              <w:lang w:val="lt" w:eastAsia="lt-LT"/>
                            </w:rPr>
                          </w:pPr>
                          <w:sdt>
                            <w:sdtPr>
                              <w:alias w:val="Numeris"/>
                              <w:tag w:val="nr_9ea67e478a0c4a4abfcbd9be1e4541ef"/>
                              <w:lock w:val="sdtLocked"/>
                              <w:richText/>
                            </w:sdtPr>
                            <w:sdtContent>
                              <w:r>
                                <w:rPr>
                                  <w:szCs w:val="24"/>
                                  <w:lang w:val="lt" w:eastAsia="lt-LT"/>
                                </w:rPr>
                                <w:t>31.1</w:t>
                              </w:r>
                            </w:sdtContent>
                          </w:sdt>
                          <w:r>
                            <w:rPr>
                              <w:szCs w:val="24"/>
                              <w:lang w:val="lt" w:eastAsia="lt-LT"/>
                            </w:rPr>
                            <w:t>. pirminei febrilinės neutropenijos profilaktikai esant aukštai febrilinės neutropenijos rizikai;</w:t>
                          </w:r>
                        </w:p>
                      </w:sdtContent>
                    </w:sdt>
                    <w:sdt>
                      <w:sdtPr>
                        <w:alias w:val="31.2 pp."/>
                        <w:tag w:val="part_6fc33e5abf7d41dc95f1177d602c2383"/>
                        <w:lock w:val="sdtLocked"/>
                        <w:richText/>
                      </w:sdtPr>
                      <w:sdtContent>
                        <w:p w14:paraId="4663F3A1" w14:textId="6C051A44">
                          <w:pPr>
                            <w:widowControl w:val="0"/>
                            <w:ind w:firstLine="709"/>
                            <w:jc w:val="both"/>
                            <w:rPr>
                              <w:szCs w:val="24"/>
                              <w:lang w:val="lt" w:eastAsia="lt-LT"/>
                            </w:rPr>
                          </w:pPr>
                          <w:sdt>
                            <w:sdtPr>
                              <w:alias w:val="Numeris"/>
                              <w:tag w:val="nr_6fc33e5abf7d41dc95f1177d602c2383"/>
                              <w:lock w:val="sdtLocked"/>
                              <w:richText/>
                            </w:sdtPr>
                            <w:sdtContent>
                              <w:r>
                                <w:rPr>
                                  <w:szCs w:val="24"/>
                                  <w:lang w:val="lt" w:eastAsia="lt-LT"/>
                                </w:rPr>
                                <w:t>31.2</w:t>
                              </w:r>
                            </w:sdtContent>
                          </w:sdt>
                          <w:r>
                            <w:rPr>
                              <w:szCs w:val="24"/>
                              <w:lang w:val="lt" w:eastAsia="lt-LT"/>
                            </w:rPr>
                            <w:t xml:space="preserve">. antrinei febrilinės neutropenijos profilaktikai, baigus gydymą pagal kitas gydymo schemas, ne ilgesniam kaip penkiolikos dienų gydymo kursui. </w:t>
                          </w:r>
                        </w:p>
                      </w:sdtContent>
                    </w:sdt>
                  </w:sdtContent>
                </w:sdt>
                <w:sdt>
                  <w:sdtPr>
                    <w:alias w:val="32 p."/>
                    <w:tag w:val="part_d80d62d2322446819662bd0306a0c798"/>
                    <w:lock w:val="sdtLocked"/>
                    <w:richText/>
                  </w:sdtPr>
                  <w:sdtContent>
                    <w:p w14:paraId="0AE4808B" w14:textId="785609EE">
                      <w:pPr>
                        <w:widowControl w:val="0"/>
                        <w:ind w:firstLine="709"/>
                        <w:jc w:val="both"/>
                        <w:rPr>
                          <w:szCs w:val="24"/>
                          <w:lang w:val="lt" w:eastAsia="lt-LT"/>
                        </w:rPr>
                      </w:pPr>
                      <w:sdt>
                        <w:sdtPr>
                          <w:alias w:val="Numeris"/>
                          <w:tag w:val="nr_d80d62d2322446819662bd0306a0c798"/>
                          <w:lock w:val="sdtLocked"/>
                          <w:richText/>
                        </w:sdtPr>
                        <w:sdtContent>
                          <w:r>
                            <w:rPr>
                              <w:szCs w:val="24"/>
                              <w:lang w:val="lt" w:eastAsia="lt-LT"/>
                            </w:rPr>
                            <w:t>32</w:t>
                          </w:r>
                        </w:sdtContent>
                      </w:sdt>
                      <w:r>
                        <w:rPr>
                          <w:szCs w:val="24"/>
                          <w:lang w:val="lt" w:eastAsia="lt-LT"/>
                        </w:rPr>
                        <w:t>. Filgrastimą skirti gali tik gydytojas specialistas, tęsti – gydytojas specialistas ir (ar) šeimos gydytojas. Šeimos gydytojas gali tęsti gydymą filgrastimu esant šioms sąlygoms:</w:t>
                      </w:r>
                    </w:p>
                    <w:sdt>
                      <w:sdtPr>
                        <w:alias w:val="32.1 pp."/>
                        <w:tag w:val="part_9bd40b4eb67c4cbc8969910bdf8b78b7"/>
                        <w:lock w:val="sdtLocked"/>
                        <w:richText/>
                      </w:sdtPr>
                      <w:sdtContent>
                        <w:p w14:paraId="7B240E7D" w14:textId="102F854C">
                          <w:pPr>
                            <w:widowControl w:val="0"/>
                            <w:ind w:firstLine="709"/>
                            <w:jc w:val="both"/>
                            <w:rPr>
                              <w:szCs w:val="24"/>
                              <w:lang w:val="lt" w:eastAsia="lt-LT"/>
                            </w:rPr>
                          </w:pPr>
                          <w:sdt>
                            <w:sdtPr>
                              <w:alias w:val="Numeris"/>
                              <w:tag w:val="nr_9bd40b4eb67c4cbc8969910bdf8b78b7"/>
                              <w:lock w:val="sdtLocked"/>
                              <w:richText/>
                            </w:sdtPr>
                            <w:sdtContent>
                              <w:r>
                                <w:rPr>
                                  <w:szCs w:val="24"/>
                                  <w:lang w:val="lt" w:eastAsia="lt-LT"/>
                                </w:rPr>
                                <w:t>32.1</w:t>
                              </w:r>
                            </w:sdtContent>
                          </w:sdt>
                          <w:r>
                            <w:rPr>
                              <w:szCs w:val="24"/>
                              <w:lang w:val="lt" w:eastAsia="lt-LT"/>
                            </w:rPr>
                            <w:t xml:space="preserve">. gydytojas specialistas yra paskyręs paciento gydymą filgrastimu; </w:t>
                          </w:r>
                        </w:p>
                      </w:sdtContent>
                    </w:sdt>
                    <w:sdt>
                      <w:sdtPr>
                        <w:alias w:val="32.2 pp."/>
                        <w:tag w:val="part_a361b315af6d4372940bb98fc48ab4cd"/>
                        <w:lock w:val="sdtLocked"/>
                        <w:richText/>
                      </w:sdtPr>
                      <w:sdtContent>
                        <w:p w14:paraId="314CC1E1" w14:textId="0E362916">
                          <w:pPr>
                            <w:widowControl w:val="0"/>
                            <w:ind w:firstLine="709"/>
                            <w:jc w:val="both"/>
                            <w:rPr>
                              <w:szCs w:val="24"/>
                              <w:lang w:val="lt" w:eastAsia="lt-LT"/>
                            </w:rPr>
                          </w:pPr>
                          <w:sdt>
                            <w:sdtPr>
                              <w:alias w:val="Numeris"/>
                              <w:tag w:val="nr_a361b315af6d4372940bb98fc48ab4cd"/>
                              <w:lock w:val="sdtLocked"/>
                              <w:richText/>
                            </w:sdtPr>
                            <w:sdtContent>
                              <w:r>
                                <w:rPr>
                                  <w:szCs w:val="24"/>
                                  <w:lang w:val="lt" w:eastAsia="lt-LT"/>
                                </w:rPr>
                                <w:t>32.2</w:t>
                              </w:r>
                            </w:sdtContent>
                          </w:sdt>
                          <w:r>
                            <w:rPr>
                              <w:szCs w:val="24"/>
                              <w:lang w:val="lt" w:eastAsia="lt-LT"/>
                            </w:rPr>
                            <w:t>. po 3 dienų gydymo filgrastimu šeimos gydytojo paskyrimu pacientui atliekamas bendras kraujo tyrimas ir kiti tyrimai pagal poreikį;</w:t>
                          </w:r>
                        </w:p>
                      </w:sdtContent>
                    </w:sdt>
                    <w:sdt>
                      <w:sdtPr>
                        <w:alias w:val="32.3 pp."/>
                        <w:tag w:val="part_6ff9d5da5acb46ce8337d7f224f52cf4"/>
                        <w:lock w:val="sdtLocked"/>
                        <w:richText/>
                      </w:sdtPr>
                      <w:sdtContent>
                        <w:p w14:paraId="6641F59E" w14:textId="2937F49B">
                          <w:pPr>
                            <w:widowControl w:val="0"/>
                            <w:ind w:firstLine="709"/>
                            <w:jc w:val="both"/>
                            <w:rPr>
                              <w:szCs w:val="24"/>
                              <w:lang w:val="lt" w:eastAsia="lt-LT"/>
                            </w:rPr>
                          </w:pPr>
                          <w:sdt>
                            <w:sdtPr>
                              <w:alias w:val="Numeris"/>
                              <w:tag w:val="nr_6ff9d5da5acb46ce8337d7f224f52cf4"/>
                              <w:lock w:val="sdtLocked"/>
                              <w:richText/>
                            </w:sdtPr>
                            <w:sdtContent>
                              <w:r>
                                <w:rPr>
                                  <w:szCs w:val="24"/>
                                  <w:lang w:val="lt" w:eastAsia="lt-LT"/>
                                </w:rPr>
                                <w:t>32.3</w:t>
                              </w:r>
                            </w:sdtContent>
                          </w:sdt>
                          <w:r>
                            <w:rPr>
                              <w:szCs w:val="24"/>
                              <w:lang w:val="lt" w:eastAsia="lt-LT"/>
                            </w:rPr>
                            <w:t>. jeigu atlikus bendrą kraujo tyrimą nustatoma neutropenija, šeimos gydytojas gali pratęsti gydymą filgrastimu, bet ne ilgiau kaip 3 dienas.</w:t>
                          </w:r>
                        </w:p>
                      </w:sdtContent>
                    </w:sdt>
                  </w:sdtContent>
                </w:sdt>
                <w:sdt>
                  <w:sdtPr>
                    <w:alias w:val="33 p."/>
                    <w:tag w:val="part_31fa85f130e64b6482d0c47f33c69779"/>
                    <w:lock w:val="sdtLocked"/>
                    <w:richText/>
                  </w:sdtPr>
                  <w:sdtContent>
                    <w:p w14:paraId="1EAAA287" w14:textId="07F6957A">
                      <w:pPr>
                        <w:widowControl w:val="0"/>
                        <w:ind w:firstLine="709"/>
                        <w:jc w:val="both"/>
                        <w:rPr>
                          <w:szCs w:val="24"/>
                          <w:lang w:val="lt" w:eastAsia="lt-LT"/>
                        </w:rPr>
                      </w:pPr>
                      <w:sdt>
                        <w:sdtPr>
                          <w:alias w:val="Numeris"/>
                          <w:tag w:val="nr_31fa85f130e64b6482d0c47f33c69779"/>
                          <w:lock w:val="sdtLocked"/>
                          <w:richText/>
                        </w:sdtPr>
                        <w:sdtContent>
                          <w:r>
                            <w:rPr>
                              <w:szCs w:val="24"/>
                              <w:lang w:val="lt" w:eastAsia="lt-LT"/>
                            </w:rPr>
                            <w:t>33</w:t>
                          </w:r>
                        </w:sdtContent>
                      </w:sdt>
                      <w:r>
                        <w:rPr>
                          <w:szCs w:val="24"/>
                          <w:lang w:val="lt" w:eastAsia="lt-LT"/>
                        </w:rPr>
                        <w:t>. Gydymas filgrastimu turi būti nutraukiamas ne vėliau kaip likus 24 valandoms iki naujo chemoterapijos ciklo pradžios. Filgrastimo dozė priklauso nuo paciento svorio.</w:t>
                      </w:r>
                    </w:p>
                  </w:sdtContent>
                </w:sdt>
                <w:sdt>
                  <w:sdtPr>
                    <w:alias w:val="34 p."/>
                    <w:tag w:val="part_b7b1d1d8cdc249109a1fd1d1e126b7d5"/>
                    <w:lock w:val="sdtLocked"/>
                    <w:richText/>
                  </w:sdtPr>
                  <w:sdtContent>
                    <w:p w14:paraId="50CA2C77" w14:textId="7C5353A0">
                      <w:pPr>
                        <w:widowControl w:val="0"/>
                        <w:ind w:firstLine="709"/>
                        <w:jc w:val="both"/>
                        <w:rPr>
                          <w:szCs w:val="24"/>
                          <w:lang w:val="lt" w:eastAsia="lt-LT"/>
                        </w:rPr>
                      </w:pPr>
                      <w:sdt>
                        <w:sdtPr>
                          <w:alias w:val="Numeris"/>
                          <w:tag w:val="nr_b7b1d1d8cdc249109a1fd1d1e126b7d5"/>
                          <w:lock w:val="sdtLocked"/>
                          <w:richText/>
                        </w:sdtPr>
                        <w:sdtContent>
                          <w:r>
                            <w:rPr>
                              <w:szCs w:val="24"/>
                              <w:lang w:val="lt" w:eastAsia="lt-LT"/>
                            </w:rPr>
                            <w:t>34</w:t>
                          </w:r>
                        </w:sdtContent>
                      </w:sdt>
                      <w:r>
                        <w:rPr>
                          <w:szCs w:val="24"/>
                          <w:lang w:val="lt" w:eastAsia="lt-LT"/>
                        </w:rPr>
                        <w:t xml:space="preserve">. Kitą nei nurodytas Aprašo 26–33 punktuose simptominį gydymą, atsižvelgdami į paciento sveikatos būklę ir poreikį, skiria sveikatos priežiūros specialistai pagal kompetenciją. </w:t>
                      </w:r>
                    </w:p>
                  </w:sdtContent>
                </w:sdt>
                <w:sdt>
                  <w:sdtPr>
                    <w:alias w:val="35 p."/>
                    <w:tag w:val="part_fe60ce593d94417cbd69f43f3d7ee9f7"/>
                    <w:lock w:val="sdtLocked"/>
                    <w:richText/>
                  </w:sdtPr>
                  <w:sdtContent>
                    <w:p w14:paraId="23094D12" w14:textId="260B8BE9">
                      <w:pPr>
                        <w:widowControl w:val="0"/>
                        <w:ind w:firstLine="709"/>
                        <w:jc w:val="both"/>
                        <w:rPr>
                          <w:szCs w:val="24"/>
                          <w:lang w:val="lt" w:eastAsia="lt-LT"/>
                        </w:rPr>
                      </w:pPr>
                      <w:sdt>
                        <w:sdtPr>
                          <w:alias w:val="Numeris"/>
                          <w:tag w:val="nr_fe60ce593d94417cbd69f43f3d7ee9f7"/>
                          <w:lock w:val="sdtLocked"/>
                          <w:richText/>
                        </w:sdtPr>
                        <w:sdtContent>
                          <w:r>
                            <w:rPr>
                              <w:szCs w:val="24"/>
                              <w:lang w:val="lt" w:eastAsia="lt-LT"/>
                            </w:rPr>
                            <w:t>35</w:t>
                          </w:r>
                        </w:sdtContent>
                      </w:sdt>
                      <w:r>
                        <w:rPr>
                          <w:szCs w:val="24"/>
                          <w:lang w:val="lt" w:eastAsia="lt-LT"/>
                        </w:rPr>
                        <w:t xml:space="preserve">. </w:t>
                      </w:r>
                      <w:r>
                        <w:rPr>
                          <w:color w:val="000000"/>
                          <w:szCs w:val="24"/>
                          <w:lang w:val="lt" w:eastAsia="lt-LT"/>
                        </w:rPr>
                        <w:t> Skausmo diagnozavimo ir gydymo paslaugos teikiamos vadovaujantis Skausmo diagnozavimo ir gydymo paslaugų suaugusiesiems ir vaikams teikimo reikalavimų ir šių paslaugų išlaidų apmokėjimo tvarkos aprašu, patvirtintu Lietuvos Respublikos sveikatos apsaugos ministro 2003 m. liepos 11 d. įsakymu Nr. V-430 „D</w:t>
                      </w:r>
                      <w:r>
                        <w:rPr>
                          <w:color w:val="000000"/>
                          <w:szCs w:val="24"/>
                          <w:lang w:eastAsia="lt-LT"/>
                        </w:rPr>
                        <w:t xml:space="preserve">ėl </w:t>
                      </w:r>
                      <w:r>
                        <w:rPr>
                          <w:color w:val="000000"/>
                          <w:szCs w:val="24"/>
                          <w:lang w:val="lt" w:eastAsia="lt-LT"/>
                        </w:rPr>
                        <w:t>Skausmo diagnozavimo ir gydymo paslaugų suaugusiesiems ir vaikams teikimo reikalavimų ir šių paslaugų išlaidų apmokėjimo tvarkos aprašo patvirtinimo“.</w:t>
                      </w:r>
                    </w:p>
                    <w:p w14:paraId="50CA2C78" w14:textId="77777777">
                      <w:pPr>
                        <w:tabs>
                          <w:tab w:val="left" w:pos="1296"/>
                        </w:tabs>
                        <w:jc w:val="both"/>
                        <w:rPr>
                          <w:szCs w:val="24"/>
                          <w:lang w:val="lt" w:eastAsia="lt-LT"/>
                        </w:rPr>
                      </w:pPr>
                    </w:p>
                  </w:sdtContent>
                </w:sdt>
              </w:sdtContent>
            </w:sdt>
          </w:sdtContent>
        </w:sdt>
        <w:sdt>
          <w:sdtPr>
            <w:alias w:val="skyrius"/>
            <w:tag w:val="part_de4d0c254d9349e598780cd75f80f10f"/>
            <w:lock w:val="sdtLocked"/>
            <w:richText/>
          </w:sdtPr>
          <w:sdtContent>
            <w:p w14:paraId="50CA2C79" w14:textId="77777777">
              <w:pPr>
                <w:tabs>
                  <w:tab w:val="left" w:pos="1296"/>
                </w:tabs>
                <w:jc w:val="center"/>
                <w:rPr>
                  <w:b/>
                  <w:bCs/>
                  <w:color w:val="000000"/>
                  <w:szCs w:val="24"/>
                  <w:lang w:val="lt" w:eastAsia="lt-LT"/>
                </w:rPr>
              </w:pPr>
              <w:sdt>
                <w:sdtPr>
                  <w:alias w:val="Numeris"/>
                  <w:tag w:val="nr_de4d0c254d9349e598780cd75f80f10f"/>
                  <w:lock w:val="sdtLocked"/>
                  <w:richText/>
                </w:sdtPr>
                <w:sdtContent>
                  <w:r>
                    <w:rPr>
                      <w:b/>
                      <w:bCs/>
                      <w:color w:val="000000"/>
                      <w:szCs w:val="24"/>
                      <w:lang w:val="lt" w:eastAsia="lt-LT"/>
                    </w:rPr>
                    <w:t>V</w:t>
                  </w:r>
                </w:sdtContent>
              </w:sdt>
              <w:r>
                <w:rPr>
                  <w:b/>
                  <w:bCs/>
                  <w:color w:val="000000"/>
                  <w:szCs w:val="24"/>
                  <w:lang w:val="lt" w:eastAsia="lt-LT"/>
                </w:rPr>
                <w:t xml:space="preserve"> SKYRIUS</w:t>
              </w:r>
            </w:p>
            <w:p w14:paraId="50CA2C7A" w14:textId="77777777">
              <w:pPr>
                <w:tabs>
                  <w:tab w:val="left" w:pos="1296"/>
                </w:tabs>
                <w:jc w:val="center"/>
                <w:rPr>
                  <w:b/>
                  <w:bCs/>
                  <w:color w:val="000000"/>
                  <w:szCs w:val="24"/>
                  <w:lang w:val="lt" w:eastAsia="lt-LT"/>
                </w:rPr>
              </w:pPr>
              <w:sdt>
                <w:sdtPr>
                  <w:alias w:val="Pavadinimas"/>
                  <w:tag w:val="title_de4d0c254d9349e598780cd75f80f10f"/>
                  <w:lock w:val="sdtLocked"/>
                  <w:richText/>
                </w:sdtPr>
                <w:sdtContent>
                  <w:r>
                    <w:rPr>
                      <w:b/>
                      <w:bCs/>
                      <w:color w:val="000000"/>
                      <w:szCs w:val="24"/>
                      <w:lang w:val="lt" w:eastAsia="lt-LT"/>
                    </w:rPr>
                    <w:t>AMBULATORINIO GYDYMO PSDF BIUDŽETO LĖŠOMIS KOMPENSUOJAMAIS</w:t>
                  </w:r>
                  <w:r>
                    <w:rPr>
                      <w:color w:val="000000"/>
                      <w:szCs w:val="24"/>
                      <w:lang w:val="lt" w:eastAsia="lt-LT"/>
                    </w:rPr>
                    <w:t xml:space="preserve"> </w:t>
                  </w:r>
                  <w:r>
                    <w:rPr>
                      <w:b/>
                      <w:bCs/>
                      <w:color w:val="000000"/>
                      <w:szCs w:val="24"/>
                      <w:lang w:val="lt" w:eastAsia="lt-LT"/>
                    </w:rPr>
                    <w:t xml:space="preserve">VAISTAIS EFEKTYVUMO VERTINIMO TVARKA </w:t>
                  </w:r>
                </w:sdtContent>
              </w:sdt>
            </w:p>
            <w:p w14:paraId="50CA2C7B" w14:textId="77777777">
              <w:pPr>
                <w:tabs>
                  <w:tab w:val="left" w:pos="1296"/>
                </w:tabs>
                <w:jc w:val="center"/>
                <w:rPr>
                  <w:b/>
                  <w:bCs/>
                  <w:color w:val="000000"/>
                  <w:szCs w:val="24"/>
                  <w:lang w:val="lt" w:eastAsia="lt-LT"/>
                </w:rPr>
              </w:pPr>
            </w:p>
            <w:sdt>
              <w:sdtPr>
                <w:alias w:val="36 p."/>
                <w:tag w:val="part_3f1be385fe2e4af59ee2331369978833"/>
                <w:lock w:val="sdtLocked"/>
                <w:richText/>
              </w:sdtPr>
              <w:sdtContent>
                <w:p w14:paraId="50CA2C7C" w14:textId="0F6166F8">
                  <w:pPr>
                    <w:tabs>
                      <w:tab w:val="left" w:pos="1296"/>
                    </w:tabs>
                    <w:ind w:firstLine="709"/>
                    <w:jc w:val="both"/>
                    <w:rPr>
                      <w:color w:val="000000"/>
                      <w:szCs w:val="24"/>
                      <w:lang w:val="lt" w:eastAsia="lt-LT"/>
                    </w:rPr>
                  </w:pPr>
                  <w:sdt>
                    <w:sdtPr>
                      <w:alias w:val="Numeris"/>
                      <w:tag w:val="nr_3f1be385fe2e4af59ee2331369978833"/>
                      <w:lock w:val="sdtLocked"/>
                      <w:richText/>
                    </w:sdtPr>
                    <w:sdtContent>
                      <w:r>
                        <w:rPr>
                          <w:szCs w:val="24"/>
                          <w:lang w:val="lt" w:eastAsia="lt-LT"/>
                        </w:rPr>
                        <w:t>36</w:t>
                      </w:r>
                    </w:sdtContent>
                  </w:sdt>
                  <w:r>
                    <w:rPr>
                      <w:szCs w:val="24"/>
                      <w:lang w:val="lt" w:eastAsia="lt-LT"/>
                    </w:rPr>
                    <w:t xml:space="preserve">. Vertinant atsaką į gydymą hormoniniais ir chemoterapiniais </w:t>
                  </w:r>
                  <w:r>
                    <w:rPr>
                      <w:color w:val="000000"/>
                      <w:szCs w:val="24"/>
                      <w:lang w:val="lt" w:eastAsia="lt-LT"/>
                    </w:rPr>
                    <w:t xml:space="preserve">vaistais </w:t>
                  </w:r>
                  <w:r>
                    <w:rPr>
                      <w:szCs w:val="24"/>
                      <w:lang w:val="lt" w:eastAsia="lt-LT"/>
                    </w:rPr>
                    <w:t xml:space="preserve">aktyviojo gydymo laikotarpiu </w:t>
                  </w:r>
                  <w:r>
                    <w:rPr>
                      <w:color w:val="000000"/>
                      <w:szCs w:val="24"/>
                      <w:lang w:val="lt" w:eastAsia="lt-LT"/>
                    </w:rPr>
                    <w:t>kas 3 mėnesius vertinami ligos simptomai ir PSA (ir testosterono) tyrimo rezultatai ir, įvertinus PSA augimo dinamiką, vertinami RECIST kriterijai ir PCWG3 kriterijai.</w:t>
                  </w:r>
                </w:p>
              </w:sdtContent>
            </w:sdt>
            <w:sdt>
              <w:sdtPr>
                <w:alias w:val="37 p."/>
                <w:tag w:val="part_6531c05d8a0f4f71b69e75c54b66b0ad"/>
                <w:lock w:val="sdtLocked"/>
                <w:richText/>
              </w:sdtPr>
              <w:sdtContent>
                <w:p w14:paraId="50CA2C7D" w14:textId="7BA3B160">
                  <w:pPr>
                    <w:tabs>
                      <w:tab w:val="left" w:pos="1296"/>
                    </w:tabs>
                    <w:ind w:firstLine="709"/>
                    <w:jc w:val="both"/>
                    <w:rPr>
                      <w:color w:val="000000"/>
                      <w:szCs w:val="24"/>
                      <w:lang w:val="lt" w:eastAsia="lt-LT"/>
                    </w:rPr>
                  </w:pPr>
                  <w:sdt>
                    <w:sdtPr>
                      <w:alias w:val="Numeris"/>
                      <w:tag w:val="nr_6531c05d8a0f4f71b69e75c54b66b0ad"/>
                      <w:lock w:val="sdtLocked"/>
                      <w:richText/>
                    </w:sdtPr>
                    <w:sdtContent>
                      <w:r>
                        <w:rPr>
                          <w:color w:val="000000"/>
                          <w:szCs w:val="24"/>
                          <w:lang w:val="lt" w:eastAsia="lt-LT"/>
                        </w:rPr>
                        <w:t>37</w:t>
                      </w:r>
                    </w:sdtContent>
                  </w:sdt>
                  <w:r>
                    <w:rPr>
                      <w:color w:val="000000"/>
                      <w:szCs w:val="24"/>
                      <w:lang w:val="lt" w:eastAsia="lt-LT"/>
                    </w:rPr>
                    <w:t>. Ambulatorinio gydymo PSDF biudžeto lėšomis kompensuojamais vaistais efektyvumas vertinamas pagal 4 lentelėje pateiktus vertinimo kriterijus.</w:t>
                  </w:r>
                </w:p>
                <w:p w14:paraId="0C2299FD" w14:textId="77777777">
                  <w:pPr>
                    <w:tabs>
                      <w:tab w:val="left" w:pos="1296"/>
                    </w:tabs>
                    <w:jc w:val="both"/>
                    <w:rPr>
                      <w:b/>
                      <w:bCs/>
                      <w:color w:val="000000"/>
                      <w:szCs w:val="24"/>
                      <w:lang w:val="lt" w:eastAsia="lt-LT"/>
                    </w:rPr>
                  </w:pPr>
                </w:p>
                <w:p w14:paraId="50CA2C7E" w14:textId="5E660D8C">
                  <w:pPr>
                    <w:tabs>
                      <w:tab w:val="left" w:pos="1296"/>
                    </w:tabs>
                    <w:jc w:val="both"/>
                    <w:rPr>
                      <w:color w:val="000000"/>
                      <w:szCs w:val="24"/>
                      <w:lang w:val="lt" w:eastAsia="lt-LT"/>
                    </w:rPr>
                  </w:pPr>
                  <w:r>
                    <w:rPr>
                      <w:b/>
                      <w:bCs/>
                      <w:color w:val="000000"/>
                      <w:szCs w:val="24"/>
                      <w:lang w:val="lt" w:eastAsia="lt-LT"/>
                    </w:rPr>
                    <w:t>4 lentelė</w:t>
                  </w:r>
                  <w:r>
                    <w:rPr>
                      <w:color w:val="000000"/>
                      <w:szCs w:val="24"/>
                      <w:lang w:val="lt" w:eastAsia="lt-LT"/>
                    </w:rPr>
                    <w:t>. Ambulatorinio gydymo PSDF biudžeto lėšomis kompensuojamais vaistais efektyvumo vertinimo kriterijai</w:t>
                  </w:r>
                </w:p>
                <w:tbl>
                  <w:tblPr>
                    <w:tblW w:w="94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2"/>
                    <w:gridCol w:w="2552"/>
                    <w:gridCol w:w="3544"/>
                    <w:gridCol w:w="2830"/>
                  </w:tblGrid>
                  <w:tr w14:paraId="50CA2C83" w14:textId="77777777">
                    <w:tc>
                      <w:tcPr>
                        <w:tcW w:w="562" w:type="dxa"/>
                      </w:tcPr>
                      <w:p w14:paraId="50CA2C7F" w14:textId="77777777">
                        <w:pPr>
                          <w:tabs>
                            <w:tab w:val="left" w:pos="1296"/>
                          </w:tabs>
                          <w:jc w:val="both"/>
                          <w:rPr>
                            <w:szCs w:val="24"/>
                            <w:lang w:val="lt" w:eastAsia="lt-LT"/>
                          </w:rPr>
                        </w:pPr>
                        <w:r>
                          <w:rPr>
                            <w:szCs w:val="24"/>
                            <w:lang w:val="lt" w:eastAsia="lt-LT"/>
                          </w:rPr>
                          <w:t xml:space="preserve">Eil. Nr. </w:t>
                        </w:r>
                      </w:p>
                    </w:tc>
                    <w:tc>
                      <w:tcPr>
                        <w:tcW w:w="2552" w:type="dxa"/>
                      </w:tcPr>
                      <w:p w14:paraId="50CA2C80" w14:textId="77777777">
                        <w:pPr>
                          <w:tabs>
                            <w:tab w:val="left" w:pos="1296"/>
                          </w:tabs>
                          <w:jc w:val="center"/>
                          <w:rPr>
                            <w:szCs w:val="24"/>
                            <w:lang w:val="lt" w:eastAsia="lt-LT"/>
                          </w:rPr>
                        </w:pPr>
                        <w:r>
                          <w:rPr>
                            <w:szCs w:val="24"/>
                            <w:lang w:val="lt" w:eastAsia="lt-LT"/>
                          </w:rPr>
                          <w:t>Vertinamas gydymas</w:t>
                        </w:r>
                      </w:p>
                    </w:tc>
                    <w:tc>
                      <w:tcPr>
                        <w:tcW w:w="3544" w:type="dxa"/>
                      </w:tcPr>
                      <w:p w14:paraId="50CA2C81" w14:textId="77777777">
                        <w:pPr>
                          <w:tabs>
                            <w:tab w:val="left" w:pos="1296"/>
                          </w:tabs>
                          <w:jc w:val="center"/>
                          <w:rPr>
                            <w:szCs w:val="24"/>
                            <w:lang w:val="lt" w:eastAsia="lt-LT"/>
                          </w:rPr>
                        </w:pPr>
                        <w:r>
                          <w:rPr>
                            <w:szCs w:val="24"/>
                            <w:lang w:val="lt" w:eastAsia="lt-LT"/>
                          </w:rPr>
                          <w:t>Vertinimo tvarka</w:t>
                        </w:r>
                      </w:p>
                    </w:tc>
                    <w:tc>
                      <w:tcPr>
                        <w:tcW w:w="2830" w:type="dxa"/>
                      </w:tcPr>
                      <w:p w14:paraId="50CA2C82" w14:textId="77777777">
                        <w:pPr>
                          <w:tabs>
                            <w:tab w:val="left" w:pos="1296"/>
                          </w:tabs>
                          <w:jc w:val="center"/>
                          <w:rPr>
                            <w:szCs w:val="24"/>
                            <w:lang w:val="lt" w:eastAsia="lt-LT"/>
                          </w:rPr>
                        </w:pPr>
                        <w:r>
                          <w:rPr>
                            <w:szCs w:val="24"/>
                            <w:lang w:val="lt" w:eastAsia="lt-LT"/>
                          </w:rPr>
                          <w:t>Efektyvaus gydymo kriterijai</w:t>
                        </w:r>
                      </w:p>
                    </w:tc>
                  </w:tr>
                  <w:tr w14:paraId="50CA2C88" w14:textId="77777777">
                    <w:tc>
                      <w:tcPr>
                        <w:tcW w:w="562" w:type="dxa"/>
                      </w:tcPr>
                      <w:p w14:paraId="50CA2C84" w14:textId="77777777">
                        <w:pPr>
                          <w:tabs>
                            <w:tab w:val="left" w:pos="1296"/>
                          </w:tabs>
                          <w:jc w:val="both"/>
                          <w:rPr>
                            <w:szCs w:val="24"/>
                            <w:lang w:val="lt" w:eastAsia="lt-LT"/>
                          </w:rPr>
                        </w:pPr>
                        <w:r>
                          <w:rPr>
                            <w:szCs w:val="24"/>
                            <w:lang w:val="lt" w:eastAsia="lt-LT"/>
                          </w:rPr>
                          <w:t>1.</w:t>
                        </w:r>
                      </w:p>
                    </w:tc>
                    <w:tc>
                      <w:tcPr>
                        <w:tcW w:w="2552" w:type="dxa"/>
                      </w:tcPr>
                      <w:p w14:paraId="50CA2C85" w14:textId="77777777">
                        <w:pPr>
                          <w:tabs>
                            <w:tab w:val="left" w:pos="1296"/>
                          </w:tabs>
                          <w:rPr>
                            <w:szCs w:val="24"/>
                            <w:lang w:val="lt" w:eastAsia="lt-LT"/>
                          </w:rPr>
                        </w:pPr>
                        <w:r>
                          <w:rPr>
                            <w:szCs w:val="24"/>
                            <w:lang w:val="lt" w:eastAsia="lt-LT"/>
                          </w:rPr>
                          <w:t>Aprašo 15–17 punktuose nurodyto gydymo hormoniniais vaistais efektyvumas</w:t>
                        </w:r>
                      </w:p>
                    </w:tc>
                    <w:tc>
                      <w:tcPr>
                        <w:tcW w:w="3544" w:type="dxa"/>
                      </w:tcPr>
                      <w:p w14:paraId="50CA2C86" w14:textId="68EF44C8">
                        <w:pPr>
                          <w:tabs>
                            <w:tab w:val="left" w:pos="1296"/>
                          </w:tabs>
                          <w:rPr>
                            <w:szCs w:val="24"/>
                            <w:lang w:val="lt" w:eastAsia="lt-LT"/>
                          </w:rPr>
                        </w:pPr>
                        <w:r>
                          <w:rPr>
                            <w:szCs w:val="24"/>
                            <w:lang w:val="lt" w:eastAsia="lt-LT"/>
                          </w:rPr>
                          <w:t>1.1. Vertinama pagal PSA lygio, kuris nustatomas kas 3 mėnesius po gydymo hormoniniais vaistais pradžios, dinamiką.</w:t>
                        </w:r>
                      </w:p>
                    </w:tc>
                    <w:tc>
                      <w:tcPr>
                        <w:tcW w:w="2830" w:type="dxa"/>
                      </w:tcPr>
                      <w:p w14:paraId="50CA2C87" w14:textId="77777777">
                        <w:pPr>
                          <w:tabs>
                            <w:tab w:val="left" w:pos="1296"/>
                          </w:tabs>
                          <w:rPr>
                            <w:szCs w:val="24"/>
                            <w:lang w:val="lt" w:eastAsia="lt-LT"/>
                          </w:rPr>
                        </w:pPr>
                        <w:r>
                          <w:rPr>
                            <w:szCs w:val="24"/>
                            <w:lang w:val="lt" w:eastAsia="lt-LT"/>
                          </w:rPr>
                          <w:t>1.2. PSA lygis mažėja ir stabilizuojasi.</w:t>
                        </w:r>
                      </w:p>
                    </w:tc>
                  </w:tr>
                  <w:tr w14:paraId="50CA2C93" w14:textId="77777777">
                    <w:tc>
                      <w:tcPr>
                        <w:tcW w:w="562" w:type="dxa"/>
                      </w:tcPr>
                      <w:p w14:paraId="50CA2C89" w14:textId="77777777">
                        <w:pPr>
                          <w:tabs>
                            <w:tab w:val="left" w:pos="1296"/>
                          </w:tabs>
                          <w:jc w:val="both"/>
                          <w:rPr>
                            <w:szCs w:val="24"/>
                            <w:lang w:val="lt" w:eastAsia="lt-LT"/>
                          </w:rPr>
                        </w:pPr>
                        <w:r>
                          <w:rPr>
                            <w:szCs w:val="24"/>
                            <w:lang w:val="lt" w:eastAsia="lt-LT"/>
                          </w:rPr>
                          <w:t xml:space="preserve">2. </w:t>
                        </w:r>
                      </w:p>
                    </w:tc>
                    <w:tc>
                      <w:tcPr>
                        <w:tcW w:w="2552" w:type="dxa"/>
                      </w:tcPr>
                      <w:p w14:paraId="50CA2C8A" w14:textId="77777777">
                        <w:pPr>
                          <w:tabs>
                            <w:tab w:val="left" w:pos="1296"/>
                          </w:tabs>
                          <w:rPr>
                            <w:szCs w:val="24"/>
                            <w:lang w:val="lt" w:eastAsia="lt-LT"/>
                          </w:rPr>
                        </w:pPr>
                        <w:r>
                          <w:rPr>
                            <w:szCs w:val="24"/>
                            <w:lang w:val="lt" w:eastAsia="lt-LT"/>
                          </w:rPr>
                          <w:t>Aprašo 19 punkte nurodyto gydymo hormoniniais ir (ar) chemoterapiniais vaistais efektyvumas</w:t>
                        </w:r>
                      </w:p>
                    </w:tc>
                    <w:tc>
                      <w:tcPr>
                        <w:tcW w:w="3544" w:type="dxa"/>
                      </w:tcPr>
                      <w:p w14:paraId="50CA2C8B" w14:textId="3E2EAB96">
                        <w:pPr>
                          <w:tabs>
                            <w:tab w:val="left" w:pos="1296"/>
                          </w:tabs>
                          <w:jc w:val="both"/>
                          <w:rPr>
                            <w:szCs w:val="24"/>
                            <w:lang w:val="lt" w:eastAsia="lt-LT"/>
                          </w:rPr>
                        </w:pPr>
                        <w:r>
                          <w:rPr>
                            <w:szCs w:val="24"/>
                            <w:lang w:val="lt" w:eastAsia="lt-LT"/>
                          </w:rPr>
                          <w:t>2.1. Vertinama pagal:</w:t>
                        </w:r>
                      </w:p>
                      <w:p w14:paraId="50CA2C8C" w14:textId="77777777">
                        <w:pPr>
                          <w:tabs>
                            <w:tab w:val="left" w:pos="1296"/>
                          </w:tabs>
                          <w:rPr>
                            <w:szCs w:val="24"/>
                            <w:lang w:val="lt" w:eastAsia="lt-LT"/>
                          </w:rPr>
                        </w:pPr>
                        <w:r>
                          <w:rPr>
                            <w:szCs w:val="24"/>
                            <w:lang w:val="lt" w:eastAsia="lt-LT"/>
                          </w:rPr>
                          <w:t>2.1.1. PSA lygio, kuris nustatomas kas 3 mėnesius po gydymo hormoniniais ir (ar) chemoterapiniais vaistais pradžios, dinamiką;</w:t>
                        </w:r>
                      </w:p>
                      <w:p w14:paraId="50CA2C8D" w14:textId="77777777">
                        <w:pPr>
                          <w:tabs>
                            <w:tab w:val="left" w:pos="1296"/>
                          </w:tabs>
                          <w:jc w:val="both"/>
                          <w:rPr>
                            <w:szCs w:val="24"/>
                            <w:lang w:val="lt" w:eastAsia="lt-LT"/>
                          </w:rPr>
                        </w:pPr>
                        <w:r>
                          <w:rPr>
                            <w:szCs w:val="24"/>
                            <w:lang w:val="lt" w:eastAsia="lt-LT"/>
                          </w:rPr>
                          <w:t>2.1.2. ligos simptomus;</w:t>
                        </w:r>
                      </w:p>
                      <w:p w14:paraId="50CA2C8E" w14:textId="77777777">
                        <w:pPr>
                          <w:tabs>
                            <w:tab w:val="left" w:pos="1296"/>
                          </w:tabs>
                          <w:rPr>
                            <w:szCs w:val="24"/>
                            <w:lang w:val="lt" w:eastAsia="lt-LT"/>
                          </w:rPr>
                        </w:pPr>
                        <w:r>
                          <w:rPr>
                            <w:szCs w:val="24"/>
                            <w:lang w:val="lt" w:eastAsia="lt-LT"/>
                          </w:rPr>
                          <w:t>2.1.3. radiologinių tyrimų duomenis.</w:t>
                        </w:r>
                      </w:p>
                    </w:tc>
                    <w:tc>
                      <w:tcPr>
                        <w:tcW w:w="2830" w:type="dxa"/>
                      </w:tcPr>
                      <w:p w14:paraId="50CA2C8F" w14:textId="77777777">
                        <w:pPr>
                          <w:tabs>
                            <w:tab w:val="left" w:pos="1296"/>
                          </w:tabs>
                          <w:rPr>
                            <w:szCs w:val="24"/>
                            <w:lang w:val="lt" w:eastAsia="lt-LT"/>
                          </w:rPr>
                        </w:pPr>
                        <w:r>
                          <w:rPr>
                            <w:szCs w:val="24"/>
                            <w:lang w:val="lt" w:eastAsia="lt-LT"/>
                          </w:rPr>
                          <w:t>2.2. Nustatoma, kad:</w:t>
                        </w:r>
                      </w:p>
                      <w:p w14:paraId="50CA2C90" w14:textId="77777777">
                        <w:pPr>
                          <w:tabs>
                            <w:tab w:val="left" w:pos="1296"/>
                          </w:tabs>
                          <w:rPr>
                            <w:szCs w:val="24"/>
                            <w:lang w:val="lt" w:eastAsia="lt-LT"/>
                          </w:rPr>
                        </w:pPr>
                        <w:r>
                          <w:rPr>
                            <w:szCs w:val="24"/>
                            <w:lang w:val="lt" w:eastAsia="lt-LT"/>
                          </w:rPr>
                          <w:t>2.2.1. PSA lygis mažėja ir stabilizuojasi;</w:t>
                        </w:r>
                      </w:p>
                      <w:p w14:paraId="50CA2C91" w14:textId="77777777">
                        <w:pPr>
                          <w:tabs>
                            <w:tab w:val="left" w:pos="1296"/>
                          </w:tabs>
                          <w:rPr>
                            <w:szCs w:val="24"/>
                            <w:lang w:val="lt" w:eastAsia="lt-LT"/>
                          </w:rPr>
                        </w:pPr>
                        <w:r>
                          <w:rPr>
                            <w:szCs w:val="24"/>
                            <w:lang w:val="lt" w:eastAsia="lt-LT"/>
                          </w:rPr>
                          <w:t>2.2.2. ligos simptomai susilpnėja arba išnyksta;</w:t>
                        </w:r>
                      </w:p>
                      <w:p w14:paraId="50CA2C92" w14:textId="1F7967CB">
                        <w:pPr>
                          <w:tabs>
                            <w:tab w:val="left" w:pos="1296"/>
                          </w:tabs>
                          <w:rPr>
                            <w:szCs w:val="24"/>
                            <w:lang w:val="lt" w:eastAsia="lt-LT"/>
                          </w:rPr>
                        </w:pPr>
                        <w:r>
                          <w:rPr>
                            <w:szCs w:val="24"/>
                            <w:lang w:val="lt" w:eastAsia="lt-LT"/>
                          </w:rPr>
                          <w:t>2.2.3. radiologiniais tyrimais nepatvirtinama, kad yra naujų metastazių.</w:t>
                        </w:r>
                      </w:p>
                    </w:tc>
                  </w:tr>
                </w:tbl>
                <w:p/>
              </w:sdtContent>
            </w:sdt>
            <w:sdt>
              <w:sdtPr>
                <w:alias w:val="38 p."/>
                <w:tag w:val="part_a8d834ed91b24a81b6aebb7df1895dce"/>
                <w:lock w:val="sdtLocked"/>
                <w:richText/>
              </w:sdtPr>
              <w:sdtContent>
                <w:p w14:paraId="50CA2C94" w14:textId="15652874">
                  <w:pPr>
                    <w:ind w:firstLine="709"/>
                    <w:jc w:val="both"/>
                    <w:rPr>
                      <w:szCs w:val="24"/>
                      <w:lang w:val="lt" w:eastAsia="lt-LT"/>
                    </w:rPr>
                  </w:pPr>
                  <w:sdt>
                    <w:sdtPr>
                      <w:alias w:val="Numeris"/>
                      <w:tag w:val="nr_a8d834ed91b24a81b6aebb7df1895dce"/>
                      <w:lock w:val="sdtLocked"/>
                      <w:richText/>
                    </w:sdtPr>
                    <w:sdtContent>
                      <w:r>
                        <w:rPr>
                          <w:color w:val="000000"/>
                          <w:szCs w:val="24"/>
                          <w:lang w:val="lt" w:eastAsia="lt-LT"/>
                        </w:rPr>
                        <w:t>38</w:t>
                      </w:r>
                    </w:sdtContent>
                  </w:sdt>
                  <w:r>
                    <w:rPr>
                      <w:color w:val="000000"/>
                      <w:szCs w:val="24"/>
                      <w:lang w:val="lt" w:eastAsia="lt-LT"/>
                    </w:rPr>
                    <w:t xml:space="preserve">. Ambulatorinio gydymo PSDF biudžeto lėšomis kompensuojamais vaistais aktyviojo gydymo laikotarpiu efektyvumo </w:t>
                  </w:r>
                  <w:r>
                    <w:rPr>
                      <w:szCs w:val="24"/>
                      <w:lang w:val="lt" w:eastAsia="lt-LT"/>
                    </w:rPr>
                    <w:t>stebėsena</w:t>
                  </w:r>
                  <w:r>
                    <w:rPr>
                      <w:color w:val="000000"/>
                      <w:szCs w:val="24"/>
                      <w:lang w:val="lt" w:eastAsia="lt-LT"/>
                    </w:rPr>
                    <w:t xml:space="preserve"> ir vertinimas </w:t>
                  </w:r>
                  <w:r>
                    <w:rPr>
                      <w:szCs w:val="24"/>
                      <w:lang w:val="lt" w:eastAsia="lt-LT"/>
                    </w:rPr>
                    <w:t>atliekami paciento gydymo laikotarpiu onkologijos klasteriui priklausančios ASPĮ, nurodytos</w:t>
                  </w:r>
                  <w:r>
                    <w:rPr>
                      <w:rFonts w:eastAsia="Arial"/>
                      <w:b/>
                      <w:bCs/>
                      <w:color w:val="767676"/>
                      <w:szCs w:val="24"/>
                      <w:lang w:val="lt" w:eastAsia="lt-LT"/>
                    </w:rPr>
                    <w:t xml:space="preserve"> </w:t>
                  </w:r>
                  <w:r>
                    <w:rPr>
                      <w:color w:val="000000"/>
                      <w:szCs w:val="24"/>
                      <w:lang w:val="lt" w:eastAsia="lt-LT"/>
                    </w:rPr>
                    <w:t>Onkologinėmis ligomis sergančių pacientų srautų valdymo apraše</w:t>
                  </w:r>
                  <w:r>
                    <w:rPr>
                      <w:szCs w:val="24"/>
                      <w:lang w:val="lt" w:eastAsia="lt-LT"/>
                    </w:rPr>
                    <w:t>, jos vadovo nustatyta tvarka ne rečiau kaip kartą per metus.</w:t>
                  </w:r>
                </w:p>
              </w:sdtContent>
            </w:sdt>
            <w:sdt>
              <w:sdtPr>
                <w:alias w:val="39 p."/>
                <w:tag w:val="part_44070ceda7a540e79d1b4c19b57e7289"/>
                <w:lock w:val="sdtLocked"/>
                <w:richText/>
              </w:sdtPr>
              <w:sdtContent>
                <w:p w14:paraId="50CA2C95" w14:textId="18392AE6">
                  <w:pPr>
                    <w:tabs>
                      <w:tab w:val="left" w:pos="1296"/>
                    </w:tabs>
                    <w:ind w:firstLine="709"/>
                    <w:jc w:val="both"/>
                    <w:rPr>
                      <w:szCs w:val="24"/>
                      <w:lang w:val="lt" w:eastAsia="lt-LT"/>
                    </w:rPr>
                  </w:pPr>
                  <w:sdt>
                    <w:sdtPr>
                      <w:alias w:val="Numeris"/>
                      <w:tag w:val="nr_44070ceda7a540e79d1b4c19b57e7289"/>
                      <w:lock w:val="sdtLocked"/>
                      <w:richText/>
                    </w:sdtPr>
                    <w:sdtContent>
                      <w:r>
                        <w:rPr>
                          <w:szCs w:val="24"/>
                          <w:lang w:val="lt" w:eastAsia="lt-LT"/>
                        </w:rPr>
                        <w:t>39</w:t>
                      </w:r>
                    </w:sdtContent>
                  </w:sdt>
                  <w:r>
                    <w:rPr>
                      <w:szCs w:val="24"/>
                      <w:lang w:val="lt" w:eastAsia="lt-LT"/>
                    </w:rPr>
                    <w:t>. Jei liga neprogresuoja, nėra gydymo netoleravimo požymių ir onkologijos klasteriui priklausančioje ASPĮ, nurodytoje</w:t>
                  </w:r>
                  <w:r>
                    <w:rPr>
                      <w:rFonts w:eastAsia="Arial"/>
                      <w:b/>
                      <w:bCs/>
                      <w:color w:val="767676"/>
                      <w:szCs w:val="24"/>
                      <w:lang w:val="lt" w:eastAsia="lt-LT"/>
                    </w:rPr>
                    <w:t xml:space="preserve"> </w:t>
                  </w:r>
                  <w:r>
                    <w:rPr>
                      <w:color w:val="000000"/>
                      <w:szCs w:val="24"/>
                      <w:lang w:val="lt" w:eastAsia="lt-LT"/>
                    </w:rPr>
                    <w:t>Onkologinėmis ligomis sergančių pacientų srautų valdymo apraše,</w:t>
                  </w:r>
                  <w:r>
                    <w:rPr>
                      <w:szCs w:val="24"/>
                      <w:lang w:val="lt" w:eastAsia="lt-LT"/>
                    </w:rPr>
                    <w:t xml:space="preserve"> dirbantis gydytojas urologas, gydytojas onkologas chemoterapeutas ar gydytojas onkologas radioterapeutas priešinės liaukos piktybiniam navikui gydyti skiria (tęsia) kompensuojamuosius GIS analogus ar GIS antagonistus, gydymą paskyrusio (pratęsusio) gydytojo urologo, gydytojo onkologo chemoterapeuto ar gydytojo onkologo radioterapeuto sprendimu pagal paciento medicinos dokumentuose (elektroniniame medicinos dokumente E025) ir (ar) E027-ats „Atsakymas </w:t>
                  </w:r>
                  <w:r>
                    <w:rPr>
                      <w:spacing w:val="-4"/>
                      <w:szCs w:val="24"/>
                      <w:lang w:val="lt" w:eastAsia="lt-LT"/>
                    </w:rPr>
                    <w:t>į siuntimą konsultacijai, tyrimams, gydymui“ (toliau – elektroninis medicinos dokumentas E027-</w:t>
                  </w:r>
                  <w:r>
                    <w:rPr>
                      <w:szCs w:val="24"/>
                      <w:lang w:val="lt" w:eastAsia="lt-LT"/>
                    </w:rPr>
                    <w:t>ats), nurodytuose įsakymo Nr. V-657 priede, nurodytą paciento gydymui skiriamą (tęsiamą) kompensuojamąjį GIS analogą ar GIS antagonistą, jo dozę, vartojimo būdą, dažnį ir trukmę, stebėjimo rekomendacijas</w:t>
                  </w:r>
                  <w:r>
                    <w:rPr>
                      <w:i/>
                      <w:iCs/>
                      <w:szCs w:val="24"/>
                      <w:lang w:val="lt" w:eastAsia="lt-LT"/>
                    </w:rPr>
                    <w:t xml:space="preserve">, </w:t>
                  </w:r>
                  <w:r>
                    <w:rPr>
                      <w:szCs w:val="24"/>
                      <w:lang w:val="lt" w:eastAsia="lt-LT"/>
                    </w:rPr>
                    <w:t xml:space="preserve">paciento siuntimo kontaktinės konsultacijos dažnį ir (ar) sąlygas, vaistinio preparato suleidimą gali organizuoti šeimos medicinos paslaugas teikiantis gydytojas (šeimos gydytojas ar vidaus ligų gydytojas) </w:t>
                  </w:r>
                  <w:r>
                    <w:rPr>
                      <w:color w:val="000000"/>
                      <w:szCs w:val="24"/>
                      <w:lang w:val="lt" w:eastAsia="lt-LT"/>
                    </w:rPr>
                    <w:t>(toliau – šeimos gydytojas),</w:t>
                  </w:r>
                  <w:r>
                    <w:rPr>
                      <w:szCs w:val="24"/>
                      <w:lang w:val="lt" w:eastAsia="lt-LT"/>
                    </w:rPr>
                    <w:t xml:space="preserve"> laikydamasis </w:t>
                  </w:r>
                  <w:r>
                    <w:rPr>
                      <w:color w:val="000000"/>
                      <w:szCs w:val="24"/>
                      <w:lang w:val="lt" w:eastAsia="lt-LT"/>
                    </w:rPr>
                    <w:t xml:space="preserve">vaistinio preparato charakteristikų santraukoje nurodytos vaisto suleidimo ir paciento sveikatos būklės stebėjimo tvarkos. </w:t>
                  </w:r>
                </w:p>
              </w:sdtContent>
            </w:sdt>
            <w:sdt>
              <w:sdtPr>
                <w:alias w:val="40 p."/>
                <w:tag w:val="part_09104c1a188b44d5830ca23829656a05"/>
                <w:lock w:val="sdtLocked"/>
                <w:richText/>
              </w:sdtPr>
              <w:sdtContent>
                <w:p w14:paraId="50CA2C96" w14:textId="642F82E8">
                  <w:pPr>
                    <w:tabs>
                      <w:tab w:val="left" w:pos="1296"/>
                    </w:tabs>
                    <w:ind w:firstLine="709"/>
                    <w:jc w:val="both"/>
                    <w:rPr>
                      <w:color w:val="000000"/>
                      <w:szCs w:val="24"/>
                      <w:lang w:val="lt" w:eastAsia="lt-LT"/>
                    </w:rPr>
                  </w:pPr>
                  <w:sdt>
                    <w:sdtPr>
                      <w:alias w:val="Numeris"/>
                      <w:tag w:val="nr_09104c1a188b44d5830ca23829656a05"/>
                      <w:lock w:val="sdtLocked"/>
                      <w:richText/>
                    </w:sdtPr>
                    <w:sdtContent>
                      <w:r>
                        <w:rPr>
                          <w:szCs w:val="24"/>
                          <w:lang w:val="lt" w:eastAsia="lt-LT"/>
                        </w:rPr>
                        <w:t>40</w:t>
                      </w:r>
                    </w:sdtContent>
                  </w:sdt>
                  <w:r>
                    <w:rPr>
                      <w:szCs w:val="24"/>
                      <w:lang w:val="lt" w:eastAsia="lt-LT"/>
                    </w:rPr>
                    <w:t xml:space="preserve">. Įtaręs ligos progresavimą, atsižvelgdamas į paciento medicinos dokumentuose (elektroniniame medicinos dokumente E025 ir (ar) elektroniniame medicinos dokumente E027-ats, nurodytuose įsakymo Nr. V-657 priede) pateiktas rekomendacijas ar kitais objektyviais atvejais, </w:t>
                  </w:r>
                  <w:r>
                    <w:rPr>
                      <w:color w:val="000000"/>
                      <w:szCs w:val="24"/>
                      <w:lang w:val="lt" w:eastAsia="lt-LT"/>
                    </w:rPr>
                    <w:t xml:space="preserve">šeimos gydytojas turi atlikti ir (ar) organizuoti pacientui rekomenduotus atlikti tyrimus ir siųsti </w:t>
                  </w:r>
                  <w:r>
                    <w:rPr>
                      <w:szCs w:val="24"/>
                      <w:lang w:val="lt" w:eastAsia="lt-LT"/>
                    </w:rPr>
                    <w:t xml:space="preserve">pacientą kontaktinės </w:t>
                  </w:r>
                  <w:r>
                    <w:rPr>
                      <w:color w:val="000000"/>
                      <w:szCs w:val="24"/>
                      <w:lang w:val="lt" w:eastAsia="lt-LT"/>
                    </w:rPr>
                    <w:t>onkologijos klasteriui priklausančioje ASPĮ, nurodytoje Onkologinėmis ligomis sergančių pacientų srautų valdymo reikalavimų apraše, dirbančio gydytojo urologo, gydytojo onkologo chemoterapeuto ar gydytojo radioterapeuto</w:t>
                  </w:r>
                  <w:r>
                    <w:rPr>
                      <w:szCs w:val="24"/>
                      <w:lang w:val="lt" w:eastAsia="lt-LT"/>
                    </w:rPr>
                    <w:t xml:space="preserve"> konsultacijos arba </w:t>
                  </w:r>
                  <w:r>
                    <w:rPr>
                      <w:color w:val="000000"/>
                      <w:szCs w:val="24"/>
                      <w:lang w:val="lt" w:eastAsia="lt-LT"/>
                    </w:rPr>
                    <w:t>konsultuotis nuotoliniu būdu, vadovaudamasis Nuotolinių gydytojo ir šeimos gydytojo komandos nario konsultacijų pacientui ir gydytojo konsultacijų gydytojui teikimo ir jų išlaidų apmokėjimo Privalomojo sveikatos draudimo fondo biudžeto lėšomis tvarkos aprašu, patvirtintu Lietuvos Respublikos sveikatos apsaugos ministro 2020 m. lapkričio 10 d. įsakymu Nr. V-2569 „Dėl Nuotolinių gydytojo ir šeimos gydytojo komandos nario konsultacijų pacientui ir gydytojo konsultacijų gydytojui teikimo ir jų išlaidų apmokėjimo Privalomojo sveikatos draudimo fondo biudžeto lėšomis tvarkos aprašo patvirtinimo“.</w:t>
                  </w:r>
                </w:p>
              </w:sdtContent>
            </w:sdt>
            <w:sdt>
              <w:sdtPr>
                <w:alias w:val="41 p."/>
                <w:tag w:val="part_bba146b4f2b845cfa2a23822a8cf5836"/>
                <w:lock w:val="sdtLocked"/>
                <w:richText/>
              </w:sdtPr>
              <w:sdtContent>
                <w:p w14:paraId="50CA2C97" w14:textId="1EEBA021">
                  <w:pPr>
                    <w:tabs>
                      <w:tab w:val="left" w:pos="1296"/>
                    </w:tabs>
                    <w:ind w:firstLine="709"/>
                    <w:jc w:val="both"/>
                    <w:rPr>
                      <w:color w:val="000000"/>
                      <w:szCs w:val="24"/>
                      <w:lang w:val="lt" w:eastAsia="lt-LT"/>
                    </w:rPr>
                  </w:pPr>
                  <w:sdt>
                    <w:sdtPr>
                      <w:alias w:val="Numeris"/>
                      <w:tag w:val="nr_bba146b4f2b845cfa2a23822a8cf5836"/>
                      <w:lock w:val="sdtLocked"/>
                      <w:richText/>
                    </w:sdtPr>
                    <w:sdtContent>
                      <w:r>
                        <w:rPr>
                          <w:color w:val="000000"/>
                          <w:szCs w:val="24"/>
                          <w:lang w:val="lt" w:eastAsia="lt-LT"/>
                        </w:rPr>
                        <w:t>41</w:t>
                      </w:r>
                    </w:sdtContent>
                  </w:sdt>
                  <w:r>
                    <w:rPr>
                      <w:szCs w:val="24"/>
                      <w:lang w:val="lt" w:eastAsia="lt-LT"/>
                    </w:rPr>
                    <w:t xml:space="preserve">. </w:t>
                  </w:r>
                  <w:r>
                    <w:rPr>
                      <w:color w:val="000000"/>
                      <w:szCs w:val="24"/>
                      <w:lang w:val="lt" w:eastAsia="lt-LT"/>
                    </w:rPr>
                    <w:t>Prieš konsultuodamasis nuotoliniu būdu, šeimos gydytojas ar jo komandos narys informuoja pacientą, kad:</w:t>
                  </w:r>
                </w:p>
                <w:sdt>
                  <w:sdtPr>
                    <w:alias w:val="41.1 pp."/>
                    <w:tag w:val="part_8deb297ffae54b58b979aefb94d79c83"/>
                    <w:lock w:val="sdtLocked"/>
                    <w:richText/>
                  </w:sdtPr>
                  <w:sdtContent>
                    <w:p w14:paraId="50CA2C98" w14:textId="2E23FABC">
                      <w:pPr>
                        <w:widowControl w:val="0"/>
                        <w:ind w:firstLine="709"/>
                        <w:jc w:val="both"/>
                        <w:rPr>
                          <w:color w:val="000000"/>
                          <w:szCs w:val="24"/>
                          <w:lang w:val="lt" w:eastAsia="lt-LT"/>
                        </w:rPr>
                      </w:pPr>
                      <w:sdt>
                        <w:sdtPr>
                          <w:alias w:val="Numeris"/>
                          <w:tag w:val="nr_8deb297ffae54b58b979aefb94d79c83"/>
                          <w:lock w:val="sdtLocked"/>
                          <w:richText/>
                        </w:sdtPr>
                        <w:sdtContent>
                          <w:r>
                            <w:rPr>
                              <w:color w:val="000000"/>
                              <w:szCs w:val="24"/>
                              <w:lang w:val="lt" w:eastAsia="lt-LT"/>
                            </w:rPr>
                            <w:t>41.1</w:t>
                          </w:r>
                        </w:sdtContent>
                      </w:sdt>
                      <w:r>
                        <w:rPr>
                          <w:color w:val="000000"/>
                          <w:szCs w:val="24"/>
                          <w:lang w:val="lt" w:eastAsia="lt-LT"/>
                        </w:rPr>
                        <w:t>. dėl jo sveikatos būklės konsultuosis su onkologijos klasteriui priklausančioje ASPĮ, nurodytoje Onkologinėmis ligomis sergančių pacientų srautų valdymo reikalavimų apraše, dirbančiu gydytoju urologu, gydytoju onkologu chemoterapeutu ar gydytoju radioterapeutu nuotoliniu būdu;</w:t>
                      </w:r>
                    </w:p>
                  </w:sdtContent>
                </w:sdt>
                <w:sdt>
                  <w:sdtPr>
                    <w:alias w:val="41.2 pp."/>
                    <w:tag w:val="part_ae154de61c6346b386e2329756331d37"/>
                    <w:lock w:val="sdtLocked"/>
                    <w:richText/>
                  </w:sdtPr>
                  <w:sdtContent>
                    <w:p w14:paraId="136D7A90" w14:textId="4A2BE8D2">
                      <w:pPr>
                        <w:widowControl w:val="0"/>
                        <w:ind w:firstLine="709"/>
                        <w:jc w:val="both"/>
                        <w:rPr>
                          <w:color w:val="000000"/>
                          <w:szCs w:val="24"/>
                          <w:lang w:val="lt" w:eastAsia="lt-LT"/>
                        </w:rPr>
                      </w:pPr>
                      <w:sdt>
                        <w:sdtPr>
                          <w:alias w:val="Numeris"/>
                          <w:tag w:val="nr_ae154de61c6346b386e2329756331d37"/>
                          <w:lock w:val="sdtLocked"/>
                          <w:richText/>
                        </w:sdtPr>
                        <w:sdtContent>
                          <w:r>
                            <w:rPr>
                              <w:color w:val="000000"/>
                              <w:szCs w:val="24"/>
                              <w:lang w:val="lt" w:eastAsia="lt-LT"/>
                            </w:rPr>
                            <w:t>41.2</w:t>
                          </w:r>
                        </w:sdtContent>
                      </w:sdt>
                      <w:r>
                        <w:rPr>
                          <w:color w:val="000000"/>
                          <w:szCs w:val="24"/>
                          <w:lang w:val="lt" w:eastAsia="lt-LT"/>
                        </w:rPr>
                        <w:t xml:space="preserve">. </w:t>
                      </w:r>
                      <w:r>
                        <w:rPr>
                          <w:szCs w:val="24"/>
                          <w:lang w:val="lt" w:eastAsia="lt-LT"/>
                        </w:rPr>
                        <w:t xml:space="preserve">gydytojas, su kuriuo konsultuojamasi nuotoliniu būdu, </w:t>
                      </w:r>
                      <w:r>
                        <w:rPr>
                          <w:color w:val="000000"/>
                          <w:szCs w:val="24"/>
                          <w:lang w:val="lt" w:eastAsia="lt-LT"/>
                        </w:rPr>
                        <w:t xml:space="preserve">gali skirti kontaktinę konsultaciją. Šiuo atveju </w:t>
                      </w:r>
                      <w:r>
                        <w:rPr>
                          <w:szCs w:val="24"/>
                          <w:lang w:val="lt" w:eastAsia="lt-LT"/>
                        </w:rPr>
                        <w:t>konsultuojančiosios ASPĮ</w:t>
                      </w:r>
                      <w:r>
                        <w:rPr>
                          <w:color w:val="000000"/>
                          <w:szCs w:val="24"/>
                          <w:lang w:val="lt" w:eastAsia="lt-LT"/>
                        </w:rPr>
                        <w:t xml:space="preserve"> </w:t>
                      </w:r>
                      <w:r>
                        <w:rPr>
                          <w:szCs w:val="24"/>
                          <w:lang w:val="lt" w:eastAsia="lt-LT"/>
                        </w:rPr>
                        <w:t xml:space="preserve">vadovo nustatyta tvarka bus </w:t>
                      </w:r>
                      <w:r>
                        <w:rPr>
                          <w:color w:val="000000"/>
                          <w:szCs w:val="24"/>
                          <w:lang w:val="lt" w:eastAsia="lt-LT"/>
                        </w:rPr>
                        <w:t>organizuotas paciento užregistravimas kontaktinei konsultacijai;</w:t>
                      </w:r>
                    </w:p>
                  </w:sdtContent>
                </w:sdt>
                <w:sdt>
                  <w:sdtPr>
                    <w:alias w:val="41.3 pp."/>
                    <w:tag w:val="part_1e039a56e1254b63a77d4fd91a1ebc12"/>
                    <w:lock w:val="sdtLocked"/>
                    <w:richText/>
                  </w:sdtPr>
                  <w:sdtContent>
                    <w:p w14:paraId="05C78BD3" w14:textId="118F8D3E">
                      <w:pPr>
                        <w:widowControl w:val="0"/>
                        <w:ind w:firstLine="709"/>
                        <w:jc w:val="both"/>
                        <w:rPr>
                          <w:color w:val="000000"/>
                          <w:szCs w:val="24"/>
                          <w:lang w:val="lt" w:eastAsia="lt-LT"/>
                        </w:rPr>
                      </w:pPr>
                      <w:sdt>
                        <w:sdtPr>
                          <w:alias w:val="Numeris"/>
                          <w:tag w:val="nr_1e039a56e1254b63a77d4fd91a1ebc12"/>
                          <w:lock w:val="sdtLocked"/>
                          <w:richText/>
                        </w:sdtPr>
                        <w:sdtContent>
                          <w:r>
                            <w:rPr>
                              <w:color w:val="000000"/>
                              <w:szCs w:val="24"/>
                              <w:lang w:val="lt" w:eastAsia="lt-LT"/>
                            </w:rPr>
                            <w:t>41.3</w:t>
                          </w:r>
                        </w:sdtContent>
                      </w:sdt>
                      <w:r>
                        <w:rPr>
                          <w:color w:val="000000"/>
                          <w:szCs w:val="24"/>
                          <w:lang w:val="lt" w:eastAsia="lt-LT"/>
                        </w:rPr>
                        <w:t>. pacientas gaus pranešimą apie registruoto vizito datą ir laiką (Išankstinės paciento registracijos informacinėje sistemoje ir (ar) trumpąja SMS žinute). Šiuo atveju pacientas turi teisę atsisakyti vizito, kuriam yra užregistruotas, koreguoti vizito datą ir (ar) laiką ar pasirinkti kitą ASPĮ ir kontaktinei konsultacijai registruotis pats.</w:t>
                      </w:r>
                    </w:p>
                  </w:sdtContent>
                </w:sdt>
              </w:sdtContent>
            </w:sdt>
            <w:sdt>
              <w:sdtPr>
                <w:alias w:val="42 p."/>
                <w:tag w:val="part_a79542e5c1924e19bd7c1d8d85b1ec09"/>
                <w:lock w:val="sdtLocked"/>
                <w:richText/>
              </w:sdtPr>
              <w:sdtContent>
                <w:p w14:paraId="50CA2C9C" w14:textId="0727469D">
                  <w:pPr>
                    <w:widowControl w:val="0"/>
                    <w:ind w:firstLine="709"/>
                    <w:jc w:val="both"/>
                    <w:rPr>
                      <w:color w:val="000000"/>
                      <w:szCs w:val="24"/>
                      <w:lang w:val="lt" w:eastAsia="lt-LT"/>
                    </w:rPr>
                  </w:pPr>
                  <w:sdt>
                    <w:sdtPr>
                      <w:alias w:val="Numeris"/>
                      <w:tag w:val="nr_a79542e5c1924e19bd7c1d8d85b1ec09"/>
                      <w:lock w:val="sdtLocked"/>
                      <w:richText/>
                    </w:sdtPr>
                    <w:sdtContent>
                      <w:r>
                        <w:rPr>
                          <w:color w:val="000000"/>
                          <w:szCs w:val="24"/>
                          <w:lang w:val="lt" w:eastAsia="lt-LT"/>
                        </w:rPr>
                        <w:t>42</w:t>
                      </w:r>
                    </w:sdtContent>
                  </w:sdt>
                  <w:r>
                    <w:rPr>
                      <w:szCs w:val="24"/>
                      <w:lang w:val="lt" w:eastAsia="lt-LT"/>
                    </w:rPr>
                    <w:t xml:space="preserve">. Informacija, kad nuotolinės šeimos gydytojo ir </w:t>
                  </w:r>
                  <w:r>
                    <w:rPr>
                      <w:color w:val="000000"/>
                      <w:szCs w:val="24"/>
                      <w:lang w:val="lt" w:eastAsia="lt-LT"/>
                    </w:rPr>
                    <w:t xml:space="preserve">onkologijos klasteriui priklausančioje ASPĮ, nurodytoje Onkologinėmis ligomis sergančių pacientų srautų valdymo reikalavimų apraše, dirbančiu gydytoju urologu, gydytoju onkologu chemoterapeutu ar gydytoju radioterapeutu </w:t>
                  </w:r>
                  <w:r>
                    <w:rPr>
                      <w:szCs w:val="24"/>
                      <w:lang w:val="lt" w:eastAsia="lt-LT"/>
                    </w:rPr>
                    <w:t>konsultacijos metu priimtas sprendimas paskirti kontaktinę konsultaciją ir kad pacientas kontaktinei konsultacijai yra užregistruotas, nurodoma p</w:t>
                  </w:r>
                  <w:r>
                    <w:rPr>
                      <w:color w:val="000000"/>
                      <w:szCs w:val="24"/>
                      <w:lang w:val="lt" w:eastAsia="lt-LT"/>
                    </w:rPr>
                    <w:t>aciento medicinos dokumentuose (</w:t>
                  </w:r>
                  <w:r>
                    <w:rPr>
                      <w:szCs w:val="24"/>
                      <w:lang w:val="lt" w:eastAsia="lt-LT"/>
                    </w:rPr>
                    <w:t xml:space="preserve">elektroniniame medicinos dokumente E025 ir (ar) elektroniniame medicinos dokumente E027-ats, nurodytuose įsakymo Nr. V-657 priede. </w:t>
                  </w:r>
                </w:p>
                <w:p w14:paraId="50CA2C9D" w14:textId="77777777">
                  <w:pPr>
                    <w:tabs>
                      <w:tab w:val="left" w:pos="1296"/>
                    </w:tabs>
                    <w:jc w:val="both"/>
                    <w:rPr>
                      <w:color w:val="000000"/>
                      <w:szCs w:val="24"/>
                      <w:lang w:val="lt" w:eastAsia="lt-LT"/>
                    </w:rPr>
                  </w:pPr>
                </w:p>
              </w:sdtContent>
            </w:sdt>
          </w:sdtContent>
        </w:sdt>
        <w:sdt>
          <w:sdtPr>
            <w:alias w:val="skyrius"/>
            <w:tag w:val="part_2f3da1bb8c364e19a8029be36c1abd01"/>
            <w:lock w:val="sdtLocked"/>
            <w:richText/>
          </w:sdtPr>
          <w:sdtContent>
            <w:p w14:paraId="50CA2C9E" w14:textId="77777777">
              <w:pPr>
                <w:widowControl w:val="0"/>
                <w:shd w:val="clear" w:color="auto" w:fill="FFFFFF"/>
                <w:jc w:val="center"/>
                <w:rPr>
                  <w:b/>
                  <w:bCs/>
                  <w:color w:val="000000"/>
                  <w:szCs w:val="24"/>
                  <w:lang w:val="lt" w:eastAsia="lt-LT"/>
                </w:rPr>
              </w:pPr>
              <w:sdt>
                <w:sdtPr>
                  <w:alias w:val="Numeris"/>
                  <w:tag w:val="nr_2f3da1bb8c364e19a8029be36c1abd01"/>
                  <w:lock w:val="sdtLocked"/>
                  <w:richText/>
                </w:sdtPr>
                <w:sdtContent>
                  <w:r>
                    <w:rPr>
                      <w:b/>
                      <w:bCs/>
                      <w:color w:val="000000"/>
                      <w:szCs w:val="24"/>
                      <w:lang w:val="lt" w:eastAsia="lt-LT"/>
                    </w:rPr>
                    <w:t>VI</w:t>
                  </w:r>
                </w:sdtContent>
              </w:sdt>
              <w:r>
                <w:rPr>
                  <w:b/>
                  <w:bCs/>
                  <w:color w:val="000000"/>
                  <w:szCs w:val="24"/>
                  <w:lang w:val="lt" w:eastAsia="lt-LT"/>
                </w:rPr>
                <w:t xml:space="preserve"> SKYRIUS</w:t>
              </w:r>
            </w:p>
            <w:p w14:paraId="50CA2C9F" w14:textId="77777777">
              <w:pPr>
                <w:widowControl w:val="0"/>
                <w:shd w:val="clear" w:color="auto" w:fill="FFFFFF"/>
                <w:jc w:val="center"/>
                <w:rPr>
                  <w:b/>
                  <w:bCs/>
                  <w:color w:val="000000"/>
                  <w:szCs w:val="24"/>
                  <w:lang w:val="lt" w:eastAsia="lt-LT"/>
                </w:rPr>
              </w:pPr>
              <w:sdt>
                <w:sdtPr>
                  <w:alias w:val="Pavadinimas"/>
                  <w:tag w:val="title_2f3da1bb8c364e19a8029be36c1abd01"/>
                  <w:lock w:val="sdtLocked"/>
                  <w:richText/>
                </w:sdtPr>
                <w:sdtContent>
                  <w:r>
                    <w:rPr>
                      <w:b/>
                      <w:bCs/>
                      <w:color w:val="000000"/>
                      <w:szCs w:val="24"/>
                      <w:lang w:val="lt" w:eastAsia="lt-LT"/>
                    </w:rPr>
                    <w:t>BAIGIAMOSIOS NUOSTATOS</w:t>
                  </w:r>
                </w:sdtContent>
              </w:sdt>
            </w:p>
            <w:p w14:paraId="50CA2CA0" w14:textId="77777777">
              <w:pPr>
                <w:widowControl w:val="0"/>
                <w:shd w:val="clear" w:color="auto" w:fill="FFFFFF"/>
                <w:jc w:val="both"/>
                <w:rPr>
                  <w:szCs w:val="24"/>
                  <w:lang w:val="lt" w:eastAsia="lt-LT"/>
                </w:rPr>
              </w:pPr>
            </w:p>
            <w:sdt>
              <w:sdtPr>
                <w:alias w:val="43 p."/>
                <w:tag w:val="part_79d6553feab74b7298030bb49532869e"/>
                <w:lock w:val="sdtLocked"/>
                <w:richText/>
              </w:sdtPr>
              <w:sdtContent>
                <w:p w14:paraId="50CA2CA1" w14:textId="5D7A63B7">
                  <w:pPr>
                    <w:pBdr>
                      <w:top w:val="nil"/>
                      <w:left w:val="nil"/>
                      <w:bottom w:val="nil"/>
                      <w:right w:val="nil"/>
                      <w:between w:val="nil"/>
                    </w:pBdr>
                    <w:tabs>
                      <w:tab w:val="left" w:pos="810"/>
                    </w:tabs>
                    <w:ind w:firstLine="720"/>
                    <w:jc w:val="both"/>
                    <w:rPr>
                      <w:color w:val="000000"/>
                      <w:szCs w:val="24"/>
                      <w:lang w:val="lt" w:eastAsia="lt-LT"/>
                    </w:rPr>
                  </w:pPr>
                  <w:sdt>
                    <w:sdtPr>
                      <w:alias w:val="Numeris"/>
                      <w:tag w:val="nr_79d6553feab74b7298030bb49532869e"/>
                      <w:lock w:val="sdtLocked"/>
                      <w:richText/>
                    </w:sdtPr>
                    <w:sdtContent>
                      <w:r>
                        <w:rPr>
                          <w:color w:val="000000"/>
                          <w:szCs w:val="24"/>
                          <w:lang w:val="lt" w:eastAsia="lt-LT"/>
                        </w:rPr>
                        <w:t>43</w:t>
                      </w:r>
                    </w:sdtContent>
                  </w:sdt>
                  <w:r>
                    <w:rPr>
                      <w:color w:val="000000"/>
                      <w:szCs w:val="24"/>
                      <w:lang w:val="lt" w:eastAsia="lt-LT"/>
                    </w:rPr>
                    <w:t>. Jeigu A sąraše yra nurodyti vaistiniai preparatai, kurie nenurodyti Apraše, šie vaistiniai preparatai skiriami pagal A sąraše nurodytas skyrimo sąlygas, o jeigu jos nenurodytos – pagal vaistinio preparato charakteristikų santraukoje nurodytas skyrimo sąlygas.</w:t>
                  </w:r>
                </w:p>
              </w:sdtContent>
            </w:sdt>
            <w:sdt>
              <w:sdtPr>
                <w:alias w:val="44 p."/>
                <w:tag w:val="part_23aeef83d0554f489c383a99fe850e2e"/>
                <w:lock w:val="sdtLocked"/>
                <w:richText/>
              </w:sdtPr>
              <w:sdtContent>
                <w:p w14:paraId="50CA2CA2" w14:textId="4AF6E9F9">
                  <w:pPr>
                    <w:pBdr>
                      <w:top w:val="nil"/>
                      <w:left w:val="nil"/>
                      <w:bottom w:val="nil"/>
                      <w:right w:val="nil"/>
                      <w:between w:val="nil"/>
                    </w:pBdr>
                    <w:tabs>
                      <w:tab w:val="left" w:pos="810"/>
                    </w:tabs>
                    <w:ind w:firstLine="720"/>
                    <w:jc w:val="both"/>
                    <w:rPr>
                      <w:color w:val="000000"/>
                      <w:szCs w:val="24"/>
                      <w:lang w:val="lt" w:eastAsia="lt-LT"/>
                    </w:rPr>
                  </w:pPr>
                  <w:sdt>
                    <w:sdtPr>
                      <w:alias w:val="Numeris"/>
                      <w:tag w:val="nr_23aeef83d0554f489c383a99fe850e2e"/>
                      <w:lock w:val="sdtLocked"/>
                      <w:richText/>
                    </w:sdtPr>
                    <w:sdtContent>
                      <w:r>
                        <w:rPr>
                          <w:color w:val="000000"/>
                          <w:szCs w:val="24"/>
                          <w:lang w:val="lt" w:eastAsia="lt-LT"/>
                        </w:rPr>
                        <w:t>44</w:t>
                      </w:r>
                    </w:sdtContent>
                  </w:sdt>
                  <w:r>
                    <w:rPr>
                      <w:color w:val="000000"/>
                      <w:szCs w:val="24"/>
                      <w:lang w:val="lt" w:eastAsia="lt-LT"/>
                    </w:rPr>
                    <w:t>. Baigus aktyvųjį gydymą ir gydytojui specialistui nustačius, kad pacientas atitinka Ilgalaikio pacientų, sergančių lėtinėmis ligomis, sveikatos būklės stebėjimo tvarkos apraše, patvirtintame Lietuvos Respublikos sveikatos apsaugos ministro 2014 m. vasario 28 d. įsakymu Nr. V-288 „Dėl Ilgalaikio pacientų, sergančių lėtinėmis ligomis, sveikatos būklės stebėjimo tvarkos aprašo patvirtinimo“ (toliau – Ilgalaikio pacientų sveikatos būklės stebėjimo tvarkos aprašas), nustatytus kriterijus ir yra ilgalaikio paciento sveikatos būklės stebėjimo paslaugų poreikis, gydytojas specialistas organizuoja ir vykdo ilgalaikį paciento sveikatos būklės stebėjimą Ilgalaikio pacientų sveikatos būklės stebėjimo tvarkos aprašo nustatyta tvarka.</w:t>
                  </w:r>
                </w:p>
              </w:sdtContent>
            </w:sdt>
            <w:sdt>
              <w:sdtPr>
                <w:alias w:val="45 p."/>
                <w:tag w:val="part_56d64d0bb8074ae8bd2b0f49fca97d3d"/>
                <w:lock w:val="sdtLocked"/>
                <w:richText/>
              </w:sdtPr>
              <w:sdtContent>
                <w:p w14:paraId="50CA2CA3" w14:textId="585FBA2F">
                  <w:pPr>
                    <w:pBdr>
                      <w:top w:val="nil"/>
                      <w:left w:val="nil"/>
                      <w:bottom w:val="nil"/>
                      <w:right w:val="nil"/>
                      <w:between w:val="nil"/>
                    </w:pBdr>
                    <w:tabs>
                      <w:tab w:val="left" w:pos="810"/>
                    </w:tabs>
                    <w:ind w:firstLine="720"/>
                    <w:jc w:val="both"/>
                    <w:rPr>
                      <w:color w:val="000000"/>
                      <w:szCs w:val="24"/>
                      <w:lang w:val="lt" w:eastAsia="lt-LT"/>
                    </w:rPr>
                  </w:pPr>
                  <w:sdt>
                    <w:sdtPr>
                      <w:alias w:val="Numeris"/>
                      <w:tag w:val="nr_56d64d0bb8074ae8bd2b0f49fca97d3d"/>
                      <w:lock w:val="sdtLocked"/>
                      <w:richText/>
                    </w:sdtPr>
                    <w:sdtContent>
                      <w:r>
                        <w:rPr>
                          <w:color w:val="000000"/>
                          <w:szCs w:val="24"/>
                          <w:lang w:val="lt" w:eastAsia="lt-LT"/>
                        </w:rPr>
                        <w:t>45</w:t>
                      </w:r>
                    </w:sdtContent>
                  </w:sdt>
                  <w:r>
                    <w:rPr>
                      <w:color w:val="000000"/>
                      <w:szCs w:val="24"/>
                      <w:lang w:val="lt" w:eastAsia="lt-LT"/>
                    </w:rPr>
                    <w:t>. Teikiant Apraše nurodytas paslaugas pildomi elektroniniai medicinos dokumentai E027, E025 ir E027-ats, nurodyti įsakymo Nr. V-657 priede, taip pat užpildoma forma Nr. 025/a-LK „Asmens ambulatorinio gydymo statistinė kortelė“, patvirtinta Lietuvos Respublikos sveikatos apsaugos ministro 1998 m. lapkričio 26 d. įsakymu Nr. 687 „Dėl medicininės apskaitos dokumentų formų tvirtinimo“, ir kiti asmens sveikatos priežiūros paslaugų teikimą reglamentuojančiuose teisės aktuose nustatyti medicinos dokumentai.</w:t>
                  </w:r>
                </w:p>
                <w:p w14:paraId="50CA2CA4" w14:textId="77777777">
                  <w:pPr>
                    <w:jc w:val="center"/>
                    <w:rPr>
                      <w:b/>
                      <w:bCs/>
                      <w:szCs w:val="24"/>
                      <w:lang w:val="lt" w:eastAsia="lt-LT"/>
                    </w:rPr>
                  </w:pPr>
                </w:p>
                <w:p w14:paraId="50CA2CA5" w14:textId="77777777">
                  <w:pPr>
                    <w:jc w:val="center"/>
                    <w:rPr>
                      <w:b/>
                      <w:bCs/>
                      <w:szCs w:val="24"/>
                      <w:lang w:val="lt" w:eastAsia="lt-LT"/>
                    </w:rPr>
                  </w:pPr>
                </w:p>
              </w:sdtContent>
            </w:sdt>
            <w:sdt>
              <w:sdtPr>
                <w:alias w:val="poskyris"/>
                <w:tag w:val="part_4b12f4cc95894b899a5ba93c6a7099e5"/>
                <w:lock w:val="sdtLocked"/>
                <w:richText/>
              </w:sdtPr>
              <w:sdtContent>
                <w:p w14:paraId="50CA2CA6" w14:textId="77777777">
                  <w:pPr>
                    <w:widowControl w:val="0"/>
                    <w:jc w:val="center"/>
                    <w:rPr>
                      <w:szCs w:val="24"/>
                      <w:lang w:val="lt" w:eastAsia="lt-LT"/>
                    </w:rPr>
                  </w:pPr>
                  <w:sdt>
                    <w:sdtPr>
                      <w:alias w:val="Pavadinimas"/>
                      <w:tag w:val="title_4b12f4cc95894b899a5ba93c6a7099e5"/>
                      <w:lock w:val="sdtLocked"/>
                      <w:richText/>
                    </w:sdtPr>
                    <w:sdtContent>
                      <w:r>
                        <w:rPr>
                          <w:b/>
                          <w:bCs/>
                          <w:szCs w:val="24"/>
                          <w:lang w:val="lt" w:eastAsia="lt-LT"/>
                        </w:rPr>
                        <w:t>______________</w:t>
                      </w:r>
                    </w:sdtContent>
                  </w:sdt>
                </w:p>
              </w:sdtContent>
            </w:sdt>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pgMar w:top="1134" w:right="708" w:bottom="1134" w:left="1701" w:header="567" w:footer="284"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DB139E" w14:textId="77777777">
      <w:pPr>
        <w:rPr>
          <w:szCs w:val="24"/>
          <w:lang w:val="lt" w:eastAsia="lt-LT"/>
        </w:rPr>
      </w:pPr>
      <w:r>
        <w:rPr>
          <w:szCs w:val="24"/>
          <w:lang w:val="lt" w:eastAsia="lt-LT"/>
        </w:rPr>
        <w:separator/>
      </w:r>
    </w:p>
  </w:endnote>
  <w:endnote w:type="continuationSeparator" w:id="0">
    <w:p w14:paraId="12486202" w14:textId="77777777">
      <w:pPr>
        <w:rPr>
          <w:szCs w:val="24"/>
          <w:lang w:val="lt" w:eastAsia="lt-LT"/>
        </w:rPr>
      </w:pPr>
      <w:r>
        <w:rPr>
          <w:szCs w:val="24"/>
          <w:lang w:val="lt"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4002EFF" w:usb1="C200247B" w:usb2="00000009" w:usb3="00000000" w:csb0="000001FF" w:csb1="00000000"/>
    <w:embedRegular r:id="rId1" w:fontKey="{F095121E-9D82-4263-B958-991886359060}"/>
  </w:font>
  <w:font w:name="Cambria">
    <w:panose1 w:val="02040503050406030204"/>
    <w:charset w:val="BA"/>
    <w:family w:val="roman"/>
    <w:pitch w:val="variable"/>
    <w:sig w:usb0="E00002FF" w:usb1="400004FF" w:usb2="00000000" w:usb3="00000000" w:csb0="0000019F" w:csb1="00000000"/>
    <w:embedRegular r:id="rId2" w:fontKey="{4233F935-ED24-43BA-8B45-98B094987FA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C0" w14:textId="77777777">
    <w:pPr>
      <w:tabs>
        <w:tab w:val="center" w:pos="4320"/>
        <w:tab w:val="right" w:pos="8640"/>
      </w:tabs>
      <w:rPr>
        <w:szCs w:val="24"/>
        <w:lang w:val="lt"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C1" w14:textId="77777777">
    <w:pPr>
      <w:tabs>
        <w:tab w:val="center" w:pos="4320"/>
        <w:tab w:val="right" w:pos="8640"/>
      </w:tabs>
      <w:rPr>
        <w:szCs w:val="24"/>
        <w:lang w:val="lt"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C3" w14:textId="77777777">
    <w:pPr>
      <w:tabs>
        <w:tab w:val="center" w:pos="4320"/>
        <w:tab w:val="right" w:pos="8640"/>
      </w:tabs>
      <w:rPr>
        <w:szCs w:val="24"/>
        <w:lang w:val="lt"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8BA53FD" w14:textId="77777777">
      <w:pPr>
        <w:rPr>
          <w:szCs w:val="24"/>
          <w:lang w:val="lt" w:eastAsia="lt-LT"/>
        </w:rPr>
      </w:pPr>
      <w:r>
        <w:rPr>
          <w:szCs w:val="24"/>
          <w:lang w:val="lt" w:eastAsia="lt-LT"/>
        </w:rPr>
        <w:separator/>
      </w:r>
    </w:p>
  </w:footnote>
  <w:footnote w:type="continuationSeparator" w:id="0">
    <w:p w14:paraId="556D7D7E" w14:textId="77777777">
      <w:pPr>
        <w:rPr>
          <w:szCs w:val="24"/>
          <w:lang w:val="lt" w:eastAsia="lt-LT"/>
        </w:rPr>
      </w:pPr>
      <w:r>
        <w:rPr>
          <w:szCs w:val="24"/>
          <w:lang w:val="lt"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BD" w14:textId="77777777">
    <w:pPr>
      <w:tabs>
        <w:tab w:val="center" w:pos="4153"/>
        <w:tab w:val="right" w:pos="8306"/>
      </w:tabs>
      <w:rPr>
        <w:szCs w:val="24"/>
        <w:lang w:val="lt"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BE" w14:textId="77777777">
    <w:pPr>
      <w:pBdr>
        <w:top w:val="nil"/>
        <w:left w:val="nil"/>
        <w:bottom w:val="nil"/>
        <w:right w:val="nil"/>
        <w:between w:val="nil"/>
      </w:pBdr>
      <w:tabs>
        <w:tab w:val="center" w:pos="4680"/>
        <w:tab w:val="right" w:pos="9360"/>
      </w:tabs>
      <w:jc w:val="center"/>
      <w:rPr>
        <w:color w:val="000000"/>
        <w:szCs w:val="24"/>
        <w:lang w:val="lt" w:eastAsia="lt-LT"/>
      </w:rPr>
    </w:pPr>
    <w:r>
      <w:rPr>
        <w:color w:val="000000"/>
        <w:szCs w:val="24"/>
        <w:lang w:val="lt" w:eastAsia="lt-LT"/>
      </w:rPr>
      <w:fldChar w:fldCharType="begin"/>
    </w:r>
    <w:r>
      <w:rPr>
        <w:color w:val="000000"/>
        <w:szCs w:val="24"/>
        <w:lang w:val="lt" w:eastAsia="lt-LT"/>
      </w:rPr>
      <w:instrText>PAGE</w:instrText>
    </w:r>
    <w:r>
      <w:rPr>
        <w:color w:val="000000"/>
        <w:szCs w:val="24"/>
        <w:lang w:val="lt" w:eastAsia="lt-LT"/>
      </w:rPr>
      <w:fldChar w:fldCharType="separate"/>
    </w:r>
    <w:r>
      <w:rPr>
        <w:color w:val="000000"/>
        <w:szCs w:val="24"/>
        <w:lang w:val="lt" w:eastAsia="lt-LT"/>
      </w:rPr>
      <w:t>2</w:t>
    </w:r>
    <w:r>
      <w:rPr>
        <w:color w:val="000000"/>
        <w:szCs w:val="24"/>
        <w:lang w:val="lt" w:eastAsia="lt-LT"/>
      </w:rPr>
      <w:fldChar w:fldCharType="end"/>
    </w:r>
  </w:p>
  <w:p w14:paraId="50CA2CBF" w14:textId="77777777">
    <w:pPr>
      <w:tabs>
        <w:tab w:val="center" w:pos="4153"/>
        <w:tab w:val="right" w:pos="8306"/>
      </w:tabs>
      <w:rPr>
        <w:szCs w:val="24"/>
        <w:lang w:val="lt"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CA2CC2" w14:textId="77777777">
    <w:pPr>
      <w:tabs>
        <w:tab w:val="center" w:pos="4986"/>
        <w:tab w:val="right" w:pos="9972"/>
      </w:tabs>
      <w:rPr>
        <w:szCs w:val="24"/>
        <w:lang w:val="lt"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TrueTypeFonts/>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2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CA2B4A"/>
  <w15:docId w15:val="{0251FBE9-8BA7-4F66-B9D3-418A38DEAB0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3.xml"/>
  <Relationship Id="rId2" Type="http://schemas.openxmlformats.org/officeDocument/2006/relationships/customXml" Target="../customXml/item2.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_rels/fontTable.xml.rels><?xml version="1.0" encoding="UTF-8"?>

<Relationships xmlns="http://schemas.openxmlformats.org/package/2006/relationships">
  <Relationship Id="rId1" Type="http://schemas.openxmlformats.org/officeDocument/2006/relationships/font" Target="fonts/font1.odttf"/>
  <Relationship Id="rId2" Type="http://schemas.openxmlformats.org/officeDocument/2006/relationships/font" Target="fonts/font2.odttf"/>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go:gDocsCustomXmlDataStorage xmlns:go="http://customooxmlschemas.google.com/" xmlns:r="http://schemas.openxmlformats.org/officeDocument/2006/relationships" uri="GoogleDocsCustomDataVersion2">
  <go:docsCustomData roundtripDataSignature="AMtx7mhpngfwvB1I0tNeQIDVT0PFfirTcg==">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</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arts xmlns="http://lrs.lt/TAIS/DocParts">
  <Part Type="pagrindine" DocPartId="1efbe92354204533bb74a25608b7c8ca" PartId="c8ed4091e39846b287a7b97bc3f4fe23"/>
  <Part Type="patvirtinta" Title="PRIEŠINĖS LIAUKOS PIKTYBINIO NAVIKO DIAGNOSTIKOS IR AMBULATORINIO GYDYMO PRIVALOMOJO SVEIKATOS DRAUDIMO FONDO BIUDŽETO LĖŠOMIS KOMPENSUOJAMAIS VAISTAIS TVARKOS APRAŠAS" DocPartId="8cc0cf3f9b824049914a0a4ba1b308df" PartId="671b60a7fa5840998e45d533a3d250e9">
    <Part Type="skyrius" Nr="1" Title="BENDROSIOS NUOSTATOS" DocPartId="62183b234143469bb6ebc3931152c34e" PartId="98937063c4564bffb69a4620aee5dd37">
      <Part Type="punktas" Nr="1" Abbr="1 p." DocPartId="926e576330f04347b79d42e289dab777" PartId="3f0ecedec8074ae58ef102422f0f4801"/>
      <Part Type="punktas" Nr="2" Abbr="2 p." DocPartId="3d51d31e77a44d839b5b6309ac5d39bb" PartId="109c796dcdfe44c0ba01ddb65b516e3e">
        <Part Type="papunktis" Nr="2.1" Abbr="2.1 pp." DocPartId="6d6446a311ae48e19e98816ac9c5d1a0" PartId="26ab6c644b534756aec66ea3ca28ef54"/>
        <Part Type="papunktis" Nr="2.2" Abbr="2.2 pp." DocPartId="4322b0d3a37a41d39c01134e4e0274cc" PartId="4e1085f3476240fe81decf54a96aec36"/>
        <Part Type="papunktis" Nr="2.3" Abbr="2.3 pp." DocPartId="596b339d29ac4c64935a9459adf45dc0" PartId="fba44928ecf241aa9f347df7f030fa19"/>
        <Part Type="papunktis" Nr="2.4" Abbr="2.4 pp." DocPartId="2dcc388698d941a39a5cea5f611d37d9" PartId="eb9712f39f044ceaaba9f4cd42aed0a7"/>
        <Part Type="papunktis" Nr="2.5" Abbr="2.5 pp." DocPartId="6a31c9ec2fcf4c4483a629e8c5d7544b" PartId="30fbbb2d957a48b7a66de25d53305dbe"/>
        <Part Type="papunktis" Nr="2.6" Abbr="2.6 pp." DocPartId="9b5479a37f414a21a92f59fb51ea0a70" PartId="0f51744a702b4186bbda7b1cd7cb29ea"/>
        <Part Type="papunktis" Nr="2.7" Abbr="2.7 pp." DocPartId="94988e39d80b47d2b863872d1658d970" PartId="0318c2a12835427bbb4478d29af41de4"/>
        <Part Type="papunktis" Nr="2.8" Abbr="2.8 pp." DocPartId="ac4a4db4f6d34b4a9c4b691b3ee86dff" PartId="c2ccb535ae0346baa2ea6f56e51a41aa"/>
        <Part Type="papunktis" Nr="2.9" Abbr="2.9 pp." DocPartId="bc956b979f7a46e1bcd851d7feac5cc2" PartId="1e842dfc34684b73aafc99ea316b12b2"/>
        <Part Type="papunktis" Nr="2.10" Abbr="2.10 pp." DocPartId="c7d809b638cd45d29d859e8708c5e2b0" PartId="011df3d4055647c39f27a1196d5e0fdf"/>
        <Part Type="papunktis" Nr="2.11" Abbr="2.11 pp." DocPartId="55c6ffd9a6f142bca64a4b9c3e0ac423" PartId="51a37363ab2544198b6d91c60b88c9e0"/>
        <Part Type="papunktis" Nr="2.12" Abbr="2.12 pp." DocPartId="8701c8feecda485691c57c7508ea9bba" PartId="ac97ce5401e7462bb099bd03d643d106"/>
        <Part Type="papunktis" Nr="2.13" Abbr="2.13 pp." DocPartId="b9cfdc6976d34a3e8defc88df0bb3bd9" PartId="763be768b9234aa6ba2091bf2620ea0b"/>
        <Part Type="papunktis" Nr="2.14" Abbr="2.14 pp." DocPartId="f9e78bac43ce4e788e294520e9198bf6" PartId="831e1ef69fa8463cac97a94b9c554b02"/>
        <Part Type="papunktis" Nr="2.15" Abbr="2.15 pp." DocPartId="84e2f7916ded4adc922a91181499c82d" PartId="cc8a4eabce2148d38d36bee1a7f490d2"/>
        <Part Type="papunktis" Nr="2.16" Abbr="2.16 pp." DocPartId="7d45fa3095534cd9a31155b89915f93c" PartId="170ea3b3e9ae4b269d23eb19a5465d21"/>
      </Part>
      <Part Type="punktas" Nr="3" Abbr="3 p." DocPartId="28a61dd5157b4b48adb558882cbbbefd" PartId="9428a242e054468cbe41070717e0bee1"/>
    </Part>
    <Part Type="skyrius" Nr="2" Title="PRIEŠINĖS LIAUKOS PIKTYBINIO NAVIKO DIAGNOZAVIMO TVARKA" DocPartId="b73f70104427474a819f11aae6793961" PartId="74a7d79914fe4944b6fccdb295230aab">
      <Part Type="punktas" Nr="4" Abbr="4 p." DocPartId="f483f74d870345fbb8a56935018490be" PartId="bd24158eae044b20a34f88c67494cc7c"/>
      <Part Type="punktas" Nr="5" Abbr="5 p." DocPartId="2a7dbab1ffbd48beaf025da287b2b966" PartId="bbe8bb5999124882b187d74349a20e13">
        <Part Type="papunktis" Nr="5.1" Abbr="5.1 pp." DocPartId="58ea3cec638a45809d05d0cfd0921eaa" PartId="1c373d597b4940feaa64f110efbe0fd7"/>
        <Part Type="papunktis" Nr="5.2" Abbr="5.2 pp." DocPartId="b4f8b48877b5440ca6e31a04a7758731" PartId="c507b78988ec496d94342d03afaffd42"/>
        <Part Type="papunktis" Nr="5.3" Abbr="5.3 pp." DocPartId="6eeb1f9b1ba64c4b87e778962490f3c2" PartId="5a79faf9d9e340fd8cd038e10986a31c"/>
      </Part>
      <Part Type="punktas" Nr="6" Abbr="6 p." DocPartId="2e994047e5244eff8d32f2f982c115a6" PartId="4cef26a4f2164e208d7899de48802b73"/>
      <Part Type="punktas" Nr="7" Abbr="7 p." DocPartId="facf80b3e2f745aaa9f8b0ec9530bb46" PartId="1832519a0efc4cb2a42fb0c59e50885f">
        <Part Type="papunktis" Nr="7.1" Abbr="7.1 pp." DocPartId="415c189d58a441f5a97e919b98c843bd" PartId="a6376197043245c9bf69e1a016d53e0a"/>
        <Part Type="papunktis" Nr="7.2" Abbr="7.2 pp." DocPartId="9c16185cce72445abbcfefacc16c8751" PartId="69049d802dd34f2d803a461f4ae0fc15"/>
        <Part Type="papunktis" Nr="7.3" Abbr="7.3 pp." DocPartId="007b491bdb2e416c83981f0112e632f8" PartId="6c60d45d04d445a2997bb1007538203e"/>
        <Part Type="papunktis" Nr="7.4" Abbr="7.4 pp." DocPartId="c844711710b04cb58cde9a31a94218cf" PartId="48a27df9ec0a4cac91d07d2730cbe2f7"/>
        <Part Type="papunktis" Nr="7.5" Abbr="7.5 pp." DocPartId="28f2d65840474d329a0eae71b5201bb3" PartId="911a75a14288490ab0f5d544c0b109a6"/>
      </Part>
      <Part Type="punktas" Nr="8" Abbr="8 p." DocPartId="777d44b14a5f4c2087ab93df0d733447" PartId="8299d9917bbd41f98bc2c0a3b7766a38"/>
      <Part Type="punktas" Nr="9" Abbr="9 p." DocPartId="7e979a5e95e84c0781dbaf2cf5cfe000" PartId="62ada11871bf4197a8922e5189a22bb5"/>
      <Part Type="punktas" Nr="10" Abbr="10 p." DocPartId="62bd374084ee45d7a0de24cfce57cf0f" PartId="c1e06347417b46f3a2388384c75acc1b"/>
      <Part Type="punktas" Nr="11" Abbr="11 p." DocPartId="abff2a9fe16f445dbfc91e7746e1cc37" PartId="e4776139745e412096811cce40e77c7a"/>
    </Part>
    <Part Type="skyrius" Nr="3" Title="AMBULATORINIO GYDYMO PSDF BIUDŽETO LĖŠOMIS KOMPENSUOJAMAIS VAISTAIS TVARKA" DocPartId="5fe7902b54a8447c8b1e82776a2b401b" PartId="d078bff5f6c4449ba1f7248bc385e527">
      <Part Type="punktas" Nr="12" Abbr="12 p." DocPartId="237572d1b6ec47dfa51967dac1d87d3e" PartId="408c6caae4754db884cf354897f88bf4"/>
      <Part Type="punktas" Nr="13" Abbr="13 p." DocPartId="babe540d73cc4f5db82546e061dbbaa1" PartId="dcced0765b4246169b820fb4e88bf9a9"/>
      <Part Type="punktas" Nr="14" Abbr="14 p." DocPartId="c6318a36580e43fc89a6c57cf4d31ad2" PartId="5d678299d10848c7a2458954f48100a7">
        <Part Type="papunktis" Nr="14.1" Abbr="14.1 pp." DocPartId="e5e9f08682f6473a83ac0786f22ff765" PartId="51ddcd316fc4441b84a41b2c91cd6c4f"/>
        <Part Type="papunktis" Nr="14.2" Abbr="14.2 pp." DocPartId="681f80a13b664d42961c5f7b5494d760" PartId="7f058fdef0fc404b97e5e54830f81982"/>
        <Part Type="papunktis" Nr="14.3" Abbr="14.3 pp." DocPartId="9c3e501155a84a12991303def4bd2285" PartId="45ecd1ac38f74a219f1fd120e18cb97a"/>
        <Part Type="papunktis" Nr="14.4" Abbr="14.4 pp." DocPartId="0bd0fea7ec154796bbf2d4e75c11354d" PartId="8e8699b109cc4a31b9f447c0b35d277b"/>
      </Part>
      <Part Type="punktas" Nr="15" Abbr="15 p." DocPartId="fbb90d4bf2fb43a6bfed4e933d253a70" PartId="405225c253ee400aa60d26b81f9b30c6">
        <Part Type="papunktis" Nr="15.1" Abbr="15.1 pp." DocPartId="d36b82d16a9f419caecc6204403ab5b9" PartId="68bc96f44b6d4782912e1a310cfa1bc3"/>
        <Part Type="papunktis" Nr="15.2" Abbr="15.2 pp." DocPartId="4f6e6974b2dd4519a032869daffb5469" PartId="d35065662d4a4d9d8a0f0c00cddd7414"/>
        <Part Type="papunktis" Nr="15.3" Abbr="15.3 pp." DocPartId="8ee0f083cb5347f8bb6a38308ae29c6b" PartId="d89a73cc6c9c443e81f142f608bf4b42"/>
      </Part>
      <Part Type="punktas" Nr="16" Abbr="16 p." DocPartId="b7c41bce3b8b4df8953b3d01157e09a8" PartId="d24e67a087b24c0ea786262f71a576da"/>
      <Part Type="punktas" Nr="17" Abbr="17 p." DocPartId="f630774709044d25aac943be95a33025" PartId="7a5ba056c9214bfbbd961c65a75dc98f">
        <Part Type="papunktis" Nr="17.1" Abbr="17.1 pp." DocPartId="cb9b24f540534c5ca903f574bff6eb6a" PartId="f1160424d0af4b5f97fb9ac051ceb90c"/>
        <Part Type="papunktis" Nr="17.2" Abbr="17.2 pp." DocPartId="c345f431e1a54e3a9d73ee36591ab1e6" PartId="b7b3c11068924a53bc821cf26d668212"/>
        <Part Type="papunktis" Nr="17.3" Abbr="17.3 pp." DocPartId="d47a6c9dc71c45a2b34c758b66ca16d9" PartId="1933647c4ef9486f91dd88efd494558b">
          <Part Type="papunktis" Nr="17.3.1" Abbr="17.3.1 pp." DocPartId="cb1db52992c34884bfbacbe246bb857f" PartId="c2755a53e8034faf8e96d640444d0fd8"/>
          <Part Type="papunktis" Nr="17.3.2" Abbr="17.3.2 pp." DocPartId="57d789417058400d9e9e83669c582fdc" PartId="ca0ed769574b4e5f938b272b2b799f13"/>
        </Part>
      </Part>
      <Part Type="punktas" Nr="18" Abbr="18 p." DocPartId="5d4d429d45594e71b647ab18f9464ebe" PartId="10ca4fd743444105a8f4d45eee66848a"/>
      <Part Type="punktas" Nr="19" Abbr="19 p." DocPartId="327385ca90bd4f4cbe659c103fd1a9b8" PartId="7e7e7c6e7a8e49d88e218cfcb9eaabaa">
        <Part Type="papunktis" Nr="19.1" Abbr="19.1 pp." DocPartId="c476181288ba4e7ca332c31c5eeffda3" PartId="7e10ddc597b44508bd03ff057cc63949"/>
        <Part Type="papunktis" Nr="19.2" Abbr="19.2 pp." DocPartId="cdd9755977b747339ef1f04ad491f278" PartId="9ebb8ca01b5744d588211e492c8de4d7">
          <Part Type="papunktis" Nr="19.2.1" Abbr="19.2.1 pp." DocPartId="f2e879a138d94bcc97f7cb5afc4107de" PartId="d86c048c4a8a4c5380c1e2dc2f4fc266"/>
          <Part Type="papunktis" Nr="19.2.2" Abbr="19.2.2 pp." DocPartId="629f320c5350463eb9020b6837ec0ef1" PartId="ab3a474e7c4f43d09e74c97ff4779fdd"/>
        </Part>
        <Part Type="papunktis" Nr="19.3" Abbr="19.3 pp." DocPartId="b3331e6cc141448397428f3b9e713b9a" PartId="08a95b1dc09740f48a3c6b261b56bdcd"/>
      </Part>
      <Part Type="punktas" Nr="20" Abbr="20 p." DocPartId="d0b2f5243e9f4d549b52b5a7b4477330" PartId="35e548d72bd94410a7bde1b848e49755">
        <Part Type="papunktis" Nr="20.1" Abbr="20.1 pp." DocPartId="2bb7032a94a9474e919129408e610b12" PartId="941e2b8fe418486aacf292177641214a"/>
        <Part Type="papunktis" Nr="20.2" Abbr="20.2 pp." DocPartId="884478dccd944a2e8d1fd786dc2acdc6" PartId="af3d83d7b9b64420952906f7a379d0eb">
          <Part Type="papunktis" Nr="20.2.1" Abbr="20.2.1 pp." DocPartId="fe762a68d8884bb4a2b5a37039010860" PartId="dbc5d0da4c844abca7d1ff06de8ca176"/>
          <Part Type="papunktis" Nr="20.2.2" Abbr="20.2.2 pp." DocPartId="8c92452d09304cfca4c1231db7f5f9cf" PartId="dca02dbccf4f44fe8be367a094d4e762"/>
        </Part>
        <Part Type="papunktis" Nr="20.3" Abbr="20.3 pp." DocPartId="e1278514bffd4209a5d1e2036cda4b9e" PartId="8661417099bb440681776c60eef317e7"/>
      </Part>
      <Part Type="punktas" Nr="21" Abbr="21 p." DocPartId="e58d8a6b2a7843808af8d868a015cb16" PartId="15734cf33c114b6c94473ce036999b8a">
        <Part Type="papunktis" Nr="21.1" Abbr="21.1 pp." DocPartId="ee19e2dc86c34ad28d4dad8161f4a110" PartId="1f5d0f949dc04465b45221ef0bfbe18c"/>
        <Part Type="papunktis" Nr="21.2" Abbr="21.2 pp." DocPartId="79fd2041eb474db5a99d68a71949576c" PartId="bea11f78344b4381a3e8c41d6f404437"/>
      </Part>
      <Part Type="punktas" Nr="22" Abbr="22 p." DocPartId="5387114b26524b1cb112f69a6b33788c" PartId="ffa89be2b4dd4a34acdf3ecb0d08e5ab">
        <Part Type="papunktis" Nr="22.1" Abbr="22.1 pp." DocPartId="21ad13a845174e1889310150b3de844d" PartId="deabeff5f3114c078b57e1ff1c350700"/>
        <Part Type="papunktis" Nr="22.2" Abbr="22.2 pp." DocPartId="74df4d5fdbb446508db23f1e3f03f256" PartId="e9adc07f26a6459cbfcbb34fc0bf01e1"/>
        <Part Type="papunktis" Nr="22.3" Abbr="22.3 pp." DocPartId="33592f8508734ed78b8d9bc5d92166ed" PartId="07b249ab5a77489c98d151e26c6563e5"/>
        <Part Type="papunktis" Nr="22.4" Abbr="22.4 pp." DocPartId="cf87556276b046bf83a62e27133c93d5" PartId="f56d123e11a04bccae89eee1d6046013"/>
      </Part>
      <Part Type="punktas" Nr="23" Abbr="23 p." DocPartId="60291c394860470396a260a465850f12" PartId="8ffce0790a2345199e7cdc2378d7a0e3">
        <Part Type="papunktis" Nr="23.1" Abbr="23.1 pp." DocPartId="fe98215b36f843c7adc61ff3db87f441" PartId="296605e47e2c406688e282fe9e3d8cc9"/>
        <Part Type="papunktis" Nr="23.2" Abbr="23.2 pp." DocPartId="d335301811d84e338fe3246652a39029" PartId="6c9be82be8d443eca2c75bb26edbfcb8"/>
        <Part Type="papunktis" Nr="23.3" Abbr="23.3 pp." DocPartId="92e5681d018d40f28ccca1404a4c4ce4" PartId="5a8077811753470b9781895d72629ba1"/>
        <Part Type="papunktis" Nr="23.4" Abbr="23.4 pp." DocPartId="c91d140efd1949069b82d7a6d8da9db8" PartId="c09c5edb78d441db9a59feccee3c415a"/>
        <Part Type="papunktis" Nr="23.5" Abbr="23.5 pp." DocPartId="a72978b390c5496ab1e80c958a77bede" PartId="53514678dd114d16874fe5dd14607325"/>
        <Part Type="papunktis" Nr="23.6" Abbr="23.6 pp." DocPartId="ef98525b2e53482092d573d76750f81e" PartId="82bca8d4dc0f4235b8af675d4e7286da"/>
        <Part Type="papunktis" Nr="23.7" Abbr="23.7 pp." DocPartId="7140d214037c4c14900b4b23dbfe84f7" PartId="b04f7ec9772843e3bef2d1012a94bd98"/>
      </Part>
      <Part Type="punktas" Nr="24" Abbr="24 p." DocPartId="8f0d9f30fea740dbb2bba3f79d6d543d" PartId="7e0dff040bb9403fb849a420c02a9057">
        <Part Type="papunktis" Nr="24.1" Abbr="24.1 pp." DocPartId="b3f40fa4f6ce47feab543afc7014feb0" PartId="1c23bf5fd0094bce98436ebe13aacf9e"/>
        <Part Type="papunktis" Nr="24.2" Abbr="24.2 pp." DocPartId="142a8f3959934e75a466c4f07693a174" PartId="4c355a9b07264c7da209534e915ef420"/>
      </Part>
      <Part Type="punktas" Nr="25" Abbr="25 p." DocPartId="3a72b99efce24922bcca1fca3350a1d5" PartId="d7d2debc4a424b888ebfbb24853ab8f1">
        <Part Type="papunktis" Nr="25.1" Abbr="25.1 pp." DocPartId="c91bb344f19043e2af1cf691105b63a4" PartId="31b4ff119d93414597a566fa5bc1bf62"/>
        <Part Type="papunktis" Nr="25.2" Abbr="25.2 pp." DocPartId="12c6bf128e484109baef2b73310f2f2d" PartId="b325790ad3164945b0d8551deedd5ec8"/>
        <Part Type="papunktis" Nr="25.3" Abbr="25.3 pp." DocPartId="e7e83bf665954ec498af74ecc6083227" PartId="c6167f291cfa4ec2817493da6be8c039"/>
        <Part Type="papunktis" Nr="25.4" Abbr="25.4 pp." DocPartId="a4f90c1945bb46df95c1a1f4b1c186cd" PartId="56e75038a1404e089b648b3c42bb910e"/>
        <Part Type="papunktis" Nr="25.5" Abbr="25.5 pp." DocPartId="aa1c82e565e74b3cb0f091863f6949c4" PartId="0d6c863c862a46a0a8617c0145a382c1"/>
      </Part>
      <Part Type="skirsnis" Nr="4" Title="SISTEMINIO PRIEŠINĖS LIAUKOS PIKTYBINIO NAVIKO AMBULATORINIO GYDYMO PSDF BIUDŽETO LĖŠOMIS KOMPENSUOJAMAIS VAISTAIS TVARKA" DocPartId="302740c19640459e9dd75738a6e05639" PartId="157aa5b9bf7c4d92b94fba032812772e">
        <Part Type="punktas" Nr="26" Abbr="26 p." DocPartId="832762fc2b61429aaa0de6af8529dff2" PartId="f3c00f08df664a43b22e0406b80c4c09"/>
        <Part Type="punktas" Nr="27" Abbr="27 p." DocPartId="13be0fdf205743e0ba387312bc02d14b" PartId="5dc3fbd90b024db1aa5479054a64cda5">
          <Part Type="papunktis" Nr="27.1" Abbr="27.1 pp." DocPartId="48af4b83bf524765a49e4cc1d9b9eabf" PartId="18c13aa0283943b7b0d8eeb5bcba40e7"/>
          <Part Type="papunktis" Nr="27.2" Abbr="27.2 pp." DocPartId="c9a020d7081b4d7c959c04aa6a55d575" PartId="3e244df37f6c4fa9b9ea41d0db673163"/>
          <Part Type="papunktis" Nr="27.3" Abbr="27.3 pp." DocPartId="d42e4b95178044949b98496a816ad4a2" PartId="c44f6722e57145f1898d3fac87bcf6e8"/>
          <Part Type="papunktis" Nr="27.4" Abbr="27.4 pp." DocPartId="883259d9824f4ec683db1bb2f2cd024b" PartId="89020c4d3d144fdd8f5cdb38e0be0208"/>
          <Part Type="papunktis" Nr="27.5" Abbr="27.5 pp." DocPartId="1a1862ca76ac4d1c8975e4f469e314da" PartId="addb817e61674301baf83678c636bfe2"/>
        </Part>
        <Part Type="punktas" Nr="28" Abbr="28 p." DocPartId="b4b81eafd31e4487a0153535965bf80a" PartId="a195f982270f4c509ca7612d7c0d499f">
          <Part Type="papunktis" Nr="28.1" Abbr="28.1 pp." DocPartId="68f3d391cbc24b9187673d6809c92f64" PartId="c59fb0fb2d6c41a6a34f4ef85fbba28d"/>
          <Part Type="papunktis" Nr="28.2" Abbr="28.2 pp." DocPartId="26d136839ca141598f588dd442724111" PartId="11a2d2d15be2425996ae7e778f047f28"/>
        </Part>
        <Part Type="punktas" Nr="29" Abbr="29 p." DocPartId="acd7367b00164c958759b993c99398c1" PartId="330f22cc36004ad79d2f7dbf18b9018a"/>
        <Part Type="punktas" Nr="30" Abbr="30 p." DocPartId="9c42d90f33a342e4bfb8e062e210d836" PartId="89204a3aa61245f48e59d80b464f28d9"/>
        <Part Type="punktas" Nr="31" Abbr="31 p." DocPartId="33a98020e000467090c8b5adfd3d896f" PartId="dbe28de308624fb4b0442f06d84c40ea">
          <Part Type="papunktis" Nr="31.1" Abbr="31.1 pp." DocPartId="05767dc82a50468799dc15a9f5fa49bd" PartId="9ea67e478a0c4a4abfcbd9be1e4541ef"/>
          <Part Type="papunktis" Nr="31.2" Abbr="31.2 pp." DocPartId="85a7e8181ade495c9d5afe252c30b8b8" PartId="6fc33e5abf7d41dc95f1177d602c2383"/>
        </Part>
        <Part Type="punktas" Nr="32" Abbr="32 p." DocPartId="cc040dfcfdf749bdb1ebb41c1fa25d81" PartId="d80d62d2322446819662bd0306a0c798">
          <Part Type="papunktis" Nr="32.1" Abbr="32.1 pp." DocPartId="1196a645429c4e23932abe64f9871c2b" PartId="9bd40b4eb67c4cbc8969910bdf8b78b7"/>
          <Part Type="papunktis" Nr="32.2" Abbr="32.2 pp." DocPartId="23558a962e054ffbad0c9e2590e6e2d0" PartId="a361b315af6d4372940bb98fc48ab4cd"/>
          <Part Type="papunktis" Nr="32.3" Abbr="32.3 pp." DocPartId="423269315aa44ac6b7ccbe60e9a2ddc7" PartId="6ff9d5da5acb46ce8337d7f224f52cf4"/>
        </Part>
        <Part Type="punktas" Nr="33" Abbr="33 p." DocPartId="beb821e4938c40ad9dab1e1f9aa96cbe" PartId="31fa85f130e64b6482d0c47f33c69779"/>
        <Part Type="punktas" Nr="34" Abbr="34 p." DocPartId="156ef04cbfdc44438816068e488f70d9" PartId="b7b1d1d8cdc249109a1fd1d1e126b7d5"/>
        <Part Type="punktas" Nr="35" Abbr="35 p." DocPartId="e274b773a4704f88979b9086e5129342" PartId="fe60ce593d94417cbd69f43f3d7ee9f7"/>
      </Part>
    </Part>
    <Part Type="skyrius" Nr="5" Title="AMBULATORINIO GYDYMO PSDF BIUDŽETO LĖŠOMIS KOMPENSUOJAMAIS VAISTAIS EFEKTYVUMO VERTINIMO TVARKA" Notes="Numeris ne iš eilės. Trūksta dalių? [DocDalys]" DocPartId="e9269b501b8e46ddaef9be29f3a29c84" PartId="de4d0c254d9349e598780cd75f80f10f">
      <Part Type="punktas" Nr="36" Abbr="36 p." DocPartId="e319bb5c923b46aaa7f3a30f328bf2d6" PartId="3f1be385fe2e4af59ee2331369978833"/>
      <Part Type="punktas" Nr="37" Abbr="37 p." DocPartId="17a5a17bd6744ae28b45ebbac1a79c00" PartId="6531c05d8a0f4f71b69e75c54b66b0ad"/>
      <Part Type="punktas" Nr="38" Abbr="38 p." DocPartId="140ecd66e9ca463184de953fb3c9d034" PartId="a8d834ed91b24a81b6aebb7df1895dce"/>
      <Part Type="punktas" Nr="39" Abbr="39 p." DocPartId="f8eaa7b83c8144fe86a88be3c768c4d9" PartId="44070ceda7a540e79d1b4c19b57e7289"/>
      <Part Type="punktas" Nr="40" Abbr="40 p." DocPartId="5f54d0406f9d45ffb320e66675290ad0" PartId="09104c1a188b44d5830ca23829656a05"/>
      <Part Type="punktas" Nr="41" Abbr="41 p." DocPartId="bedd0943187f48a0818ef934f5e519e2" PartId="bba146b4f2b845cfa2a23822a8cf5836">
        <Part Type="papunktis" Nr="41.1" Abbr="41.1 pp." DocPartId="b518f90c605a4b05a56e7d9cc2f0bf56" PartId="8deb297ffae54b58b979aefb94d79c83"/>
        <Part Type="papunktis" Nr="41.2" Abbr="41.2 pp." DocPartId="8c0091609c914a0088e63118d87f5864" PartId="ae154de61c6346b386e2329756331d37"/>
        <Part Type="papunktis" Nr="41.3" Abbr="41.3 pp." DocPartId="b1b40147159b4307bfc7810116f2178c" PartId="1e039a56e1254b63a77d4fd91a1ebc12"/>
      </Part>
      <Part Type="punktas" Nr="42" Abbr="42 p." DocPartId="def92027117b496e837a43bbbf9e20af" PartId="a79542e5c1924e19bd7c1d8d85b1ec09"/>
    </Part>
    <Part Type="skyrius" Nr="6" Title="BAIGIAMOSIOS NUOSTATOS" DocPartId="3f9023d15c3246c49f35e31e0a58ff8b" PartId="2f3da1bb8c364e19a8029be36c1abd01">
      <Part Type="punktas" Nr="43" Abbr="43 p." DocPartId="9b9b0caa26e84cddac2ef3b5af54cda3" PartId="79d6553feab74b7298030bb49532869e"/>
      <Part Type="punktas" Nr="44" Abbr="44 p." DocPartId="1a69b67f7b604e0f8322851c8238d2a3" PartId="23aeef83d0554f489c383a99fe850e2e"/>
      <Part Type="punktas" Nr="45" Abbr="45 p." DocPartId="7b6d557279a644d595b918cc784977f1" PartId="56d64d0bb8074ae8bd2b0f49fca97d3d"/>
      <Part Type="poskyris" Title="______________" DocPartId="9f36c9c5974e48f190963ef06eda4c7d" PartId="4b12f4cc95894b899a5ba93c6a7099e5"/>
    </Part>
  </Part>
</Parts>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E68F6AEB-D3B4-4EC1-96E7-528FD39914D6}">
  <ds:schemaRefs>
    <ds:schemaRef ds:uri="http://schemas.openxmlformats.org/officeDocument/2006/bibliography"/>
  </ds:schemaRefs>
</ds:datastoreItem>
</file>

<file path=customXml/itemProps3.xml><?xml version="1.0" encoding="utf-8"?>
<ds:datastoreItem xmlns:ds="http://schemas.openxmlformats.org/officeDocument/2006/customXml" ds:itemID="{237C3710-592A-4C5F-B9D2-4B378AF423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5065</Words>
  <Characters>36220</Characters>
  <Application>Microsoft Office Word</Application>
  <DocSecurity>4</DocSecurity>
  <Lines>754</Lines>
  <Paragraphs>317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40968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2026-07-09T16:44:00Z</dcterms:created>
  <dc:creator>Vita Korsakienė</dc:creator>
  <lastModifiedBy>adlibuser</lastModifiedBy>
  <dcterms:modified xsi:type="dcterms:W3CDTF">2026-07-09T16:44:00Z</dcterms:modified>
  <revision>2</revision>
</coreProperties>
</file>