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a2d2d5af654400ab3e9bc57235936ab"/>
        <w:lock w:val="sdtLocked"/>
        <w:richText/>
      </w:sdtPr>
      <w:sdtContent>
        <w:p w14:paraId="107A3EAF" w14:textId="77777777">
          <w:pPr>
            <w:widowControl w:val="0"/>
            <w:suppressLineNumbers/>
            <w:suppressAutoHyphens/>
            <w:rPr>
              <w:rFonts w:eastAsia="HG Mincho Light J"/>
              <w:color w:val="000000"/>
              <w:szCs w:val="24"/>
            </w:rPr>
          </w:pPr>
          <w:r>
            <w:rPr>
              <w:rFonts w:eastAsia="HG Mincho Light J"/>
              <w:i/>
              <w:color w:val="000000"/>
              <w:sz w:val="20"/>
              <w:szCs w:val="24"/>
            </w:rPr>
            <w:object w:dxaOrig="1440" w:dyaOrig="1440" w14:anchorId="72B2EF6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1" type="#_x0000_t75" style="position:absolute;margin-left:215.95pt;margin-top:20.25pt;width:40.95pt;height:49.85pt;z-index:251657216;mso-wrap-distance-left:0;mso-wrap-distance-right:0" filled="t">
                <v:fill color2="black" type="frame"/>
                <v:imagedata r:id="rId6" o:title=""/>
                <w10:wrap type="topAndBottom"/>
              </v:shape>
              <o:OLEObject Type="Embed" ProgID="OutPlace" ShapeID="_x0000_s2051" DrawAspect="Content" ObjectID="_1822745767" r:id="rId7"/>
            </w:object>
          </w:r>
        </w:p>
        <w:p w14:paraId="3CC3766C" w14:textId="3619FDDD">
          <w:pPr>
            <w:keepNext/>
            <w:widowControl w:val="0"/>
            <w:tabs>
              <w:tab w:val="left" w:pos="0"/>
            </w:tabs>
            <w:suppressAutoHyphens/>
            <w:ind w:firstLine="720"/>
            <w:jc w:val="center"/>
            <w:outlineLvl w:val="1"/>
            <w:rPr>
              <w:rFonts w:eastAsia="HG Mincho Light J"/>
              <w:b/>
              <w:color w:val="000000"/>
              <w:szCs w:val="24"/>
            </w:rPr>
          </w:pPr>
        </w:p>
        <w:p w14:paraId="31A2E593" w14:textId="33B15BC2">
          <w:pPr>
            <w:keepNext/>
            <w:widowControl w:val="0"/>
            <w:tabs>
              <w:tab w:val="left" w:pos="0"/>
            </w:tabs>
            <w:suppressAutoHyphens/>
            <w:ind w:firstLine="720"/>
            <w:jc w:val="center"/>
            <w:outlineLvl w:val="1"/>
            <w:rPr>
              <w:rFonts w:eastAsia="HG Mincho Light J"/>
              <w:b/>
              <w:color w:val="000000"/>
              <w:szCs w:val="24"/>
            </w:rPr>
          </w:pPr>
          <w:r>
            <w:rPr>
              <w:rFonts w:eastAsia="HG Mincho Light J"/>
              <w:b/>
              <w:color w:val="000000"/>
              <w:szCs w:val="24"/>
            </w:rPr>
            <w:t>ŠIAULIŲ MIESTO SAVIVALDYBĖS ADMINISTRACIJA</w:t>
          </w:r>
        </w:p>
        <w:p w14:paraId="514E1829" w14:textId="7B66D975">
          <w:pPr>
            <w:keepNext/>
            <w:widowControl w:val="0"/>
            <w:tabs>
              <w:tab w:val="left" w:pos="0"/>
            </w:tabs>
            <w:suppressAutoHyphens/>
            <w:ind w:firstLine="720"/>
            <w:jc w:val="center"/>
            <w:outlineLvl w:val="1"/>
            <w:rPr>
              <w:rFonts w:eastAsia="HG Mincho Light J"/>
              <w:b/>
              <w:color w:val="000000"/>
              <w:szCs w:val="24"/>
            </w:rPr>
          </w:pPr>
        </w:p>
        <w:p w14:paraId="299552EB" w14:textId="71595523">
          <w:pPr>
            <w:widowControl w:val="0"/>
            <w:suppressAutoHyphens/>
            <w:jc w:val="center"/>
            <w:rPr>
              <w:rFonts w:eastAsia="HG Mincho Light J"/>
              <w:color w:val="000000"/>
              <w:szCs w:val="24"/>
            </w:rPr>
          </w:pPr>
          <w:r>
            <w:rPr>
              <w:rFonts w:eastAsia="HG Mincho Light J"/>
              <w:b/>
              <w:color w:val="000000"/>
              <w:szCs w:val="24"/>
            </w:rPr>
            <w:t xml:space="preserve">NEGYVENAMOJO PASTATO – PERĖJIMO POSTO PIRKIMO, NESKELBIAMŲ DERYBŲ BŪDŲ, </w:t>
          </w:r>
          <w:r>
            <w:rPr>
              <w:b/>
              <w:color w:val="000000"/>
              <w:szCs w:val="24"/>
            </w:rPr>
            <w:t>KOMISIJA</w:t>
          </w:r>
        </w:p>
        <w:p w14:paraId="609AC6D4" w14:textId="062603A7">
          <w:pPr>
            <w:keepNext/>
            <w:widowControl w:val="0"/>
            <w:tabs>
              <w:tab w:val="left" w:pos="0"/>
            </w:tabs>
            <w:suppressAutoHyphens/>
            <w:ind w:firstLine="720"/>
            <w:jc w:val="center"/>
            <w:rPr>
              <w:rFonts w:eastAsia="HG Mincho Light J"/>
              <w:color w:val="000000"/>
              <w:szCs w:val="24"/>
            </w:rPr>
          </w:pPr>
          <w:r>
            <w:rPr>
              <w:rFonts w:eastAsia="HG Mincho Light J"/>
              <w:color w:val="000000"/>
              <w:szCs w:val="24"/>
            </w:rPr>
            <w:t xml:space="preserve">Biudžetinė įstaiga, Vasario 16-osios g. 62, 76295 Šiauliai, </w:t>
          </w:r>
        </w:p>
        <w:p w14:paraId="2CCA9B78" w14:textId="4C26C37A">
          <w:pPr>
            <w:keepNext/>
            <w:widowControl w:val="0"/>
            <w:tabs>
              <w:tab w:val="left" w:pos="0"/>
            </w:tabs>
            <w:suppressAutoHyphens/>
            <w:ind w:firstLine="720"/>
            <w:jc w:val="center"/>
            <w:rPr>
              <w:rFonts w:eastAsia="HG Mincho Light J"/>
              <w:color w:val="000000"/>
              <w:szCs w:val="24"/>
            </w:rPr>
          </w:pPr>
          <w:r>
            <w:rPr>
              <w:rFonts w:eastAsia="HG Mincho Light J"/>
              <w:color w:val="000000"/>
              <w:szCs w:val="24"/>
            </w:rPr>
            <w:t xml:space="preserve">tel. (+370 41)  59 62 00, faks. (+370 41)  52 41 15, el. p. rastine@siauliai.lt.</w:t>
          </w:r>
        </w:p>
        <w:p w14:paraId="73BB0602" w14:textId="7B38C692">
          <w:pPr>
            <w:keepNext/>
            <w:widowControl w:val="0"/>
            <w:tabs>
              <w:tab w:val="left" w:pos="0"/>
            </w:tabs>
            <w:suppressAutoHyphens/>
            <w:ind w:firstLine="720"/>
            <w:jc w:val="center"/>
            <w:rPr>
              <w:rFonts w:eastAsia="HG Mincho Light J"/>
              <w:b/>
              <w:color w:val="000000"/>
              <w:szCs w:val="24"/>
            </w:rPr>
          </w:pPr>
          <w:r>
            <w:rPr>
              <w:rFonts w:eastAsia="HG Mincho Light J"/>
              <w:color w:val="000000"/>
              <w:szCs w:val="24"/>
            </w:rPr>
            <w:t>Duomenys kaupiami ir saugomi Juridinių asmenų registre, kodas 188771865</w:t>
          </w:r>
        </w:p>
        <w:p w14:paraId="68E27C80" w14:textId="77777777">
          <w:pPr>
            <w:widowControl w:val="0"/>
            <w:suppressAutoHyphens/>
            <w:rPr>
              <w:rFonts w:eastAsia="HG Mincho Light J"/>
              <w:color w:val="000000"/>
              <w:szCs w:val="24"/>
            </w:rPr>
          </w:pPr>
          <w:r>
            <w:rPr>
              <w:rFonts w:eastAsia="HG Mincho Light J"/>
              <w:color w:val="000000"/>
              <w:szCs w:val="24"/>
              <w:lang w:val="en-US"/>
            </w:rPr>
            <mc:AlternateContent>
              <mc:Choice Requires="wps">
                <w:drawing>
                  <wp:anchor distT="0" distB="0" distL="114300" distR="114300" simplePos="0" relativeHeight="251658240" behindDoc="0" locked="0" layoutInCell="1" allowOverlap="1" wp14:anchorId="55981E9C" wp14:editId="47DB23CF">
                    <wp:simplePos x="0" y="0"/>
                    <wp:positionH relativeFrom="column">
                      <wp:posOffset>41275</wp:posOffset>
                    </wp:positionH>
                    <wp:positionV relativeFrom="paragraph">
                      <wp:posOffset>53975</wp:posOffset>
                    </wp:positionV>
                    <wp:extent cx="6050915" cy="0"/>
                    <wp:effectExtent l="12700" t="6350" r="13335" b="12700"/>
                    <wp:wrapNone/>
                    <wp:docPr id="2" name="AutoShap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5091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0E70B876" id="_x0000_t32" coordsize="21600,21600" o:spt="32" o:oned="t" path="m,l21600,21600e" filled="f">
                    <v:path arrowok="t" fillok="f" o:connecttype="none"/>
                    <o:lock v:ext="edit" shapetype="t"/>
                  </v:shapetype>
                  <v:shape id="AutoShape 10" o:spid="_x0000_s1026" type="#_x0000_t32" style="position:absolute;margin-left:3.25pt;margin-top:4.25pt;width:476.45pt;height:0;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F0Mf+HwIAADwEAAAOAAAAZHJzL2Uyb0RvYy54bWysU82O2jAQvlfqO1i+s0looBARVqsEetm2 SLt9AGM7iVXHtmxDQFXfvWNDENteqqo5OGPPzDff/K0eT71ER26d0KrE2UOKEVdUM6HaEn973U4W GDlPFCNSK17iM3f4cf3+3WowBZ/qTkvGLQIQ5YrBlLjz3hRJ4mjHe+IetOEKlI22PfFwtW3CLBkA vZfJNE3nyaAtM1ZT7hy81hclXkf8puHUf20axz2SJQZuPp42nvtwJusVKVpLTCfolQb5BxY9EQqC 3qBq4gk6WPEHVC+o1U43/oHqPtFNIyiPOUA2WfpbNi8dMTzmAsVx5lYm9/9g6ZfjziLBSjzFSJEe WvR08DpGRlmsz2BcAWaV2tmQIT2pF/Os6XeHlK46oloerV/PBpyzUNHkjUu4OANR9sNnzcCGQIBY rFNj+wAJZUCn2JPzrSf85BGFx3k6S5fZDCM66hJSjI7GOv+J6x4FocTOWyLazldaKei8tlkMQ47P zgdapBgdQlSlt0LKOABSoaHEy9l0Fh2cloIFZTBztt1X0qIjCSMUv5gjaO7NrD4oFsE6TtjmKnsi 5EWG4FIFPEgM6Fyly4z8WKbLzWKzyCf5dL6Z5GldT562VT6Zb7OPs/pDXVV19jNQy/KiE4xxFdiN 85rlfzcP1825TNptYm9lSN6ix3oB2fEfScfOhmaGBXPFXrPzzo4dhxGNxtd1Cjtwfwf5funXvwAA AP//AwBQSwMEFAAGAAgAAAAhAEl1+9LaAAAABQEAAA8AAABkcnMvZG93bnJldi54bWxMjkFLw0AU hO+C/2F5ghexmxZTmphNKYIHj7YFr6/ZZxLNvg3ZTRP763160dMwzDDzFdvZdepMQ2g9G1guElDE lbct1waOh+f7DagQkS12nsnAFwXYltdXBebWT/xK532slYxwyNFAE2Ofax2qhhyGhe+JJXv3g8Mo dqi1HXCScdfpVZKstcOW5aHBnp4aqj73ozNAYUyXyS5z9fHlMt29rS4fU38w5vZm3j2CijTHvzL8 4As6lMJ08iPboDoD61SKBjYikmZp9gDq9Ot1Wej/9OU3AAAA//8DAFBLAQItABQABgAIAAAAIQC2 gziS/gAAAOEBAAATAAAAAAAAAAAAAAAAAAAAAABbQ29udGVudF9UeXBlc10ueG1sUEsBAi0AFAAG AAgAAAAhADj9If/WAAAAlAEAAAsAAAAAAAAAAAAAAAAALwEAAF9yZWxzLy5yZWxzUEsBAi0AFAAG AAgAAAAhAMXQx/4fAgAAPAQAAA4AAAAAAAAAAAAAAAAALgIAAGRycy9lMm9Eb2MueG1sUEsBAi0A FAAGAAgAAAAhAEl1+9LaAAAABQEAAA8AAAAAAAAAAAAAAAAAeQQAAGRycy9kb3ducmV2LnhtbFBL BQYAAAAABAAEAPMAAACABQAAAAA= "/>
                </w:pict>
              </mc:Fallback>
            </mc:AlternateContent>
          </w:r>
        </w:p>
        <w:p w14:paraId="53CF2B6B" w14:textId="77777777">
          <w:pPr>
            <w:widowControl w:val="0"/>
            <w:suppressAutoHyphens/>
            <w:jc w:val="center"/>
            <w:rPr>
              <w:rFonts w:eastAsia="HG Mincho Light J"/>
              <w:color w:val="000000"/>
              <w:szCs w:val="24"/>
            </w:rPr>
          </w:pPr>
        </w:p>
        <w:p w14:paraId="4DC17772" w14:textId="77777777">
          <w:pPr>
            <w:widowControl w:val="0"/>
            <w:suppressLineNumbers/>
            <w:suppressAutoHyphens/>
            <w:jc w:val="center"/>
            <w:rPr>
              <w:rFonts w:eastAsia="HG Mincho Light J"/>
              <w:b/>
              <w:bCs/>
              <w:color w:val="000000"/>
              <w:szCs w:val="24"/>
            </w:rPr>
          </w:pPr>
          <w:r>
            <w:rPr>
              <w:rFonts w:eastAsia="HG Mincho Light J"/>
              <w:b/>
              <w:bCs/>
              <w:color w:val="000000"/>
              <w:szCs w:val="24"/>
            </w:rPr>
            <w:t>ATASKAITA</w:t>
          </w:r>
        </w:p>
        <w:p w14:paraId="12102683" w14:textId="0CBAAA8C">
          <w:pPr>
            <w:widowControl w:val="0"/>
            <w:suppressAutoHyphens/>
            <w:jc w:val="center"/>
            <w:rPr>
              <w:rFonts w:eastAsia="HG Mincho Light J"/>
              <w:b/>
              <w:color w:val="000000"/>
              <w:szCs w:val="24"/>
            </w:rPr>
          </w:pPr>
          <w:r>
            <w:rPr>
              <w:rFonts w:eastAsia="HG Mincho Light J"/>
              <w:b/>
              <w:color w:val="000000"/>
              <w:szCs w:val="24"/>
            </w:rPr>
            <w:t>DĖL PASTATO – PERĖJIMO POSTO, ESANČIO TILŽĖS G. 74 A, ŠIAULIUOSE, PIRKIMO</w:t>
          </w:r>
        </w:p>
        <w:p w14:paraId="10A217C1" w14:textId="21FC6665">
          <w:pPr>
            <w:widowControl w:val="0"/>
            <w:tabs>
              <w:tab w:val="center" w:pos="5049"/>
            </w:tabs>
            <w:suppressAutoHyphens/>
            <w:jc w:val="center"/>
            <w:rPr>
              <w:rFonts w:eastAsia="HG Mincho Light J"/>
              <w:color w:val="000000"/>
              <w:szCs w:val="24"/>
              <w:lang w:eastAsia="lt-LT"/>
            </w:rPr>
          </w:pPr>
          <w:r>
            <w:rPr>
              <w:rFonts w:eastAsia="HG Mincho Light J"/>
              <w:color w:val="000000"/>
              <w:szCs w:val="24"/>
              <w:lang w:eastAsia="lt-LT"/>
            </w:rPr>
            <w:t>2025 m. spalio 2 d.</w:t>
          </w:r>
        </w:p>
        <w:p w14:paraId="35760860" w14:textId="77777777">
          <w:pPr>
            <w:widowControl w:val="0"/>
            <w:tabs>
              <w:tab w:val="center" w:pos="5049"/>
            </w:tabs>
            <w:suppressAutoHyphens/>
            <w:jc w:val="center"/>
            <w:rPr>
              <w:rFonts w:eastAsia="HG Mincho Light J"/>
              <w:color w:val="000000"/>
              <w:szCs w:val="24"/>
              <w:lang w:eastAsia="lt-LT"/>
            </w:rPr>
          </w:pPr>
          <w:r>
            <w:rPr>
              <w:rFonts w:eastAsia="HG Mincho Light J"/>
              <w:color w:val="000000"/>
              <w:szCs w:val="24"/>
              <w:lang w:eastAsia="lt-LT"/>
            </w:rPr>
            <w:t>Šiauliai</w:t>
          </w:r>
        </w:p>
        <w:p w14:paraId="0C2C2CBC" w14:textId="77777777">
          <w:pPr>
            <w:widowControl w:val="0"/>
            <w:tabs>
              <w:tab w:val="center" w:pos="5049"/>
            </w:tabs>
            <w:suppressAutoHyphens/>
            <w:jc w:val="both"/>
            <w:rPr>
              <w:rFonts w:eastAsia="HG Mincho Light J"/>
              <w:color w:val="000000"/>
              <w:szCs w:val="24"/>
              <w:lang w:eastAsia="lt-LT"/>
            </w:rPr>
          </w:pPr>
        </w:p>
        <w:p w14:paraId="15BCE451" w14:textId="640F00B2">
          <w:pPr>
            <w:widowControl w:val="0"/>
            <w:tabs>
              <w:tab w:val="left" w:pos="567"/>
            </w:tabs>
            <w:suppressAutoHyphens/>
            <w:ind w:firstLine="691"/>
            <w:jc w:val="both"/>
            <w:rPr>
              <w:rFonts w:eastAsia="HG Mincho Light J"/>
              <w:color w:val="000000"/>
              <w:szCs w:val="24"/>
            </w:rPr>
          </w:pPr>
          <w:r>
            <w:rPr>
              <w:rFonts w:eastAsia="HG Mincho Light J"/>
              <w:b/>
              <w:color w:val="000000"/>
              <w:szCs w:val="24"/>
            </w:rPr>
            <w:t>Perkančioji organizacija:</w:t>
          </w:r>
          <w:r>
            <w:rPr>
              <w:rFonts w:eastAsia="HG Mincho Light J"/>
              <w:color w:val="000000"/>
              <w:szCs w:val="24"/>
            </w:rPr>
            <w:t xml:space="preserve"> Šiaulių miesto savivaldybės administracija (kodas 188771865), adresas Vasario 16-osios g. 62, Šiauliai, tel. (+370 41) 596 290.</w:t>
          </w:r>
        </w:p>
        <w:p w14:paraId="7DD29EBB" w14:textId="27F00314">
          <w:pPr>
            <w:widowControl w:val="0"/>
            <w:tabs>
              <w:tab w:val="left" w:pos="567"/>
            </w:tabs>
            <w:suppressAutoHyphens/>
            <w:ind w:firstLine="682"/>
            <w:jc w:val="both"/>
            <w:rPr>
              <w:rFonts w:eastAsia="HG Mincho Light J"/>
              <w:color w:val="000000"/>
              <w:szCs w:val="24"/>
            </w:rPr>
          </w:pPr>
          <w:r>
            <w:rPr>
              <w:rFonts w:eastAsia="HG Mincho Light J"/>
              <w:b/>
              <w:color w:val="000000"/>
              <w:szCs w:val="24"/>
            </w:rPr>
            <w:t>Pirkimo objektas:</w:t>
          </w:r>
          <w:r>
            <w:rPr>
              <w:rFonts w:eastAsia="HG Mincho Light J"/>
              <w:color w:val="000000"/>
              <w:szCs w:val="24"/>
            </w:rPr>
            <w:t xml:space="preserve"> Pastatas – perėjimo postas, esantis Tilžės g. 74A, Šiauliuose (unikalus numeris 2996-2017-9026, žymėjimas plane 2B1p, bendras plotas 9,84 kv. m).</w:t>
          </w:r>
        </w:p>
        <w:p w14:paraId="0A8FBDDD" w14:textId="0D8F1320">
          <w:pPr>
            <w:widowControl w:val="0"/>
            <w:tabs>
              <w:tab w:val="left" w:pos="567"/>
            </w:tabs>
            <w:suppressAutoHyphens/>
            <w:ind w:firstLine="691"/>
            <w:jc w:val="both"/>
            <w:rPr>
              <w:rFonts w:eastAsia="HG Mincho Light J"/>
              <w:color w:val="000000"/>
              <w:szCs w:val="24"/>
            </w:rPr>
          </w:pPr>
          <w:r>
            <w:rPr>
              <w:rFonts w:eastAsia="HG Mincho Light J"/>
              <w:b/>
              <w:color w:val="000000"/>
              <w:szCs w:val="24"/>
            </w:rPr>
            <w:t>Pirkimo būdas:</w:t>
          </w:r>
          <w:r>
            <w:rPr>
              <w:rFonts w:eastAsia="HG Mincho Light J"/>
              <w:color w:val="000000"/>
              <w:szCs w:val="24"/>
            </w:rPr>
            <w:t xml:space="preserve"> Šiaulių miesto savivaldybės administracijos direktoriaus 2025 m. balandžio 15 d. įsakymu Nr. A-380 „</w:t>
          </w:r>
          <w:r>
            <w:rPr>
              <w:rFonts w:eastAsia="HG Mincho Light J"/>
              <w:bCs/>
              <w:color w:val="000000"/>
              <w:szCs w:val="24"/>
            </w:rPr>
            <w:t>Dėl negyvenamojo pastato – perėjimo posto pirkimo, neskelbiamų derybų būdu, komisijos sudarymo ir jos darbo reglamento patvirtinimo</w:t>
          </w:r>
          <w:r>
            <w:rPr>
              <w:rFonts w:eastAsia="HG Mincho Light J"/>
              <w:color w:val="000000"/>
              <w:szCs w:val="24"/>
            </w:rPr>
            <w:t xml:space="preserve">“ sudaryta Šiaulių miesto savivaldybės administracijos pastato – </w:t>
          </w:r>
          <w:r>
            <w:rPr>
              <w:rFonts w:eastAsia="HG Mincho Light J"/>
              <w:bCs/>
              <w:color w:val="000000"/>
              <w:szCs w:val="24"/>
            </w:rPr>
            <w:t>perėjimo posto, esančio Tilžės g. 74A, Šiauliuose</w:t>
          </w:r>
          <w:r>
            <w:rPr>
              <w:rFonts w:eastAsia="HG Mincho Light J"/>
              <w:color w:val="000000"/>
              <w:szCs w:val="24"/>
            </w:rPr>
            <w:t xml:space="preserve">, </w:t>
          </w:r>
          <w:r>
            <w:rPr>
              <w:color w:val="000000"/>
              <w:szCs w:val="24"/>
            </w:rPr>
            <w:t>pirkimo komisija</w:t>
          </w:r>
          <w:r>
            <w:rPr>
              <w:rFonts w:eastAsia="HG Mincho Light J"/>
              <w:color w:val="000000"/>
              <w:szCs w:val="24"/>
            </w:rPr>
            <w:t xml:space="preserve"> (toliau – Komisija) vykdė pastato – </w:t>
          </w:r>
          <w:r>
            <w:rPr>
              <w:rFonts w:eastAsia="HG Mincho Light J"/>
              <w:bCs/>
              <w:color w:val="000000"/>
              <w:szCs w:val="24"/>
            </w:rPr>
            <w:t>perėjimo posto, esančio Tilžės g. 74A, Šiauliuose</w:t>
          </w:r>
          <w:r>
            <w:rPr>
              <w:rFonts w:eastAsia="HG Mincho Light J"/>
              <w:color w:val="000000"/>
              <w:szCs w:val="24"/>
            </w:rPr>
            <w:t>, pirkimą neskelbiamų derybų būdu pagal Žemės, esamų pastatų ar kitų nekilnojamųjų daiktų pirkimų arba nuomos ar teisių į šiuos daiktus įsigijimų tvarkos aprašą, patvirtintą Lietuvos Respublikos Vyriausybės 2017 m. gruodžio 13 d. nutarimu Nr. 1036 „Dėl Žemės, esamų pastatų ar kitų nekilnojamųjų daiktų įsigijimo arba nuomos teisių ar teisių į šiuos daiktus įsigijimo tvarkos aprašo patvirtinimo“.</w:t>
          </w:r>
        </w:p>
        <w:p w14:paraId="477370DF" w14:textId="77777777">
          <w:pPr>
            <w:widowControl w:val="0"/>
            <w:tabs>
              <w:tab w:val="left" w:pos="540"/>
            </w:tabs>
            <w:suppressAutoHyphens/>
            <w:ind w:firstLine="630"/>
            <w:jc w:val="both"/>
            <w:rPr>
              <w:rFonts w:eastAsia="HG Mincho Light J"/>
              <w:b/>
              <w:color w:val="000000"/>
              <w:szCs w:val="24"/>
            </w:rPr>
          </w:pPr>
          <w:r>
            <w:rPr>
              <w:rFonts w:eastAsia="HG Mincho Light J"/>
              <w:b/>
              <w:color w:val="000000"/>
              <w:szCs w:val="24"/>
            </w:rPr>
            <w:t xml:space="preserve">Trumpas perkamo turto ir pirkimo sąlygų aprašymas: </w:t>
          </w:r>
        </w:p>
        <w:sdt>
          <w:sdtPr>
            <w:alias w:val="preambule"/>
            <w:tag w:val="part_952e2f49202f4802b3981ba8c394e717"/>
            <w:lock w:val="sdtLocked"/>
            <w:richText/>
          </w:sdtPr>
          <w:sdtContent>
            <w:p w14:paraId="3B504D6A" w14:textId="4FCC0850">
              <w:pPr>
                <w:widowControl w:val="0"/>
                <w:suppressAutoHyphens/>
                <w:ind w:firstLine="682"/>
                <w:jc w:val="both"/>
                <w:rPr>
                  <w:rFonts w:eastAsia="HG Mincho Light J"/>
                  <w:color w:val="000000"/>
                  <w:szCs w:val="24"/>
                </w:rPr>
              </w:pPr>
              <w:r>
                <w:rPr>
                  <w:rFonts w:eastAsia="HG Mincho Light J"/>
                  <w:color w:val="000000"/>
                  <w:szCs w:val="24"/>
                </w:rPr>
                <w:t xml:space="preserve">Pirkimas vykdomas siekiant </w:t>
              </w:r>
              <w:r>
                <w:rPr>
                  <w:color w:val="000000"/>
                  <w:szCs w:val="24"/>
                  <w:lang w:eastAsia="zh-CN"/>
                </w:rPr>
                <w:t>įgyvendinti</w:t>
              </w:r>
              <w:r>
                <w:rPr>
                  <w:rFonts w:eastAsia="Calibri"/>
                  <w:color w:val="000000"/>
                  <w:szCs w:val="24"/>
                </w:rPr>
                <w:t xml:space="preserve"> </w:t>
              </w:r>
              <w:r>
                <w:rPr>
                  <w:rFonts w:eastAsia="HG Mincho Light J"/>
                  <w:color w:val="000000"/>
                  <w:szCs w:val="24"/>
                </w:rPr>
                <w:t>Šiaulių miesto savivaldybei Lietuvos Respublikos saugaus eismo automobilių keliais įstatyme nustatytas pareigas – užtikrinti vietinės reikšmės keliuose ir gatvėse saugias eismo sąlygas, įgyvendinti juose eismo saugumo priemones. Šiaulių miesto savivaldybės nuosavybėn įgytas pastatas – perėjimo postas, esantis Tilžės g. 74A, Šiauliuose, būtų nugriautas, tai leistų padidinti eismo saugumą, transporto priemonių pralaidumą, sumažintų eismo įvykių skaičių, oro taršą. Pastato – perėjimo posto įsigijimo l</w:t>
              </w:r>
              <w:r>
                <w:rPr>
                  <w:bCs/>
                  <w:color w:val="000000"/>
                  <w:szCs w:val="24"/>
                  <w:lang w:eastAsia="zh-CN"/>
                </w:rPr>
                <w:t xml:space="preserve">ėšų šaltinis – Savivaldybės biudžeto lėšos. </w:t>
              </w:r>
              <w:r>
                <w:rPr>
                  <w:rFonts w:eastAsia="HG Mincho Light J"/>
                  <w:color w:val="000000"/>
                  <w:szCs w:val="24"/>
                </w:rPr>
                <w:t xml:space="preserve">Komisija, vadovaudamasi pastato – perėjimo posto, esančio Tilžės g. 74A, Šiauliuose, pirkimo ekonominiu ir socialiniu pagrindimu, patvirtintu Šiaulių miesto savivaldybės tarybos 2024 m. rugsėjo 5 d. sprendimu Nr. T-347, Šiaulių miesto savivaldybės administracijos direktoriaus 2025-04-15 d. įsakymu Nr. A-380, parengė ir 2025 m. liepos 7 d. protokolu Nr. VAK-155 patvirtino pirkimo neskelbiamų derybų būdu sąlygas – Kvietimą dalyvauti neskelbiamose derybose. Kvietimas buvo išsiųstas kandidatei </w:t>
              </w:r>
              <w:r>
                <w:rPr>
                  <w:rFonts w:eastAsia="HG Mincho Light J"/>
                  <w:i/>
                  <w:color w:val="000000"/>
                  <w:szCs w:val="24"/>
                </w:rPr>
                <w:t>(duomenys neskelbtini)</w:t>
              </w:r>
              <w:r>
                <w:rPr>
                  <w:rFonts w:eastAsia="HG Mincho Light J"/>
                  <w:color w:val="000000"/>
                  <w:szCs w:val="24"/>
                </w:rPr>
                <w:t>.</w:t>
                <w:tab/>
                <w:t xml:space="preserve"> </w:t>
              </w:r>
            </w:p>
          </w:sdtContent>
        </w:sdt>
        <w:sdt>
          <w:sdtPr>
            <w:alias w:val="skirsnis"/>
            <w:tag w:val="part_d2b2ae7734334458b22da0fd72b8edc4"/>
            <w:lock w:val="sdtLocked"/>
            <w:richText/>
          </w:sdtPr>
          <w:sdtContent>
            <w:p w14:paraId="12B69EA6" w14:textId="6B837306">
              <w:pPr>
                <w:widowControl w:val="0"/>
                <w:tabs>
                  <w:tab w:val="left" w:pos="567"/>
                </w:tabs>
                <w:suppressAutoHyphens/>
                <w:ind w:firstLine="629"/>
                <w:jc w:val="both"/>
                <w:rPr>
                  <w:rFonts w:eastAsia="HG Mincho Light J"/>
                  <w:b/>
                  <w:color w:val="000000"/>
                  <w:szCs w:val="24"/>
                  <w:lang w:eastAsia="ar-SA"/>
                </w:rPr>
              </w:pPr>
              <w:sdt>
                <w:sdtPr>
                  <w:alias w:val="Pavadinimas"/>
                  <w:tag w:val="title_d2b2ae7734334458b22da0fd72b8edc4"/>
                  <w:lock w:val="sdtLocked"/>
                  <w:richText/>
                </w:sdtPr>
                <w:sdtContent>
                  <w:r>
                    <w:rPr>
                      <w:rFonts w:eastAsia="HG Mincho Light J"/>
                      <w:b/>
                      <w:color w:val="000000"/>
                      <w:szCs w:val="24"/>
                      <w:lang w:eastAsia="ar-SA"/>
                    </w:rPr>
                    <w:t>Per nustatytą paraiškų padavimo terminą buvo gautas 1 pasiūlymas.</w:t>
                  </w:r>
                </w:sdtContent>
              </w:sdt>
            </w:p>
            <w:p w14:paraId="02F0F032" w14:textId="54F5B684">
              <w:pPr>
                <w:widowControl w:val="0"/>
                <w:tabs>
                  <w:tab w:val="left" w:pos="567"/>
                </w:tabs>
                <w:suppressAutoHyphens/>
                <w:ind w:firstLine="629"/>
                <w:jc w:val="both"/>
                <w:rPr>
                  <w:rFonts w:eastAsia="HG Mincho Light J"/>
                  <w:b/>
                  <w:color w:val="000000"/>
                  <w:szCs w:val="24"/>
                  <w:lang w:eastAsia="ar-SA"/>
                </w:rPr>
              </w:pPr>
              <w:r>
                <w:rPr>
                  <w:rFonts w:eastAsia="HG Mincho Light J"/>
                  <w:b/>
                  <w:color w:val="000000"/>
                  <w:szCs w:val="24"/>
                  <w:lang w:eastAsia="ar-SA"/>
                </w:rPr>
                <w:t xml:space="preserve">Pasiūlymo pateikusios kandidatės rekvizitai (siūlomo pastato </w:t>
              </w:r>
              <w:r>
                <w:rPr>
                  <w:rFonts w:eastAsia="HG Mincho Light J"/>
                  <w:color w:val="000000"/>
                  <w:szCs w:val="24"/>
                </w:rPr>
                <w:t xml:space="preserve">– </w:t>
              </w:r>
              <w:r>
                <w:rPr>
                  <w:rFonts w:eastAsia="HG Mincho Light J"/>
                  <w:b/>
                  <w:color w:val="000000"/>
                  <w:szCs w:val="24"/>
                  <w:lang w:eastAsia="ar-SA"/>
                </w:rPr>
                <w:t>perėjimo posto adresas):</w:t>
              </w:r>
            </w:p>
            <w:sdt>
              <w:sdtPr>
                <w:alias w:val="1 p."/>
                <w:tag w:val="part_bf931602ec6e4c1eaa8292c8f9d8f544"/>
                <w:lock w:val="sdtLocked"/>
                <w:richText/>
              </w:sdtPr>
              <w:sdtContent>
                <w:p w14:paraId="703B4FE1" w14:textId="68EBF564">
                  <w:pPr>
                    <w:widowControl w:val="0"/>
                    <w:tabs>
                      <w:tab w:val="left" w:pos="567"/>
                      <w:tab w:val="left" w:pos="720"/>
                      <w:tab w:val="left" w:pos="851"/>
                    </w:tabs>
                    <w:suppressAutoHyphens/>
                    <w:ind w:firstLine="620"/>
                    <w:jc w:val="both"/>
                    <w:rPr>
                      <w:rFonts w:eastAsia="HG Mincho Light J"/>
                      <w:color w:val="000000"/>
                      <w:szCs w:val="24"/>
                    </w:rPr>
                  </w:pPr>
                  <w:sdt>
                    <w:sdtPr>
                      <w:alias w:val="Numeris"/>
                      <w:tag w:val="nr_bf931602ec6e4c1eaa8292c8f9d8f544"/>
                      <w:lock w:val="sdtLocked"/>
                      <w:richText/>
                    </w:sdtPr>
                    <w:sdtContent>
                      <w:r>
                        <w:rPr>
                          <w:rFonts w:eastAsia="HG Mincho Light J"/>
                          <w:color w:val="000000"/>
                          <w:szCs w:val="24"/>
                        </w:rPr>
                        <w:t>1</w:t>
                      </w:r>
                    </w:sdtContent>
                  </w:sdt>
                  <w:r>
                    <w:rPr>
                      <w:rFonts w:eastAsia="HG Mincho Light J"/>
                      <w:color w:val="000000"/>
                      <w:szCs w:val="24"/>
                    </w:rPr>
                    <w:t xml:space="preserve">. </w:t>
                  </w:r>
                  <w:r>
                    <w:rPr>
                      <w:rFonts w:eastAsia="HG Mincho Light J"/>
                      <w:i/>
                      <w:color w:val="000000"/>
                      <w:szCs w:val="24"/>
                    </w:rPr>
                    <w:t>(duomenys neskelbtini)</w:t>
                  </w:r>
                  <w:r>
                    <w:rPr>
                      <w:rFonts w:eastAsia="HG Mincho Light J"/>
                      <w:color w:val="000000"/>
                      <w:szCs w:val="24"/>
                    </w:rPr>
                    <w:t xml:space="preserve">, gyv. </w:t>
                  </w:r>
                  <w:r>
                    <w:rPr>
                      <w:rFonts w:eastAsia="HG Mincho Light J"/>
                      <w:i/>
                      <w:color w:val="000000"/>
                      <w:szCs w:val="24"/>
                    </w:rPr>
                    <w:t>(duomenys neskelbtini)</w:t>
                  </w:r>
                </w:p>
                <w:p w14:paraId="2E7460E7" w14:textId="2F43D1CB">
                  <w:pPr>
                    <w:widowControl w:val="0"/>
                    <w:suppressAutoHyphens/>
                    <w:ind w:firstLine="552"/>
                    <w:jc w:val="both"/>
                    <w:rPr>
                      <w:rFonts w:eastAsia="HG Mincho Light J"/>
                      <w:color w:val="000000"/>
                      <w:szCs w:val="24"/>
                    </w:rPr>
                  </w:pPr>
                  <w:r>
                    <w:rPr>
                      <w:rFonts w:eastAsia="HG Mincho Light J"/>
                      <w:color w:val="000000"/>
                      <w:szCs w:val="24"/>
                    </w:rPr>
                    <w:t xml:space="preserve">2025 m. liepos 23 d. Komisijos posėdžio metu (protokolas Nr. VAK-166) buvo įvertintas gautas pasiūlymas. Gauti dokumentai atitiko neskelbiamų derybų dokumentuose nustatytus reikalavimus. Parduodamo pastato – praėjimo posto siūloma kaina – 7000,00 Eur (septyni tūkstančiai eurų, 00 centų). Komisija nusprendė kviesti kandidatę derėtis dėl siūlomo pirkti  pastato – perėjimo posto Tilžės g. 74A, Šiauliuose.</w:t>
                  </w:r>
                </w:p>
                <w:p w14:paraId="5C893F20" w14:textId="7FBFD787">
                  <w:pPr>
                    <w:widowControl w:val="0"/>
                    <w:tabs>
                      <w:tab w:val="left" w:pos="567"/>
                    </w:tabs>
                    <w:suppressAutoHyphens/>
                    <w:ind w:firstLine="682"/>
                    <w:jc w:val="both"/>
                    <w:rPr>
                      <w:rFonts w:eastAsia="HG Mincho Light J"/>
                      <w:b/>
                      <w:color w:val="000000"/>
                      <w:szCs w:val="24"/>
                    </w:rPr>
                  </w:pPr>
                  <w:r>
                    <w:rPr>
                      <w:rFonts w:eastAsia="HG Mincho Light J"/>
                      <w:color w:val="000000"/>
                      <w:szCs w:val="24"/>
                    </w:rPr>
                    <w:t xml:space="preserve">2025 m. rugpjūčio mėn. 21 d. buvo inicijuotas pastato – perėjimo posto Tilžės g. 74A, Šiauliuose, individualus turto vertinimas ir 2025 m. rugsėjo mėn. 16 d. gauta Nekilnojamojo turto vertinimo ataskaita,  kurioje nustatyta pastato rinkos vertė 5520 Eur (penki tūkstančiai penki šimtai dvidešimt eurų, 00 centų).</w:t>
                  </w:r>
                </w:p>
                <w:p w14:paraId="0B967C0C" w14:textId="796E17E1">
                  <w:pPr>
                    <w:widowControl w:val="0"/>
                    <w:suppressAutoHyphens/>
                    <w:ind w:firstLine="676"/>
                    <w:jc w:val="both"/>
                    <w:rPr>
                      <w:rFonts w:eastAsia="Lucida Sans Unicode"/>
                      <w:color w:val="000000"/>
                      <w:szCs w:val="24"/>
                    </w:rPr>
                  </w:pPr>
                  <w:r>
                    <w:rPr>
                      <w:rFonts w:eastAsia="Lucida Sans Unicode"/>
                      <w:color w:val="000000"/>
                      <w:szCs w:val="24"/>
                    </w:rPr>
                    <w:t xml:space="preserve">2025 m. rugsėjo 30 d. derybų  su kandidate </w:t>
                  </w:r>
                  <w:r>
                    <w:rPr>
                      <w:rFonts w:eastAsia="Lucida Sans Unicode"/>
                      <w:i/>
                      <w:color w:val="000000"/>
                      <w:szCs w:val="24"/>
                    </w:rPr>
                    <w:t>(duomenys neskelbtini)</w:t>
                  </w:r>
                  <w:r>
                    <w:rPr>
                      <w:rFonts w:eastAsia="Lucida Sans Unicode"/>
                      <w:color w:val="000000"/>
                      <w:szCs w:val="24"/>
                    </w:rPr>
                    <w:t xml:space="preserve"> metu siūlomo pirkti pastato – perėjimo posto Tilžės g. 74A, Šiauliuose, kaina buvo suderėta 5520,00 Eur (penki tūkstančiai penki šimtai dvidešimt eurų, 00 centų), (2025-09-30 posėdžio protokolas Nr. VAK-214). Kadangi individualus turto vertinimas buvo atliktas 2025 m. rugsėjo mėn. 16 d. ir suderėta kaina neviršija turto vertintojo nustatytos pastato – perėjimo posto rinkos vertės, Komisija nutarė derybas laikyti įvykusiomis ir patvirtinta derybų galutinė pastato – perėjimo posto kaina 5520,00 Eur (penki tūkstančiai penki šimtai dvidešimt eurų, 00 centų). </w:t>
                  </w:r>
                </w:p>
              </w:sdtContent>
            </w:sdt>
          </w:sdtContent>
        </w:sdt>
        <w:sdt>
          <w:sdtPr>
            <w:alias w:val="skirsnis"/>
            <w:tag w:val="part_9e7027628e0f481aa17d9d111f0de062"/>
            <w:lock w:val="sdtLocked"/>
            <w:richText/>
          </w:sdtPr>
          <w:sdtContent>
            <w:p w14:paraId="27219B92" w14:textId="323A13D0">
              <w:pPr>
                <w:widowControl w:val="0"/>
                <w:tabs>
                  <w:tab w:val="left" w:pos="567"/>
                </w:tabs>
                <w:suppressAutoHyphens/>
                <w:ind w:firstLine="620"/>
                <w:jc w:val="both"/>
                <w:rPr>
                  <w:rFonts w:eastAsia="HG Mincho Light J"/>
                  <w:b/>
                  <w:bCs/>
                  <w:color w:val="000000"/>
                  <w:szCs w:val="24"/>
                </w:rPr>
              </w:pPr>
              <w:sdt>
                <w:sdtPr>
                  <w:alias w:val="Pavadinimas"/>
                  <w:tag w:val="title_9e7027628e0f481aa17d9d111f0de062"/>
                  <w:lock w:val="sdtLocked"/>
                  <w:richText/>
                </w:sdtPr>
                <w:sdtContent>
                  <w:r>
                    <w:rPr>
                      <w:rFonts w:eastAsia="HG Mincho Light J"/>
                      <w:b/>
                      <w:bCs/>
                      <w:color w:val="000000"/>
                      <w:szCs w:val="24"/>
                    </w:rPr>
                    <w:t xml:space="preserve">Vadovaudamasi Žemės, esamų pastatų ar kitų nekilnojamųjų daiktų pirkimų arba nuomos ar teisių į šiuos daiktus įsigijimų tvarkos aprašo, patvirtinto Lietuvos Respublikos Vyriausybės 2017 m. gruodžio 13 d. nutarimu Nr. 1036 „Dėl Žemės, esamų pastatų ar kitų nekilnojamųjų daiktų įsigijimo arba nuomos teisių ar teisių į šiuos daiktus įsigijimo tvarkos aprašo patvirtinimo“ 67 punktu, atsižvelgdama į </w:t>
                  </w:r>
                  <w:r>
                    <w:rPr>
                      <w:rFonts w:eastAsia="HG Mincho Light J"/>
                      <w:b/>
                      <w:bCs/>
                      <w:szCs w:val="24"/>
                    </w:rPr>
                    <w:t xml:space="preserve">derybų metu pasiektus rezultatus, </w:t>
                  </w:r>
                  <w:r>
                    <w:rPr>
                      <w:rFonts w:eastAsia="HG Mincho Light J"/>
                      <w:b/>
                      <w:bCs/>
                      <w:color w:val="000000"/>
                      <w:szCs w:val="24"/>
                    </w:rPr>
                    <w:t xml:space="preserve">Komisija siūlo Savivaldybės administracijos direktoriui teikti Šiaulių miesto savivaldybės tarybai sprendimo projektą dėl pastato - perėjimo posto įsigijimo už 5520 Eur (penki tūkstančiai penki šimtai dvidešimt eurų, 00 centų) iš derybas laimėjusios kandidatės </w:t>
                  </w:r>
                  <w:r>
                    <w:rPr>
                      <w:rFonts w:eastAsia="HG Mincho Light J"/>
                      <w:b/>
                      <w:bCs/>
                      <w:i/>
                      <w:color w:val="000000"/>
                      <w:szCs w:val="24"/>
                    </w:rPr>
                    <w:t>(duomenys neskelbtini)</w:t>
                  </w:r>
                  <w:r>
                    <w:rPr>
                      <w:rFonts w:eastAsia="HG Mincho Light J"/>
                      <w:b/>
                      <w:bCs/>
                      <w:color w:val="000000"/>
                      <w:szCs w:val="24"/>
                    </w:rPr>
                    <w:t>.</w:t>
                  </w:r>
                </w:sdtContent>
              </w:sdt>
            </w:p>
            <w:p w14:paraId="4BD532F0" w14:textId="336FC712">
              <w:pPr>
                <w:suppressAutoHyphens/>
                <w:ind w:firstLine="630"/>
                <w:jc w:val="both"/>
                <w:rPr>
                  <w:rFonts w:eastAsia="HG Mincho Light J"/>
                  <w:color w:val="000000"/>
                  <w:szCs w:val="24"/>
                </w:rPr>
              </w:pPr>
              <w:r>
                <w:rPr>
                  <w:rFonts w:eastAsia="HG Mincho Light J"/>
                  <w:color w:val="000000"/>
                  <w:szCs w:val="24"/>
                </w:rPr>
                <w:t>PRIDEDAMA:</w:t>
              </w:r>
            </w:p>
            <w:sdt>
              <w:sdtPr>
                <w:alias w:val="1 p."/>
                <w:tag w:val="part_ce83bdafb2124bac8e1730514b185f38"/>
                <w:lock w:val="sdtLocked"/>
                <w:richText/>
              </w:sdtPr>
              <w:sdtContent>
                <w:p w14:paraId="55DD97C3" w14:textId="351DEDE8">
                  <w:pPr>
                    <w:suppressAutoHyphens/>
                    <w:ind w:firstLine="620"/>
                    <w:jc w:val="both"/>
                    <w:rPr>
                      <w:rFonts w:eastAsia="HG Mincho Light J"/>
                      <w:color w:val="000000"/>
                      <w:szCs w:val="24"/>
                    </w:rPr>
                  </w:pPr>
                  <w:sdt>
                    <w:sdtPr>
                      <w:alias w:val="Numeris"/>
                      <w:tag w:val="nr_ce83bdafb2124bac8e1730514b185f38"/>
                      <w:lock w:val="sdtLocked"/>
                      <w:richText/>
                    </w:sdtPr>
                    <w:sdtContent>
                      <w:r>
                        <w:rPr>
                          <w:rFonts w:eastAsia="HG Mincho Light J"/>
                          <w:color w:val="000000"/>
                          <w:szCs w:val="24"/>
                        </w:rPr>
                        <w:t>1</w:t>
                      </w:r>
                    </w:sdtContent>
                  </w:sdt>
                  <w:r>
                    <w:rPr>
                      <w:rFonts w:eastAsia="HG Mincho Light J"/>
                      <w:color w:val="000000"/>
                      <w:szCs w:val="24"/>
                    </w:rPr>
                    <w:t>.Negyvenamojo pastato – perėjimo posto pirkimo, neskelbiamų derybų būdų, komisijos posėdžio 2025 m. liepos 7 d. protokolas Nr. VAK-155, 2lapai.</w:t>
                  </w:r>
                </w:p>
              </w:sdtContent>
            </w:sdt>
            <w:sdt>
              <w:sdtPr>
                <w:alias w:val="2 p."/>
                <w:tag w:val="part_cbfcbcda659d415d800973b75480e4c5"/>
                <w:lock w:val="sdtLocked"/>
                <w:richText/>
              </w:sdtPr>
              <w:sdtContent>
                <w:p w14:paraId="1ED5CFE3" w14:textId="0F44ADA5">
                  <w:pPr>
                    <w:suppressAutoHyphens/>
                    <w:ind w:firstLine="620"/>
                    <w:jc w:val="both"/>
                    <w:rPr>
                      <w:rFonts w:eastAsia="HG Mincho Light J"/>
                      <w:color w:val="000000"/>
                      <w:szCs w:val="24"/>
                    </w:rPr>
                  </w:pPr>
                  <w:sdt>
                    <w:sdtPr>
                      <w:alias w:val="Numeris"/>
                      <w:tag w:val="nr_cbfcbcda659d415d800973b75480e4c5"/>
                      <w:lock w:val="sdtLocked"/>
                      <w:richText/>
                    </w:sdtPr>
                    <w:sdtContent>
                      <w:r>
                        <w:rPr>
                          <w:rFonts w:eastAsia="HG Mincho Light J"/>
                          <w:color w:val="000000"/>
                          <w:szCs w:val="24"/>
                        </w:rPr>
                        <w:t>2</w:t>
                      </w:r>
                    </w:sdtContent>
                  </w:sdt>
                  <w:r>
                    <w:rPr>
                      <w:rFonts w:eastAsia="HG Mincho Light J"/>
                      <w:color w:val="000000"/>
                      <w:szCs w:val="24"/>
                    </w:rPr>
                    <w:t>.Negyvenamojo pastato – perėjimo posto pirkimo, neskelbiamų derybų būdų, komisijos posėdžio 2025 m. liepos 23 d. protokolas Nr. VAK-166, 2 lapai.</w:t>
                  </w:r>
                </w:p>
              </w:sdtContent>
            </w:sdt>
            <w:sdt>
              <w:sdtPr>
                <w:alias w:val="3 p."/>
                <w:tag w:val="part_2d394a2f9e73430fb82a6ee6c96d9c30"/>
                <w:lock w:val="sdtLocked"/>
                <w:richText/>
              </w:sdtPr>
              <w:sdtContent>
                <w:p w14:paraId="15B45357" w14:textId="35EF228B">
                  <w:pPr>
                    <w:suppressAutoHyphens/>
                    <w:ind w:firstLine="620"/>
                    <w:jc w:val="both"/>
                    <w:rPr>
                      <w:rFonts w:eastAsia="HG Mincho Light J"/>
                      <w:color w:val="000000"/>
                      <w:szCs w:val="24"/>
                    </w:rPr>
                  </w:pPr>
                  <w:sdt>
                    <w:sdtPr>
                      <w:alias w:val="Numeris"/>
                      <w:tag w:val="nr_2d394a2f9e73430fb82a6ee6c96d9c30"/>
                      <w:lock w:val="sdtLocked"/>
                      <w:richText/>
                    </w:sdtPr>
                    <w:sdtContent>
                      <w:r>
                        <w:rPr>
                          <w:rFonts w:eastAsia="HG Mincho Light J"/>
                          <w:color w:val="000000"/>
                          <w:szCs w:val="24"/>
                        </w:rPr>
                        <w:t>3</w:t>
                      </w:r>
                    </w:sdtContent>
                  </w:sdt>
                  <w:r>
                    <w:rPr>
                      <w:rFonts w:eastAsia="HG Mincho Light J"/>
                      <w:color w:val="000000"/>
                      <w:szCs w:val="24"/>
                    </w:rPr>
                    <w:t>.Negyvenamojo pastato – perėjimo posto pirkimo, neskelbiamų derybų būdų, komisijos posėdžio 2025 m. rugsėjo 30 d. protokolas Nr. VAK-214, 2 lapai.</w:t>
                  </w:r>
                </w:p>
                <w:p w14:paraId="4D0FF15C" w14:textId="77777777">
                  <w:pPr>
                    <w:widowControl w:val="0"/>
                    <w:suppressAutoHyphens/>
                    <w:jc w:val="both"/>
                    <w:rPr>
                      <w:rFonts w:eastAsia="HG Mincho Light J"/>
                      <w:color w:val="000000"/>
                      <w:szCs w:val="24"/>
                    </w:rPr>
                  </w:pPr>
                </w:p>
                <w:p w14:paraId="3A250FFB" w14:textId="77777777">
                  <w:pPr>
                    <w:widowControl w:val="0"/>
                    <w:suppressAutoHyphens/>
                    <w:jc w:val="both"/>
                    <w:rPr>
                      <w:rFonts w:eastAsia="HG Mincho Light J"/>
                      <w:color w:val="000000"/>
                      <w:szCs w:val="24"/>
                    </w:rPr>
                  </w:pPr>
                </w:p>
                <w:p w14:paraId="2FA2E98F" w14:textId="77777777">
                  <w:pPr>
                    <w:widowControl w:val="0"/>
                    <w:suppressAutoHyphens/>
                    <w:jc w:val="both"/>
                    <w:rPr>
                      <w:rFonts w:eastAsia="HG Mincho Light J"/>
                      <w:color w:val="000000"/>
                      <w:szCs w:val="24"/>
                    </w:rPr>
                  </w:pPr>
                </w:p>
                <w:p w14:paraId="77AB3DE5" w14:textId="64EF5803">
                  <w:pPr>
                    <w:widowControl w:val="0"/>
                    <w:tabs>
                      <w:tab w:val="left" w:pos="4536"/>
                      <w:tab w:val="right" w:pos="9570"/>
                    </w:tabs>
                    <w:suppressAutoHyphens/>
                    <w:rPr>
                      <w:rFonts w:eastAsia="HG Mincho Light J"/>
                      <w:color w:val="000000"/>
                      <w:szCs w:val="24"/>
                    </w:rPr>
                  </w:pPr>
                  <w:r>
                    <w:rPr>
                      <w:rFonts w:eastAsia="HG Mincho Light J"/>
                      <w:color w:val="000000"/>
                      <w:szCs w:val="24"/>
                    </w:rPr>
                    <w:t>Komisijos pirmininkė</w:t>
                    <w:tab/>
                    <w:tab/>
                    <w:t>Viktorija Dildaitė</w:t>
                  </w:r>
                </w:p>
                <w:p w14:paraId="7F727479" w14:textId="77777777">
                  <w:pPr>
                    <w:widowControl w:val="0"/>
                    <w:tabs>
                      <w:tab w:val="right" w:pos="9570"/>
                    </w:tabs>
                    <w:suppressAutoHyphens/>
                    <w:jc w:val="both"/>
                    <w:rPr>
                      <w:rFonts w:eastAsia="HG Mincho Light J"/>
                      <w:color w:val="000000"/>
                      <w:szCs w:val="24"/>
                    </w:rPr>
                  </w:pPr>
                </w:p>
                <w:p w14:paraId="0D50A53E" w14:textId="77777777">
                  <w:pPr>
                    <w:widowControl w:val="0"/>
                    <w:tabs>
                      <w:tab w:val="right" w:pos="9570"/>
                    </w:tabs>
                    <w:suppressAutoHyphens/>
                    <w:jc w:val="both"/>
                    <w:rPr>
                      <w:rFonts w:eastAsia="HG Mincho Light J"/>
                      <w:color w:val="000000"/>
                      <w:szCs w:val="24"/>
                    </w:rPr>
                  </w:pPr>
                </w:p>
                <w:p w14:paraId="4D59CD41" w14:textId="77777777">
                  <w:pPr>
                    <w:widowControl w:val="0"/>
                    <w:tabs>
                      <w:tab w:val="right" w:pos="9570"/>
                    </w:tabs>
                    <w:suppressAutoHyphens/>
                    <w:jc w:val="both"/>
                    <w:rPr>
                      <w:rFonts w:eastAsia="HG Mincho Light J"/>
                      <w:color w:val="000000"/>
                      <w:szCs w:val="24"/>
                    </w:rPr>
                  </w:pPr>
                </w:p>
                <w:p w14:paraId="47616645" w14:textId="77777777">
                  <w:pPr>
                    <w:widowControl w:val="0"/>
                    <w:tabs>
                      <w:tab w:val="right" w:pos="9570"/>
                    </w:tabs>
                    <w:suppressAutoHyphens/>
                    <w:jc w:val="both"/>
                    <w:rPr>
                      <w:rFonts w:eastAsia="HG Mincho Light J"/>
                      <w:color w:val="000000"/>
                      <w:szCs w:val="24"/>
                    </w:rPr>
                  </w:pPr>
                </w:p>
                <w:p w14:paraId="64EB3094" w14:textId="77777777">
                  <w:pPr>
                    <w:widowControl w:val="0"/>
                    <w:tabs>
                      <w:tab w:val="right" w:pos="9570"/>
                    </w:tabs>
                    <w:suppressAutoHyphens/>
                    <w:jc w:val="both"/>
                    <w:rPr>
                      <w:rFonts w:eastAsia="HG Mincho Light J"/>
                      <w:color w:val="000000"/>
                      <w:szCs w:val="24"/>
                    </w:rPr>
                  </w:pPr>
                </w:p>
                <w:p w14:paraId="2DB389E3" w14:textId="77777777">
                  <w:pPr>
                    <w:widowControl w:val="0"/>
                    <w:tabs>
                      <w:tab w:val="right" w:pos="9570"/>
                    </w:tabs>
                    <w:suppressAutoHyphens/>
                    <w:jc w:val="both"/>
                    <w:rPr>
                      <w:rFonts w:eastAsia="HG Mincho Light J"/>
                      <w:color w:val="000000"/>
                      <w:szCs w:val="24"/>
                    </w:rPr>
                  </w:pPr>
                  <w:r>
                    <w:rPr>
                      <w:rFonts w:eastAsia="HG Mincho Light J"/>
                      <w:color w:val="000000"/>
                      <w:szCs w:val="24"/>
                    </w:rPr>
                    <w:t>SUSIPAŽINAU:</w:t>
                  </w:r>
                </w:p>
                <w:p w14:paraId="5BBDA76C" w14:textId="77777777">
                  <w:pPr>
                    <w:widowControl w:val="0"/>
                    <w:tabs>
                      <w:tab w:val="right" w:pos="9570"/>
                    </w:tabs>
                    <w:suppressAutoHyphens/>
                    <w:jc w:val="both"/>
                    <w:rPr>
                      <w:rFonts w:eastAsia="HG Mincho Light J"/>
                      <w:color w:val="000000"/>
                      <w:szCs w:val="24"/>
                    </w:rPr>
                  </w:pPr>
                  <w:r>
                    <w:rPr>
                      <w:rFonts w:eastAsia="HG Mincho Light J"/>
                      <w:color w:val="000000"/>
                      <w:szCs w:val="24"/>
                    </w:rPr>
                    <w:t xml:space="preserve">Administracijos direktorius                                                                                       Antanas Bartulis</w:t>
                  </w:r>
                </w:p>
                <w:p w14:paraId="15CCD1E6" w14:textId="77777777">
                  <w:pPr>
                    <w:widowControl w:val="0"/>
                    <w:tabs>
                      <w:tab w:val="left" w:pos="3630"/>
                    </w:tabs>
                    <w:suppressAutoHyphens/>
                    <w:rPr>
                      <w:rFonts w:eastAsia="HG Mincho Light J"/>
                      <w:color w:val="000000"/>
                      <w:szCs w:val="24"/>
                    </w:rPr>
                  </w:pPr>
                </w:p>
                <w:p w14:paraId="6D9D1B1A" w14:textId="77777777">
                  <w:pPr>
                    <w:widowControl w:val="0"/>
                    <w:tabs>
                      <w:tab w:val="left" w:pos="3630"/>
                    </w:tabs>
                    <w:suppressAutoHyphens/>
                    <w:rPr>
                      <w:rFonts w:eastAsia="HG Mincho Light J"/>
                      <w:color w:val="000000"/>
                      <w:szCs w:val="24"/>
                    </w:rPr>
                  </w:pPr>
                </w:p>
                <w:p w14:paraId="3F259747" w14:textId="77777777">
                  <w:pPr>
                    <w:widowControl w:val="0"/>
                    <w:tabs>
                      <w:tab w:val="left" w:pos="3630"/>
                    </w:tabs>
                    <w:suppressAutoHyphens/>
                    <w:rPr>
                      <w:rFonts w:eastAsia="HG Mincho Light J"/>
                      <w:color w:val="000000"/>
                      <w:szCs w:val="24"/>
                    </w:rPr>
                  </w:pPr>
                </w:p>
                <w:p w14:paraId="202948C0" w14:textId="77777777">
                  <w:pPr>
                    <w:widowControl w:val="0"/>
                    <w:tabs>
                      <w:tab w:val="left" w:pos="3630"/>
                    </w:tabs>
                    <w:suppressAutoHyphens/>
                    <w:rPr>
                      <w:rFonts w:eastAsia="HG Mincho Light J"/>
                      <w:color w:val="000000"/>
                      <w:szCs w:val="24"/>
                    </w:rPr>
                  </w:pPr>
                </w:p>
                <w:p w14:paraId="6AD8ABF0" w14:textId="77777777">
                  <w:pPr>
                    <w:widowControl w:val="0"/>
                    <w:tabs>
                      <w:tab w:val="left" w:pos="3630"/>
                    </w:tabs>
                    <w:suppressAutoHyphens/>
                    <w:rPr>
                      <w:rFonts w:eastAsia="HG Mincho Light J"/>
                      <w:color w:val="000000"/>
                      <w:szCs w:val="24"/>
                    </w:rPr>
                  </w:pPr>
                </w:p>
                <w:p w14:paraId="15490D40" w14:textId="77777777">
                  <w:pPr>
                    <w:widowControl w:val="0"/>
                    <w:tabs>
                      <w:tab w:val="left" w:pos="3630"/>
                    </w:tabs>
                    <w:suppressAutoHyphens/>
                    <w:rPr>
                      <w:rFonts w:eastAsia="HG Mincho Light J"/>
                      <w:color w:val="000000"/>
                      <w:szCs w:val="24"/>
                    </w:rPr>
                  </w:pPr>
                </w:p>
                <w:p w14:paraId="3D72541B" w14:textId="77777777">
                  <w:pPr>
                    <w:widowControl w:val="0"/>
                    <w:tabs>
                      <w:tab w:val="left" w:pos="3630"/>
                    </w:tabs>
                    <w:suppressAutoHyphens/>
                    <w:rPr>
                      <w:rFonts w:eastAsia="HG Mincho Light J"/>
                      <w:color w:val="000000"/>
                      <w:szCs w:val="24"/>
                    </w:rPr>
                  </w:pPr>
                </w:p>
                <w:p w14:paraId="66115364" w14:textId="77777777">
                  <w:pPr>
                    <w:widowControl w:val="0"/>
                    <w:tabs>
                      <w:tab w:val="left" w:pos="3630"/>
                    </w:tabs>
                    <w:suppressAutoHyphens/>
                    <w:rPr>
                      <w:rFonts w:eastAsia="HG Mincho Light J"/>
                      <w:color w:val="000000"/>
                      <w:szCs w:val="24"/>
                    </w:rPr>
                  </w:pPr>
                </w:p>
                <w:p w14:paraId="4D025BCF" w14:textId="77777777">
                  <w:pPr>
                    <w:widowControl w:val="0"/>
                    <w:tabs>
                      <w:tab w:val="left" w:pos="3630"/>
                    </w:tabs>
                    <w:suppressAutoHyphens/>
                    <w:rPr>
                      <w:rFonts w:eastAsia="HG Mincho Light J"/>
                      <w:color w:val="000000"/>
                      <w:szCs w:val="24"/>
                    </w:rPr>
                  </w:pPr>
                </w:p>
                <w:p w14:paraId="5BC6FCE4" w14:textId="77777777">
                  <w:pPr>
                    <w:widowControl w:val="0"/>
                    <w:tabs>
                      <w:tab w:val="left" w:pos="3630"/>
                    </w:tabs>
                    <w:suppressAutoHyphens/>
                    <w:rPr>
                      <w:rFonts w:eastAsia="HG Mincho Light J"/>
                      <w:color w:val="000000"/>
                      <w:szCs w:val="24"/>
                    </w:rPr>
                  </w:pPr>
                </w:p>
                <w:p w14:paraId="7BE09B4E" w14:textId="1301B3DE">
                  <w:pPr>
                    <w:widowControl w:val="0"/>
                    <w:tabs>
                      <w:tab w:val="left" w:pos="3630"/>
                    </w:tabs>
                    <w:suppressAutoHyphens/>
                    <w:rPr>
                      <w:rFonts w:eastAsia="HG Mincho Light J"/>
                      <w:color w:val="0000FF"/>
                      <w:szCs w:val="24"/>
                      <w:u w:val="single"/>
                    </w:rPr>
                  </w:pPr>
                  <w:r>
                    <w:rPr>
                      <w:rFonts w:eastAsia="HG Mincho Light J"/>
                      <w:color w:val="000000"/>
                      <w:szCs w:val="24"/>
                    </w:rPr>
                    <w:t xml:space="preserve">Deimantas Pučinskis, (+370 41) 596 285, el. p. </w:t>
                  </w:r>
                  <w:r>
                    <w:rPr>
                      <w:rFonts w:eastAsia="HG Mincho Light J"/>
                      <w:color w:val="0000FF"/>
                      <w:szCs w:val="24"/>
                      <w:u w:val="single"/>
                    </w:rPr>
                    <w:t>deimantas.pucinskis@siauliai.lt</w:t>
                  </w:r>
                  <w:r>
                    <w:rPr>
                      <w:rFonts w:eastAsia="HG Mincho Light J"/>
                      <w:color w:val="000000"/>
                      <w:szCs w:val="24"/>
                    </w:rPr>
                    <w:t xml:space="preserve"> </w:t>
                  </w:r>
                </w:p>
              </w:sdtContent>
            </w:sdt>
          </w:sdtContent>
        </w:sdt>
      </w:sdtContent>
    </w:sdt>
    <w:sectPr>
      <w:footerReference w:type="default" r:id="rId9"/>
      <w:footnotePr>
        <w:pos w:val="beneathText"/>
        <w:numRestart w:val="eachPage"/>
      </w:footnotePr>
      <w:endnotePr>
        <w:numFmt w:val="decimal"/>
      </w:endnotePr>
      <w:pgSz w:w="11906" w:h="16838"/>
      <w:pgMar w:top="850" w:right="562" w:bottom="1138" w:left="1699" w:header="562" w:footer="202"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7E8B537" w14:textId="77777777">
      <w:pPr>
        <w:widowControl w:val="0"/>
        <w:suppressAutoHyphens/>
        <w:rPr>
          <w:rFonts w:ascii="Thorndale" w:eastAsia="HG Mincho Light J" w:hAnsi="Thorndale"/>
          <w:color w:val="000000"/>
          <w:szCs w:val="24"/>
        </w:rPr>
      </w:pPr>
      <w:r>
        <w:rPr>
          <w:rFonts w:ascii="Thorndale" w:eastAsia="HG Mincho Light J" w:hAnsi="Thorndale"/>
          <w:color w:val="000000"/>
          <w:szCs w:val="24"/>
        </w:rPr>
        <w:separator/>
      </w:r>
    </w:p>
  </w:endnote>
  <w:endnote w:type="continuationSeparator" w:id="0">
    <w:p w14:paraId="153CF7EF" w14:textId="77777777">
      <w:pPr>
        <w:widowControl w:val="0"/>
        <w:suppressAutoHyphens/>
        <w:rPr>
          <w:rFonts w:ascii="Thorndale" w:eastAsia="HG Mincho Light J" w:hAnsi="Thorndale"/>
          <w:color w:val="000000"/>
          <w:szCs w:val="24"/>
        </w:rPr>
      </w:pPr>
      <w:r>
        <w:rPr>
          <w:rFonts w:ascii="Thorndale" w:eastAsia="HG Mincho Light J" w:hAnsi="Thorndale"/>
          <w:color w:val="000000"/>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horndale">
    <w:altName w:val="Times New Roman"/>
    <w:panose1 w:val="00000000000000000000"/>
    <w:charset w:val="BA"/>
    <w:family w:val="roman"/>
    <w:notTrueType/>
    <w:pitch w:val="variable"/>
    <w:sig w:usb0="00000007" w:usb1="00000000" w:usb2="00000000" w:usb3="00000000" w:csb0="00000081" w:csb1="00000000"/>
  </w:font>
  <w:font w:name="HG Mincho Light J">
    <w:altName w:val="Calibri"/>
    <w:charset w:val="00"/>
    <w:family w:val="auto"/>
    <w:pitch w:val="variable"/>
  </w:font>
  <w:font w:name="Calibri">
    <w:panose1 w:val="020F0502020204030204"/>
    <w:charset w:val="BA"/>
    <w:family w:val="swiss"/>
    <w:pitch w:val="variable"/>
    <w:sig w:usb0="E10002FF" w:usb1="4000ACFF" w:usb2="00000009" w:usb3="00000000" w:csb0="0000019F"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6188BE" w14:textId="77777777">
    <w:pPr>
      <w:widowControl w:val="0"/>
      <w:suppressLineNumbers/>
      <w:tabs>
        <w:tab w:val="left" w:pos="1845"/>
        <w:tab w:val="left" w:pos="4253"/>
        <w:tab w:val="left" w:pos="6945"/>
        <w:tab w:val="left" w:pos="9637"/>
      </w:tabs>
      <w:suppressAutoHyphens/>
      <w:spacing w:before="6" w:after="6"/>
      <w:jc w:val="right"/>
      <w:rPr>
        <w:rFonts w:eastAsia="HG Mincho Light J"/>
        <w:color w:val="000000"/>
        <w:sz w:val="18"/>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43BC034" w14:textId="77777777">
      <w:pPr>
        <w:widowControl w:val="0"/>
        <w:suppressAutoHyphens/>
        <w:rPr>
          <w:rFonts w:ascii="Thorndale" w:eastAsia="HG Mincho Light J" w:hAnsi="Thorndale"/>
          <w:color w:val="000000"/>
          <w:szCs w:val="24"/>
        </w:rPr>
      </w:pPr>
      <w:r>
        <w:rPr>
          <w:rFonts w:ascii="Thorndale" w:eastAsia="HG Mincho Light J" w:hAnsi="Thorndale"/>
          <w:color w:val="000000"/>
          <w:szCs w:val="24"/>
        </w:rPr>
        <w:separator/>
      </w:r>
    </w:p>
  </w:footnote>
  <w:footnote w:type="continuationSeparator" w:id="0">
    <w:p w14:paraId="253682D1" w14:textId="77777777">
      <w:pPr>
        <w:widowControl w:val="0"/>
        <w:suppressAutoHyphens/>
        <w:rPr>
          <w:rFonts w:ascii="Thorndale" w:eastAsia="HG Mincho Light J" w:hAnsi="Thorndale"/>
          <w:color w:val="000000"/>
          <w:szCs w:val="24"/>
        </w:rPr>
      </w:pPr>
      <w:r>
        <w:rPr>
          <w:rFonts w:ascii="Thorndale" w:eastAsia="HG Mincho Light J" w:hAnsi="Thorndale"/>
          <w:color w:val="000000"/>
          <w:szCs w:val="24"/>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2"/>
  </w:hdrShapeDefaults>
  <w:footnotePr>
    <w:pos w:val="beneathText"/>
    <w:numRestart w:val="eachPage"/>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7C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2"/>
    </o:shapelayout>
  </w:shapeDefaults>
  <w:decimalSymbol w:val="."/>
  <w:listSeparator w:val=","/>
  <w14:docId w14:val="61402F09"/>
  <w15:docId w15:val="{FB828D47-2C50-4A53-B367-191AF328C4B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ntTable" Target="fontTable.xml"/>
  <Relationship Id="rId11" Type="http://schemas.openxmlformats.org/officeDocument/2006/relationships/theme" Target="theme/theme1.xml"/>
  <Relationship Id="rId12"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wmf"/>
  <Relationship Id="rId7" Type="http://schemas.openxmlformats.org/officeDocument/2006/relationships/oleObject" Target="embeddings/oleObject1.bin"/>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ad9aac7ff5b40c68b898e6ec090d5ed" PartId="5a2d2d5af654400ab3e9bc57235936ab">
    <Part Type="preambule" DocPartId="8ae385cb58ef4a4b9aa85c5f3c77be5f" PartId="952e2f49202f4802b3981ba8c394e717"/>
    <Part Type="skirsnis" Title="Per nustatytą paraiškų padavimo terminą buvo gautas 1 pasiūlymas." DocPartId="9f5c655bd21e4ecda9f477a4bf83c17a" PartId="d2b2ae7734334458b22da0fd72b8edc4">
      <Part Type="punktas" Nr="1" Abbr="1 p." DocPartId="41e056a8badd42d9ac909ee3bea2d336" PartId="bf931602ec6e4c1eaa8292c8f9d8f544"/>
    </Part>
    <Part Type="skirsnis" Title="Vadovaudamasi Žemės, esamų pastatų ar kitų nekilnojamųjų daiktų pirkimų arba nuomos ar teisių į šiuos daiktus įsigijimų tvarkos aprašo, patvirtinto Lietuvos Respublikos Vyriausybės 2017 m. gruodžio 13 d. nutarimu Nr. 1036 „Dėl Žemės, esamų pastatų ar kitų nekilnojamųjų daiktų įsigijimo arba nuomos teisių ar teisių į šiuos daiktus įsigijimo tvarkos aprašo patvirtinimo“ 67 punktu, atsižvelgdama į derybų metu pasiektus rezultatus, Komisija siūlo Savivaldybės administracijos direktoriui teikti Šiaulių miesto savivaldybės tarybai sprendimo projektą dėl pastato - perėjimo posto įsigijimo už 5520 Eur (penki tūkstančiai penki šimtai dvidešimt eurų, 00 centų) iš derybas laimėjusios kandidatės (duomenys neskelbtini)." DocPartId="7a2c16b96e66458697373717e5ba15a9" PartId="9e7027628e0f481aa17d9d111f0de062">
      <Part Type="punktas" Nr="1" Abbr="1 p." DocPartId="ebf8b060013e4912bb3c9693dca18b80" PartId="ce83bdafb2124bac8e1730514b185f38"/>
      <Part Type="punktas" Nr="2" Abbr="2 p." DocPartId="902db3028d66420cb7d4db6e67681b5d" PartId="cbfcbcda659d415d800973b75480e4c5"/>
      <Part Type="punktas" Nr="3" Abbr="3 p." DocPartId="39ce0623d270439290c171689e15183d" PartId="2d394a2f9e73430fb82a6ee6c96d9c30"/>
    </Part>
  </Part>
</Parts>
</file>

<file path=customXml/itemProps1.xml><?xml version="1.0" encoding="utf-8"?>
<ds:datastoreItem xmlns:ds="http://schemas.openxmlformats.org/officeDocument/2006/customXml" ds:itemID="{4832F1DD-B150-414B-81CB-B56D9568845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760</Words>
  <Characters>5100</Characters>
  <Application>Microsoft Office Word</Application>
  <DocSecurity>4</DocSecurity>
  <Lines>104</Lines>
  <Paragraphs>34</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5826</CharactersWithSpaces>
  <SharedDoc>false</SharedDoc>
  <HyperlinkBase/>
  <HLinks>
    <vt:vector size="6" baseType="variant">
      <vt:variant>
        <vt:i4>7340054</vt:i4>
      </vt:variant>
      <vt:variant>
        <vt:i4>0</vt:i4>
      </vt:variant>
      <vt:variant>
        <vt:i4>0</vt:i4>
      </vt:variant>
      <vt:variant>
        <vt:i4>5</vt:i4>
      </vt:variant>
      <vt:variant>
        <vt:lpwstr>mailto:asta.berginiene@siauliai.lt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2025-10-23T14:29:00Z</dcterms:created>
  <dc:creator>Violeta Valančienė</dc:creator>
  <lastModifiedBy>adlibuser</lastModifiedBy>
  <lastPrinted>2025-10-07T06:23:00Z</lastPrinted>
  <dcterms:modified xsi:type="dcterms:W3CDTF">2025-10-23T14:29:00Z</dcterms:modified>
  <revision>2</revision>
</coreProperties>
</file>