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r."/>
        <w:tag w:val="part_4282bb5c6dbb475c84e791a71a5aff4a"/>
        <w:lock w:val="sdtLocked"/>
        <w:richText/>
      </w:sdtPr>
      <w:sdtContent>
        <w:p>
          <w:pPr>
            <w:tabs>
              <w:tab w:val="center" w:pos="4819"/>
              <w:tab w:val="right" w:pos="9638"/>
            </w:tabs>
          </w:pPr>
        </w:p>
        <w:p>
          <w:pPr>
            <w:ind w:left="9072"/>
            <w:rPr>
              <w:szCs w:val="24"/>
              <w:lang w:eastAsia="lt-LT"/>
            </w:rPr>
          </w:pPr>
          <w:r>
            <w:rPr>
              <w:szCs w:val="24"/>
              <w:lang w:eastAsia="lt-LT"/>
            </w:rPr>
            <w:t>Teisės aktų projektų antikorupcinio vertinimo taisyklių</w:t>
          </w:r>
        </w:p>
        <w:p>
          <w:pPr>
            <w:ind w:left="9072"/>
            <w:rPr>
              <w:color w:val="000000"/>
              <w:szCs w:val="24"/>
              <w:lang w:eastAsia="ar-SA"/>
            </w:rPr>
          </w:pPr>
          <w:r>
            <w:rPr>
              <w:color w:val="000000"/>
              <w:szCs w:val="24"/>
              <w:lang w:eastAsia="ar-SA"/>
            </w:rPr>
            <w:t>priedas</w:t>
          </w:r>
        </w:p>
        <w:p>
          <w:pPr>
            <w:tabs>
              <w:tab w:val="left" w:pos="6237"/>
            </w:tabs>
            <w:rPr>
              <w:color w:val="000000"/>
              <w:szCs w:val="24"/>
              <w:lang w:eastAsia="lt-LT"/>
            </w:rPr>
          </w:pPr>
        </w:p>
        <w:p>
          <w:pPr>
            <w:jc w:val="center"/>
            <w:rPr>
              <w:szCs w:val="24"/>
              <w:lang w:eastAsia="lt-LT"/>
            </w:rPr>
          </w:pPr>
          <w:r>
            <w:rPr>
              <w:szCs w:val="24"/>
              <w:lang w:eastAsia="lt-LT"/>
            </w:rPr>
            <w:t>(</w:t>
          </w:r>
          <w:r>
            <w:rPr>
              <w:b/>
              <w:szCs w:val="24"/>
              <w:lang w:eastAsia="lt-LT"/>
            </w:rPr>
            <w:t>Pažymos forma</w:t>
          </w:r>
          <w:r>
            <w:rPr>
              <w:szCs w:val="24"/>
              <w:lang w:eastAsia="lt-LT"/>
            </w:rPr>
            <w:t>)</w:t>
          </w:r>
        </w:p>
        <w:sdt>
          <w:sdtPr>
            <w:alias w:val="skirsnis"/>
            <w:tag w:val="part_9390081ff2ef41be9dfb472e2889669e"/>
            <w:lock w:val="sdtLocked"/>
            <w:richText/>
          </w:sdtPr>
          <w:sdtContent>
            <w:p>
              <w:pPr>
                <w:jc w:val="center"/>
                <w:rPr>
                  <w:szCs w:val="24"/>
                  <w:lang w:eastAsia="lt-LT"/>
                </w:rPr>
              </w:pPr>
              <w:sdt>
                <w:sdtPr>
                  <w:alias w:val="Pavadinimas"/>
                  <w:tag w:val="title_9390081ff2ef41be9dfb472e2889669e"/>
                  <w:lock w:val="sdtLocked"/>
                  <w:richText/>
                </w:sdtPr>
                <w:sdtContent>
                  <w:r>
                    <w:rPr>
                      <w:b/>
                      <w:szCs w:val="24"/>
                      <w:lang w:eastAsia="lt-LT"/>
                    </w:rPr>
                    <w:t>TEISĖS AKTO PROJEKTO ANTIKORUPCINIO VERTINIMO PAŽYMA</w:t>
                  </w:r>
                </w:sdtContent>
              </w:sdt>
            </w:p>
            <w:p>
              <w:pPr>
                <w:rPr>
                  <w:szCs w:val="24"/>
                  <w:lang w:eastAsia="lt-LT"/>
                </w:rPr>
              </w:pPr>
            </w:p>
            <w:p>
              <w:pPr>
                <w:ind w:firstLine="709"/>
                <w:jc w:val="both"/>
                <w:rPr>
                  <w:color w:val="000000"/>
                  <w:szCs w:val="24"/>
                </w:rPr>
              </w:pPr>
              <w:r>
                <w:rPr>
                  <w:caps/>
                  <w:szCs w:val="24"/>
                </w:rPr>
                <w:t>T</w:t>
              </w:r>
              <w:r>
                <w:rPr>
                  <w:szCs w:val="24"/>
                </w:rPr>
                <w:t>eisės akto projekto pavadinimas</w:t>
              </w:r>
              <w:r>
                <w:rPr>
                  <w:caps/>
                  <w:szCs w:val="24"/>
                </w:rPr>
                <w:t xml:space="preserve">: </w:t>
              </w:r>
              <w:r>
                <w:rPr>
                  <w:color w:val="000000"/>
                  <w:szCs w:val="24"/>
                </w:rPr>
                <w:t xml:space="preserve">Lietuvos Respublikos Vyriausybės 2010 m. liepos 21 d. nutarimo Nr. 1133 „Dėl Lietuvos Respublikos Vyriausybės 2007 m. rugpjūčio 8 d. nutarimo Nr. 804 „Dėl Nacionalinės žaliųjų pirkimų įgyvendinimo programos patvirtinimo“ ir jį keitusių nutarimų pripažinimo netekusiais galios“ pakeitimo projektas (toliau – Projektas). </w:t>
              </w:r>
            </w:p>
            <w:p>
              <w:pPr>
                <w:ind w:firstLine="709"/>
                <w:jc w:val="both"/>
                <w:rPr>
                  <w:color w:val="0000FF"/>
                  <w:szCs w:val="24"/>
                  <w:u w:val="single"/>
                </w:rPr>
              </w:pPr>
              <w:r>
                <w:rPr>
                  <w:szCs w:val="24"/>
                  <w:lang w:eastAsia="lt-LT"/>
                </w:rPr>
                <w:t xml:space="preserve">Teisės akto projekto tiesioginiai rengėjai: </w:t>
              </w:r>
              <w:r>
                <w:rPr>
                  <w:szCs w:val="24"/>
                </w:rPr>
                <w:t>Lietuvos Respublikos a</w:t>
              </w:r>
              <w:r>
                <w:rPr>
                  <w:color w:val="000000"/>
                  <w:szCs w:val="24"/>
                </w:rPr>
                <w:t xml:space="preserve">plinkos ministerijos Strateginių pokyčių grupės vyriausiasis specialistas Arnas Liauksminas, tel. </w:t>
              </w:r>
              <w:r>
                <w:rPr>
                  <w:szCs w:val="24"/>
                </w:rPr>
                <w:t xml:space="preserve">8~61408012, el. p. </w:t>
              </w:r>
              <w:r>
                <w:rPr>
                  <w:color w:val="0000FF"/>
                  <w:szCs w:val="24"/>
                  <w:u w:val="single"/>
                </w:rPr>
                <w:t>arnas.liauksminas@am.lt</w:t>
              </w:r>
              <w:r>
                <w:rPr>
                  <w:color w:val="0000FF"/>
                  <w:szCs w:val="24"/>
                  <w:u w:val="single"/>
                </w:rPr>
                <w:t>.</w:t>
              </w:r>
            </w:p>
            <w:p>
              <w:pPr>
                <w:ind w:firstLine="709"/>
                <w:jc w:val="both"/>
                <w:rPr>
                  <w:szCs w:val="24"/>
                  <w:lang w:eastAsia="lt-LT"/>
                </w:rPr>
              </w:pPr>
              <w:r>
                <w:rPr>
                  <w:szCs w:val="24"/>
                  <w:lang w:eastAsia="lt-LT"/>
                </w:rPr>
                <w:t>Antikorupciniu požiūriu rizikingos teisės akto projekto nuostatos</w:t>
              </w:r>
              <w:r>
                <w:rPr>
                  <w:b/>
                  <w:szCs w:val="24"/>
                  <w:lang w:eastAsia="lt-LT"/>
                </w:rPr>
                <w:t xml:space="preserve"> </w:t>
              </w:r>
              <w:r>
                <w:rPr>
                  <w:i/>
                  <w:szCs w:val="24"/>
                  <w:lang w:eastAsia="lt-LT"/>
                </w:rPr>
                <w:t>(nurodyti kriterijaus numerį, kurį taikant nustatytai korupcijos rizikai šalinti ar valdyti teisės akto projekte nenumatyta priemonių)</w:t>
              </w:r>
              <w:r>
                <w:rPr>
                  <w:szCs w:val="24"/>
                  <w:vertAlign w:val="superscript"/>
                  <w:lang w:eastAsia="lt-LT"/>
                </w:rPr>
                <w:footnoteReference w:id="1"/>
              </w:r>
              <w:r>
                <w:rPr>
                  <w:szCs w:val="24"/>
                  <w:lang w:eastAsia="lt-LT"/>
                </w:rPr>
                <w:t>: nėra</w:t>
              </w:r>
            </w:p>
            <w:p>
              <w:pPr>
                <w:ind w:firstLine="709"/>
                <w:jc w:val="both"/>
                <w:rPr>
                  <w:szCs w:val="24"/>
                  <w:lang w:eastAsia="lt-LT"/>
                </w:rPr>
              </w:pPr>
              <w:r>
                <w:rPr>
                  <w:szCs w:val="24"/>
                  <w:lang w:eastAsia="lt-LT"/>
                </w:rPr>
                <w:t>Antikorupciniu požiūriu rizikingos teisės akto projekto nuostatos, nustatytos atliekant antikorupcinį vertinimą po tarpinstitucinio derinimo</w:t>
              </w:r>
              <w:r>
                <w:rPr>
                  <w:b/>
                  <w:szCs w:val="24"/>
                  <w:lang w:eastAsia="lt-LT"/>
                </w:rPr>
                <w:t xml:space="preserve"> </w:t>
              </w:r>
              <w:r>
                <w:rPr>
                  <w:i/>
                  <w:szCs w:val="24"/>
                  <w:lang w:eastAsia="lt-LT"/>
                </w:rPr>
                <w:t>(nurodyti kriterijaus numerį, kurį taikant nustatytai korupcijos rizikai šalinti ar valdyti teisės akto projekte nenumatyta priemonių)</w:t>
              </w:r>
              <w:r>
                <w:rPr>
                  <w:szCs w:val="24"/>
                  <w:vertAlign w:val="superscript"/>
                  <w:lang w:eastAsia="lt-LT"/>
                </w:rPr>
                <w:footnoteReference w:id="2"/>
              </w:r>
              <w:r>
                <w:rPr>
                  <w:szCs w:val="24"/>
                  <w:lang w:eastAsia="lt-LT"/>
                </w:rPr>
                <w:t>:</w:t>
              </w:r>
            </w:p>
            <w:p>
              <w:pPr>
                <w:jc w:val="both"/>
                <w:rPr>
                  <w:szCs w:val="24"/>
                  <w:lang w:eastAsia="lt-LT"/>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96"/>
                <w:gridCol w:w="3301"/>
                <w:gridCol w:w="4083"/>
                <w:gridCol w:w="3420"/>
                <w:gridCol w:w="2611"/>
              </w:tblGrid>
              <w:tr>
                <w:trPr>
                  <w:trHeight w:val="23"/>
                </w:trPr>
                <w:tc>
                  <w:tcPr>
                    <w:tcW w:w="696" w:type="dxa"/>
                    <w:shd w:val="clear" w:color="auto" w:fill="auto"/>
                    <w:vAlign w:val="center"/>
                  </w:tcPr>
                  <w:p>
                    <w:pPr>
                      <w:jc w:val="center"/>
                      <w:rPr>
                        <w:szCs w:val="24"/>
                        <w:lang w:eastAsia="lt-LT"/>
                      </w:rPr>
                    </w:pPr>
                    <w:r>
                      <w:rPr>
                        <w:szCs w:val="24"/>
                        <w:lang w:eastAsia="lt-LT"/>
                      </w:rPr>
                      <w:t>Eil. Nr.</w:t>
                    </w:r>
                  </w:p>
                </w:tc>
                <w:tc>
                  <w:tcPr>
                    <w:tcW w:w="3301" w:type="dxa"/>
                    <w:shd w:val="clear" w:color="auto" w:fill="auto"/>
                    <w:vAlign w:val="center"/>
                  </w:tcPr>
                  <w:p>
                    <w:pPr>
                      <w:jc w:val="center"/>
                      <w:rPr>
                        <w:szCs w:val="24"/>
                        <w:lang w:eastAsia="lt-LT"/>
                      </w:rPr>
                    </w:pPr>
                    <w:r>
                      <w:rPr>
                        <w:szCs w:val="24"/>
                        <w:lang w:eastAsia="lt-LT"/>
                      </w:rPr>
                      <w:t>Kriterijus</w:t>
                    </w:r>
                  </w:p>
                </w:tc>
                <w:tc>
                  <w:tcPr>
                    <w:tcW w:w="4083" w:type="dxa"/>
                    <w:shd w:val="clear" w:color="auto" w:fill="auto"/>
                    <w:vAlign w:val="center"/>
                  </w:tcPr>
                  <w:p>
                    <w:pPr>
                      <w:jc w:val="center"/>
                      <w:rPr>
                        <w:b/>
                        <w:szCs w:val="24"/>
                        <w:lang w:eastAsia="lt-LT"/>
                      </w:rPr>
                    </w:pPr>
                    <w:r>
                      <w:rPr>
                        <w:szCs w:val="24"/>
                        <w:lang w:eastAsia="lt-LT"/>
                      </w:rPr>
                      <w:t>Pagrindimas (nurodomos konkrečios teisės akto projekto ar kitų teisės aktų nuostatos, pagrindžiančios teigiamą atsakymą, arba pateikiamos antikorupcinį teisės akto projekto vertinimą atliekančio specialisto pastabos ir pasiūlymai dėl korupcijos rizikos mažinimo)</w:t>
                    </w:r>
                  </w:p>
                </w:tc>
                <w:tc>
                  <w:tcPr>
                    <w:tcW w:w="3420" w:type="dxa"/>
                    <w:shd w:val="clear" w:color="auto" w:fill="auto"/>
                    <w:vAlign w:val="center"/>
                  </w:tcPr>
                  <w:p>
                    <w:pPr>
                      <w:jc w:val="center"/>
                      <w:rPr>
                        <w:szCs w:val="24"/>
                        <w:lang w:eastAsia="lt-LT"/>
                      </w:rPr>
                    </w:pPr>
                    <w:r>
                      <w:rPr>
                        <w:szCs w:val="24"/>
                        <w:lang w:eastAsia="lt-LT"/>
                      </w:rPr>
                      <w:t>Teisės akto projekto pakeitimas, mažinantis korupcijos riziką, arba teisės akto projekto tiesioginio rengėjo argumentai, kodėl neatsižvelgta į pastabą</w:t>
                    </w:r>
                  </w:p>
                </w:tc>
                <w:tc>
                  <w:tcPr>
                    <w:tcW w:w="2611" w:type="dxa"/>
                    <w:shd w:val="clear" w:color="auto" w:fill="auto"/>
                    <w:vAlign w:val="center"/>
                  </w:tcPr>
                  <w:p>
                    <w:pPr>
                      <w:jc w:val="center"/>
                      <w:rPr>
                        <w:szCs w:val="24"/>
                        <w:lang w:eastAsia="lt-LT"/>
                      </w:rPr>
                    </w:pPr>
                    <w:r>
                      <w:rPr>
                        <w:szCs w:val="24"/>
                        <w:lang w:eastAsia="lt-LT"/>
                      </w:rPr>
                      <w:t>Išvada dėl teisės akto projekto pakeitimų arba argumentų, kodėl neatsižvelgta į pastabą</w:t>
                    </w:r>
                  </w:p>
                </w:tc>
              </w:tr>
              <w:tr>
                <w:trPr>
                  <w:trHeight w:val="23"/>
                </w:trPr>
                <w:tc>
                  <w:tcPr>
                    <w:tcW w:w="696" w:type="dxa"/>
                    <w:shd w:val="clear" w:color="auto" w:fill="auto"/>
                  </w:tcPr>
                  <w:p>
                    <w:pPr>
                      <w:jc w:val="center"/>
                      <w:rPr>
                        <w:i/>
                        <w:sz w:val="22"/>
                        <w:szCs w:val="22"/>
                        <w:lang w:eastAsia="lt-LT"/>
                      </w:rPr>
                    </w:pPr>
                  </w:p>
                </w:tc>
                <w:tc>
                  <w:tcPr>
                    <w:tcW w:w="3301" w:type="dxa"/>
                    <w:shd w:val="clear" w:color="auto" w:fill="auto"/>
                  </w:tcPr>
                  <w:p>
                    <w:pPr>
                      <w:rPr>
                        <w:i/>
                        <w:sz w:val="22"/>
                        <w:szCs w:val="22"/>
                        <w:lang w:eastAsia="lt-LT"/>
                      </w:rPr>
                    </w:pPr>
                  </w:p>
                </w:tc>
                <w:tc>
                  <w:tcPr>
                    <w:tcW w:w="4083" w:type="dxa"/>
                    <w:shd w:val="clear" w:color="auto" w:fill="auto"/>
                    <w:vAlign w:val="center"/>
                  </w:tcPr>
                  <w:p>
                    <w:pPr>
                      <w:jc w:val="center"/>
                      <w:rPr>
                        <w:i/>
                        <w:sz w:val="22"/>
                        <w:szCs w:val="22"/>
                        <w:lang w:eastAsia="lt-LT"/>
                      </w:rPr>
                    </w:pPr>
                    <w:r>
                      <w:rPr>
                        <w:i/>
                        <w:sz w:val="22"/>
                        <w:szCs w:val="22"/>
                        <w:lang w:eastAsia="lt-LT"/>
                      </w:rPr>
                      <w:t>pildo teisės akto projekto vertintojas</w:t>
                    </w:r>
                  </w:p>
                </w:tc>
                <w:tc>
                  <w:tcPr>
                    <w:tcW w:w="3420" w:type="dxa"/>
                    <w:shd w:val="clear" w:color="auto" w:fill="auto"/>
                    <w:vAlign w:val="center"/>
                  </w:tcPr>
                  <w:p>
                    <w:pPr>
                      <w:jc w:val="center"/>
                      <w:rPr>
                        <w:i/>
                        <w:sz w:val="22"/>
                        <w:szCs w:val="22"/>
                        <w:lang w:eastAsia="lt-LT"/>
                      </w:rPr>
                    </w:pPr>
                    <w:r>
                      <w:rPr>
                        <w:i/>
                        <w:sz w:val="22"/>
                        <w:szCs w:val="22"/>
                        <w:lang w:eastAsia="lt-LT"/>
                      </w:rPr>
                      <w:t>pildo teisės akto projekto tiesioginis rengėjas</w:t>
                    </w:r>
                  </w:p>
                </w:tc>
                <w:tc>
                  <w:tcPr>
                    <w:tcW w:w="2611" w:type="dxa"/>
                    <w:shd w:val="clear" w:color="auto" w:fill="auto"/>
                    <w:vAlign w:val="center"/>
                  </w:tcPr>
                  <w:p>
                    <w:pPr>
                      <w:jc w:val="center"/>
                      <w:rPr>
                        <w:i/>
                        <w:sz w:val="22"/>
                        <w:szCs w:val="22"/>
                        <w:lang w:eastAsia="lt-LT"/>
                      </w:rPr>
                    </w:pPr>
                    <w:r>
                      <w:rPr>
                        <w:i/>
                        <w:sz w:val="22"/>
                        <w:szCs w:val="22"/>
                        <w:lang w:eastAsia="lt-LT"/>
                      </w:rPr>
                      <w:t>pildo teisės akto projekto vertintojas</w:t>
                    </w:r>
                  </w:p>
                </w:tc>
              </w:tr>
              <w:tr>
                <w:trPr>
                  <w:trHeight w:val="23"/>
                </w:trPr>
                <w:tc>
                  <w:tcPr>
                    <w:tcW w:w="696" w:type="dxa"/>
                    <w:shd w:val="clear" w:color="auto" w:fill="auto"/>
                  </w:tcPr>
                  <w:p>
                    <w:pPr>
                      <w:jc w:val="center"/>
                      <w:rPr>
                        <w:szCs w:val="24"/>
                        <w:lang w:eastAsia="lt-LT"/>
                      </w:rPr>
                    </w:pPr>
                    <w:r>
                      <w:rPr>
                        <w:szCs w:val="24"/>
                        <w:lang w:eastAsia="lt-LT"/>
                      </w:rPr>
                      <w:t>1.</w:t>
                    </w:r>
                  </w:p>
                </w:tc>
                <w:tc>
                  <w:tcPr>
                    <w:tcW w:w="3301" w:type="dxa"/>
                    <w:shd w:val="clear" w:color="auto" w:fill="auto"/>
                  </w:tcPr>
                  <w:p>
                    <w:pPr>
                      <w:rPr>
                        <w:szCs w:val="24"/>
                        <w:lang w:eastAsia="lt-LT"/>
                      </w:rPr>
                    </w:pPr>
                    <w:r>
                      <w:rPr>
                        <w:szCs w:val="24"/>
                        <w:lang w:eastAsia="lt-LT"/>
                      </w:rPr>
                      <w:t>Teisės akto projektas nesudaro išskirtinių ar nevienodų sąlygų subjektams, su kuriais susijęs teisės akto įgyvendinimas</w:t>
                    </w:r>
                  </w:p>
                </w:tc>
                <w:tc>
                  <w:tcPr>
                    <w:tcW w:w="4083" w:type="dxa"/>
                    <w:shd w:val="clear" w:color="auto" w:fill="auto"/>
                  </w:tcPr>
                  <w:p>
                    <w:pPr>
                      <w:widowControl w:val="0"/>
                      <w:suppressAutoHyphens/>
                      <w:jc w:val="both"/>
                      <w:rPr>
                        <w:rFonts w:eastAsia="Andale Sans UI"/>
                        <w:szCs w:val="24"/>
                        <w:lang w:bidi="en-US"/>
                      </w:rPr>
                    </w:pPr>
                    <w:r>
                      <w:rPr>
                        <w:rFonts w:eastAsia="Andale Sans UI"/>
                        <w:szCs w:val="24"/>
                        <w:lang w:bidi="en-US"/>
                      </w:rPr>
                      <w:t>Projektas nesudaro išskirtinių ar nevienodų sąlygų subjektams, su kuriais susijęs teisės akto įgyvendinimas.</w:t>
                    </w:r>
                  </w:p>
                  <w:p>
                    <w:pPr>
                      <w:jc w:val="both"/>
                      <w:rPr>
                        <w:color w:val="000000"/>
                        <w:szCs w:val="24"/>
                      </w:rPr>
                    </w:pPr>
                    <w:r>
                      <w:rPr>
                        <w:szCs w:val="24"/>
                      </w:rPr>
                      <w:t xml:space="preserve">Projekto </w:t>
                    </w:r>
                    <w:r>
                      <w:rPr>
                        <w:color w:val="000000"/>
                        <w:szCs w:val="24"/>
                      </w:rPr>
                      <w:t>parengtas atsižvelgiant į tai, kad 2021-2030 m. Nacionaliniame pažangos plane, patvirtintame 2020-09-09 Lietuvos Respublikos Vyriausybės nutarimu Nr. 998, įtvirtinta, kad siekiant prisidėti prie horizontaliojo darnaus vystymosi principo įgyvendinimo, Lietuvoje numatoma didinti žaliųjų viešųjų pirkimų (toliau – ŽVP) dalį, o Lietuvos Respublikos Vyriausybės programoje, patvirtintoje Lietuvos Respublikos Seimo 2020-12-11 nutarimu Nr. XIV-72, nurodoma, kad nuo 2023 m. ŽVP turėtų tapti dominuojančia viešųjų pirkimų rūšimi.</w:t>
                    </w:r>
                  </w:p>
                  <w:p>
                    <w:pPr>
                      <w:jc w:val="both"/>
                      <w:rPr>
                        <w:color w:val="000000"/>
                        <w:szCs w:val="24"/>
                        <w:lang w:val="lt"/>
                      </w:rPr>
                    </w:pPr>
                    <w:r>
                      <w:rPr>
                        <w:color w:val="000000"/>
                        <w:szCs w:val="24"/>
                      </w:rPr>
                      <w:t>Projekte</w:t>
                    </w:r>
                    <w:r>
                      <w:rPr>
                        <w:color w:val="000000"/>
                        <w:szCs w:val="24"/>
                        <w:lang w:val="lt"/>
                      </w:rPr>
                      <w:t xml:space="preserve"> nustatomi ŽVP tikslai 2021-2023 m. laikotarpiui. </w:t>
                    </w:r>
                  </w:p>
                  <w:p>
                    <w:pPr>
                      <w:jc w:val="both"/>
                    </w:pPr>
                    <w:r>
                      <w:rPr>
                        <w:color w:val="000000"/>
                        <w:szCs w:val="24"/>
                        <w:lang w:val="lt"/>
                      </w:rPr>
                      <w:t>Projektu rekomenduojama Viešųjų pirkimų tarnybai tobulinti perkančiųjų organizacijų ir perkančiųjų subjektų kompetencijas ŽVP srityje, gerinti informacijos apie ŽVP rinkimą ir sisteminimą, stiprinti konsultavimą ŽVP vykdymo klausimais, vykdyti nutarimo įgyvendinimo stebėseną ir pasiektos pažangos vertinimą.</w:t>
                    </w:r>
                    <w:r>
                      <w:t xml:space="preserve"> </w:t>
                    </w:r>
                  </w:p>
                  <w:p>
                    <w:pPr>
                      <w:jc w:val="both"/>
                      <w:rPr>
                        <w:color w:val="000000"/>
                        <w:szCs w:val="24"/>
                        <w:lang w:val="lt"/>
                      </w:rPr>
                    </w:pPr>
                    <w:r>
                      <w:rPr>
                        <w:color w:val="000000"/>
                        <w:szCs w:val="24"/>
                        <w:lang w:val="lt"/>
                      </w:rPr>
                      <w:t xml:space="preserve">Viešųjų pirkimų tarnyba įpareigojama, teikiant metines veiklos ataskaitas, teikti Vyriausybei susistemintą informaciją apie ŽVP stebėsenos rezultatus. </w:t>
                    </w:r>
                  </w:p>
                  <w:p>
                    <w:pPr>
                      <w:jc w:val="both"/>
                      <w:rPr>
                        <w:color w:val="000000"/>
                        <w:szCs w:val="24"/>
                        <w:lang w:val="lt"/>
                      </w:rPr>
                    </w:pPr>
                    <w:r>
                      <w:rPr>
                        <w:color w:val="000000"/>
                        <w:szCs w:val="24"/>
                        <w:lang w:val="lt"/>
                      </w:rPr>
                      <w:t>Projektu pavedama, kad Vyriausybei atskaitingi subjektai, atsakingi už Europos Sąjungos ir (ar) nacionalinių finansavimo programų lėšų skirstymą ir (ar) administravimą, turi atnaujinti susijusį teisinį reglamentavimą ir įtraukti prievolę subjektams, įgyvendinantiems Europos Sąjungos ir (ar) nacionalinių finansavimo programų lėšomis finansuojamus projektus, atliekant pirkimus taikyti ŽVP reikalavimus.</w:t>
                    </w:r>
                  </w:p>
                  <w:p>
                    <w:pPr>
                      <w:jc w:val="both"/>
                      <w:rPr>
                        <w:color w:val="000000"/>
                        <w:szCs w:val="24"/>
                        <w:lang w:val="lt"/>
                      </w:rPr>
                    </w:pPr>
                    <w:r>
                      <w:rPr>
                        <w:color w:val="000000"/>
                        <w:szCs w:val="24"/>
                        <w:lang w:val="lt"/>
                      </w:rPr>
                      <w:t>Projektu pavedama Aplinkos ministerijai, suderinus su Viešųjų pirkimų tarnyba, patvirtinti ŽVP įgyvendinimo 2021-2025 m. priemones.</w:t>
                    </w:r>
                  </w:p>
                  <w:p>
                    <w:pPr>
                      <w:jc w:val="both"/>
                      <w:rPr>
                        <w:color w:val="000000"/>
                        <w:szCs w:val="24"/>
                        <w:lang w:val="lt"/>
                      </w:rPr>
                    </w:pPr>
                  </w:p>
                </w:tc>
                <w:tc>
                  <w:tcPr>
                    <w:tcW w:w="3420" w:type="dxa"/>
                    <w:shd w:val="clear" w:color="auto" w:fill="auto"/>
                  </w:tcPr>
                  <w:p>
                    <w:pPr>
                      <w:rPr>
                        <w:b/>
                        <w:szCs w:val="24"/>
                        <w:lang w:eastAsia="lt-LT"/>
                      </w:rPr>
                    </w:pPr>
                  </w:p>
                </w:tc>
                <w:tc>
                  <w:tcPr>
                    <w:tcW w:w="2611" w:type="dxa"/>
                    <w:shd w:val="clear" w:color="auto" w:fill="auto"/>
                  </w:tcPr>
                  <w:p>
                    <w:pPr>
                      <w:rPr>
                        <w:szCs w:val="24"/>
                        <w:lang w:eastAsia="lt-LT"/>
                      </w:rPr>
                    </w:pPr>
                    <w:r>
                      <w:rPr>
                        <w:szCs w:val="24"/>
                        <w:lang w:eastAsia="lt-LT"/>
                      </w:rPr>
                      <w:t>X tenkina</w:t>
                    </w:r>
                  </w:p>
                  <w:p>
                    <w:pPr>
                      <w:rPr>
                        <w:szCs w:val="24"/>
                        <w:lang w:eastAsia="lt-LT"/>
                      </w:rPr>
                    </w:pPr>
                    <w:r>
                      <w:rPr>
                        <w:szCs w:val="24"/>
                        <w:lang w:eastAsia="lt-LT"/>
                      </w:rPr>
                      <w:t>□ netenkina</w:t>
                    </w:r>
                  </w:p>
                </w:tc>
              </w:tr>
              <w:tr>
                <w:trPr>
                  <w:trHeight w:val="23"/>
                </w:trPr>
                <w:tc>
                  <w:tcPr>
                    <w:tcW w:w="696" w:type="dxa"/>
                    <w:shd w:val="clear" w:color="auto" w:fill="auto"/>
                  </w:tcPr>
                  <w:p>
                    <w:pPr>
                      <w:keepNext/>
                      <w:rPr>
                        <w:szCs w:val="24"/>
                        <w:lang w:eastAsia="lt-LT"/>
                      </w:rPr>
                    </w:pPr>
                    <w:r>
                      <w:rPr>
                        <w:szCs w:val="24"/>
                        <w:lang w:eastAsia="lt-LT"/>
                      </w:rPr>
                      <w:t>2.</w:t>
                    </w:r>
                  </w:p>
                </w:tc>
                <w:tc>
                  <w:tcPr>
                    <w:tcW w:w="3301" w:type="dxa"/>
                    <w:shd w:val="clear" w:color="auto" w:fill="auto"/>
                  </w:tcPr>
                  <w:p>
                    <w:pPr>
                      <w:keepNext/>
                      <w:rPr>
                        <w:szCs w:val="24"/>
                        <w:lang w:eastAsia="lt-LT"/>
                      </w:rPr>
                    </w:pPr>
                    <w:r>
                      <w:rPr>
                        <w:szCs w:val="24"/>
                        <w:lang w:eastAsia="lt-LT"/>
                      </w:rPr>
                      <w:t>Teisės akto projekte nėra spragų ar nuostatų, leisiančių dviprasmiškai aiškinti ir taikyti teisės aktą</w:t>
                    </w:r>
                  </w:p>
                </w:tc>
                <w:tc>
                  <w:tcPr>
                    <w:tcW w:w="4083" w:type="dxa"/>
                    <w:shd w:val="clear" w:color="auto" w:fill="auto"/>
                  </w:tcPr>
                  <w:p>
                    <w:pPr>
                      <w:keepNext/>
                      <w:jc w:val="both"/>
                      <w:rPr>
                        <w:szCs w:val="24"/>
                        <w:lang w:eastAsia="lt-LT"/>
                      </w:rPr>
                    </w:pPr>
                    <w:r>
                      <w:rPr>
                        <w:szCs w:val="24"/>
                        <w:lang w:eastAsia="lt-LT"/>
                      </w:rPr>
                      <w:t>Projekto nuostatos aiškios ir nesudaro galimybės dviprasmiškai aiškinti ir taikyti teisės aktą.</w:t>
                    </w:r>
                  </w:p>
                  <w:p>
                    <w:pPr>
                      <w:keepNext/>
                      <w:jc w:val="both"/>
                      <w:rPr>
                        <w:szCs w:val="24"/>
                      </w:rPr>
                    </w:pPr>
                    <w:r>
                      <w:rPr>
                        <w:szCs w:val="24"/>
                      </w:rPr>
                      <w:t>Projekto 1 punkte aiškiai nustatoma, kad Lietuvos Respublikos viešųjų pirkimų įstatyme apibrėžtos perkančiosios organizacijos ir Lietuvos Respublikos pirkimų, atliekamų vandentvarkos, energetikos, transporto ar pašto paslaugų srities perkančiųjų subjektų, įstatyme apibrėžti perkantieji subjektai (toliau kartu – perkančiosios organizacijos), atlikdami prekių, paslaugų ir darbų viešuosius pirkimus ar pirkimus, kuriems nustatyti aplinkos apsaugos kriterijai</w:t>
                    </w:r>
                    <w:r>
                      <w:rPr>
                        <w:szCs w:val="24"/>
                        <w:lang w:val="en-US"/>
                      </w:rPr>
                      <w:t>,</w:t>
                    </w:r>
                    <w:r>
                      <w:rPr>
                        <w:szCs w:val="24"/>
                      </w:rPr>
                      <w:t xml:space="preserve"> turi taikyti žaliesiems pirkimams taikomus reikalavimus. Tokie pirkimai, skaičiuojant pagal vertę nuo visų viešųjų pirkimų ir pirkimų, ne mažiau kaip 30 procentų tokių pirkimų 2021 metais, ne mažiau kaip 60 procentų – 2022 metais ir ne mažiau kaip 100 procentų – nuo 2023 metų.</w:t>
                    </w:r>
                  </w:p>
                  <w:p>
                    <w:pPr>
                      <w:keepNext/>
                      <w:jc w:val="both"/>
                      <w:rPr>
                        <w:szCs w:val="24"/>
                        <w:lang w:eastAsia="lt-LT"/>
                      </w:rPr>
                    </w:pPr>
                  </w:p>
                </w:tc>
                <w:tc>
                  <w:tcPr>
                    <w:tcW w:w="3420" w:type="dxa"/>
                    <w:shd w:val="clear" w:color="auto" w:fill="auto"/>
                  </w:tcPr>
                  <w:p>
                    <w:pPr>
                      <w:keepNext/>
                      <w:rPr>
                        <w:szCs w:val="24"/>
                        <w:lang w:eastAsia="lt-LT"/>
                      </w:rPr>
                    </w:pPr>
                  </w:p>
                </w:tc>
                <w:tc>
                  <w:tcPr>
                    <w:tcW w:w="2611" w:type="dxa"/>
                    <w:shd w:val="clear" w:color="auto" w:fill="auto"/>
                  </w:tcPr>
                  <w:p>
                    <w:pPr>
                      <w:keepNext/>
                      <w:rPr>
                        <w:szCs w:val="24"/>
                        <w:lang w:eastAsia="lt-LT"/>
                      </w:rPr>
                    </w:pPr>
                    <w:r>
                      <w:rPr>
                        <w:szCs w:val="24"/>
                        <w:lang w:eastAsia="lt-LT"/>
                      </w:rPr>
                      <w:t xml:space="preserve">X  tenkina</w:t>
                    </w:r>
                  </w:p>
                  <w:p>
                    <w:pPr>
                      <w:keepNext/>
                      <w:rPr>
                        <w:szCs w:val="24"/>
                        <w:lang w:eastAsia="lt-LT"/>
                      </w:rPr>
                    </w:pPr>
                    <w:r>
                      <w:rPr>
                        <w:szCs w:val="24"/>
                        <w:lang w:eastAsia="lt-LT"/>
                      </w:rPr>
                      <w:t>□ netenkina</w:t>
                    </w:r>
                  </w:p>
                </w:tc>
              </w:tr>
              <w:tr>
                <w:trPr>
                  <w:trHeight w:val="23"/>
                </w:trPr>
                <w:tc>
                  <w:tcPr>
                    <w:tcW w:w="696" w:type="dxa"/>
                    <w:shd w:val="clear" w:color="auto" w:fill="auto"/>
                  </w:tcPr>
                  <w:p>
                    <w:pPr>
                      <w:jc w:val="center"/>
                      <w:rPr>
                        <w:szCs w:val="24"/>
                        <w:lang w:eastAsia="lt-LT"/>
                      </w:rPr>
                    </w:pPr>
                    <w:r>
                      <w:rPr>
                        <w:szCs w:val="24"/>
                        <w:lang w:eastAsia="lt-LT"/>
                      </w:rPr>
                      <w:t>3.</w:t>
                    </w:r>
                  </w:p>
                </w:tc>
                <w:tc>
                  <w:tcPr>
                    <w:tcW w:w="3301" w:type="dxa"/>
                    <w:shd w:val="clear" w:color="auto" w:fill="auto"/>
                  </w:tcPr>
                  <w:p>
                    <w:pPr>
                      <w:rPr>
                        <w:szCs w:val="24"/>
                        <w:lang w:eastAsia="lt-LT"/>
                      </w:rPr>
                    </w:pPr>
                    <w:r>
                      <w:rPr>
                        <w:szCs w:val="24"/>
                        <w:lang w:eastAsia="lt-LT"/>
                      </w:rPr>
                      <w:t>Teisės akto projekte nustatyta, kad sprendimą dėl teisių suteikimo, apribojimų nustatymo, sankcijų taikymo ir panašiai priimantis subjektas atskirtas nuo šių sprendimų teisėtumą ir įgyvendinimą kontroliuojančio (prižiūrinčio) subjekto</w:t>
                    </w:r>
                  </w:p>
                </w:tc>
                <w:tc>
                  <w:tcPr>
                    <w:tcW w:w="4083" w:type="dxa"/>
                    <w:shd w:val="clear" w:color="auto" w:fill="auto"/>
                  </w:tcPr>
                  <w:p>
                    <w:pPr>
                      <w:jc w:val="both"/>
                      <w:rPr>
                        <w:szCs w:val="24"/>
                      </w:rPr>
                    </w:pPr>
                    <w:r>
                      <w:rPr>
                        <w:color w:val="000000"/>
                        <w:szCs w:val="24"/>
                        <w:lang w:val="lt"/>
                      </w:rPr>
                      <w:t>Projektu rekomenduojama Viešųjų pirkimų tarnybai tobulinti perkančiųjų organizacijų ir perkančiųjų subjektų kompetencijas ŽVP srityje, gerinti informacijos apie žaliuosius pirkimus rinkimą ir sisteminimą, stiprinti konsultavimą ŽVP vykdymo klausimais.</w:t>
                    </w:r>
                    <w:r>
                      <w:rPr>
                        <w:szCs w:val="24"/>
                      </w:rPr>
                      <w:t xml:space="preserve"> </w:t>
                    </w:r>
                  </w:p>
                  <w:p>
                    <w:pPr>
                      <w:jc w:val="both"/>
                      <w:rPr>
                        <w:rFonts w:eastAsia="Calibri"/>
                        <w:szCs w:val="24"/>
                      </w:rPr>
                    </w:pPr>
                    <w:r>
                      <w:rPr>
                        <w:rFonts w:eastAsia="Calibri"/>
                        <w:szCs w:val="24"/>
                      </w:rPr>
                      <w:t>Projekto 2 punktu pavedama, kad Vyriausybei atskaitingi subjektai, atsakingi už Europos Sąjungos ir nacionalinių finansavimo programų lėšų skirstymą ir administravimą, turi rengti ir atnaujinti, derinant su Aplinkos ministerija, su šių lėšų skirstymu ir administravimu susijusį teisinį reguliavimą, įtraukiant prievolę subjektams, įgyvendinantiems Europos Sąjungos ir nacionalinių finansavimo programų lėšomis finansuojamus projektus, atliekant pirkimus taikyti žaliųjų pirkimų reikalavimus.</w:t>
                    </w:r>
                  </w:p>
                  <w:p>
                    <w:pPr>
                      <w:jc w:val="both"/>
                      <w:rPr>
                        <w:rFonts w:eastAsia="Calibri"/>
                        <w:bCs/>
                        <w:szCs w:val="24"/>
                      </w:rPr>
                    </w:pPr>
                    <w:r>
                      <w:rPr>
                        <w:szCs w:val="24"/>
                      </w:rPr>
                      <w:t>Projekto 3.2</w:t>
                    </w:r>
                    <w:r>
                      <w:rPr>
                        <w:color w:val="000000"/>
                        <w:szCs w:val="24"/>
                        <w:lang w:val="lt"/>
                      </w:rPr>
                      <w:t xml:space="preserve"> papunktyje </w:t>
                    </w:r>
                    <w:r>
                      <w:rPr>
                        <w:szCs w:val="24"/>
                      </w:rPr>
                      <w:t xml:space="preserve">Viešųjų pirkimų tarnybai rekomenduojama </w:t>
                    </w:r>
                    <w:r>
                      <w:rPr>
                        <w:color w:val="000000"/>
                        <w:szCs w:val="24"/>
                        <w:lang w:val="lt"/>
                      </w:rPr>
                      <w:t xml:space="preserve"> </w:t>
                    </w:r>
                    <w:r>
                      <w:rPr>
                        <w:szCs w:val="24"/>
                      </w:rPr>
                      <w:t>vykdyti Projekto (šio nutarimo) įgyvendinimo priežiūrą, vadovaujantis Viešųjų pirkimų įstatymo 95 straipsnio 1 punkto 2 dalimi:</w:t>
                    </w:r>
                    <w:r>
                      <w:rPr>
                        <w:rFonts w:eastAsia="Calibri"/>
                        <w:bCs/>
                        <w:szCs w:val="24"/>
                      </w:rPr>
                      <w:t xml:space="preserve"> </w:t>
                    </w:r>
                    <w:r>
                      <w:rPr>
                        <w:rFonts w:eastAsia="Calibri"/>
                        <w:szCs w:val="24"/>
                      </w:rPr>
                      <w:t>Viešųjų pirkimų tarnyba atlieka šias funkcijas: &lt;...&gt; vykdo šio įstatymo ir su jo įgyvendinimu susijusių teisės aktų pažeidimų prevenciją, prižiūri, kaip laikomasi</w:t>
                    </w:r>
                    <w:r>
                      <w:rPr>
                        <w:rFonts w:eastAsia="Calibri"/>
                        <w:i/>
                        <w:iCs/>
                        <w:szCs w:val="24"/>
                      </w:rPr>
                      <w:t xml:space="preserve"> </w:t>
                    </w:r>
                    <w:r>
                      <w:rPr>
                        <w:rFonts w:eastAsia="Calibri"/>
                        <w:szCs w:val="24"/>
                      </w:rPr>
                      <w:t>šių teisės aktų reikalavimų, įskaitant šių teisės aktų reikalavimus vykdant pirkimo sutartis</w:t>
                    </w:r>
                    <w:r>
                      <w:rPr>
                        <w:szCs w:val="24"/>
                      </w:rPr>
                      <w:t xml:space="preserve"> </w:t>
                    </w:r>
                    <w:r>
                      <w:rPr>
                        <w:rFonts w:eastAsia="Calibri"/>
                        <w:szCs w:val="24"/>
                      </w:rPr>
                      <w:t>ir šio įstatymo 10 straipsnyje nurodytus vidaus sandorius.</w:t>
                    </w:r>
                    <w:r>
                      <w:rPr>
                        <w:rFonts w:eastAsia="Calibri"/>
                        <w:bCs/>
                        <w:szCs w:val="24"/>
                      </w:rPr>
                      <w:t xml:space="preserve"> </w:t>
                    </w:r>
                  </w:p>
                  <w:p>
                    <w:pPr>
                      <w:jc w:val="both"/>
                      <w:rPr>
                        <w:rFonts w:eastAsia="Calibri"/>
                        <w:bCs/>
                        <w:szCs w:val="24"/>
                      </w:rPr>
                    </w:pPr>
                    <w:r>
                      <w:rPr>
                        <w:rFonts w:eastAsia="Calibri"/>
                        <w:bCs/>
                        <w:szCs w:val="24"/>
                      </w:rPr>
                      <w:t>Projekto 4 punkte Viešųjų pirkimų tarnyba įpareigojama, teikiant metines veiklos ataskaitas, teikti Vyriausybei susistemintą informaciją apie ŽVP stebėsenos rezultatus.</w:t>
                    </w:r>
                  </w:p>
                  <w:p>
                    <w:pPr>
                      <w:jc w:val="both"/>
                      <w:rPr>
                        <w:szCs w:val="24"/>
                      </w:rPr>
                    </w:pPr>
                    <w:r>
                      <w:rPr>
                        <w:szCs w:val="24"/>
                      </w:rPr>
                      <w:t>Projekto 5 punkte pavedama Aplinkos ministerijai, suderinus su Viešųjų pirkimų tarnyba, patvirtinti Žaliųjų pirkimų įgyvendinimo 2021-2025 m. priemonių planą.</w:t>
                    </w:r>
                  </w:p>
                </w:tc>
                <w:tc>
                  <w:tcPr>
                    <w:tcW w:w="3420" w:type="dxa"/>
                    <w:shd w:val="clear" w:color="auto" w:fill="auto"/>
                  </w:tcPr>
                  <w:p>
                    <w:pPr>
                      <w:rPr>
                        <w:szCs w:val="24"/>
                        <w:lang w:eastAsia="lt-LT"/>
                      </w:rPr>
                    </w:pPr>
                  </w:p>
                </w:tc>
                <w:tc>
                  <w:tcPr>
                    <w:tcW w:w="2611" w:type="dxa"/>
                    <w:shd w:val="clear" w:color="auto" w:fill="auto"/>
                  </w:tcPr>
                  <w:p>
                    <w:pPr>
                      <w:rPr>
                        <w:szCs w:val="24"/>
                        <w:lang w:eastAsia="lt-LT"/>
                      </w:rPr>
                    </w:pPr>
                    <w:r>
                      <w:rPr>
                        <w:szCs w:val="24"/>
                        <w:lang w:eastAsia="lt-LT"/>
                      </w:rPr>
                      <w:t>□ tenkina</w:t>
                    </w:r>
                  </w:p>
                  <w:p>
                    <w:pPr>
                      <w:rPr>
                        <w:szCs w:val="24"/>
                        <w:lang w:eastAsia="lt-LT"/>
                      </w:rPr>
                    </w:pPr>
                    <w:r>
                      <w:rPr>
                        <w:szCs w:val="24"/>
                        <w:lang w:eastAsia="lt-LT"/>
                      </w:rPr>
                      <w:t>□ netenkina</w:t>
                    </w:r>
                  </w:p>
                </w:tc>
              </w:tr>
              <w:tr>
                <w:trPr>
                  <w:trHeight w:val="4286"/>
                </w:trPr>
                <w:tc>
                  <w:tcPr>
                    <w:tcW w:w="696" w:type="dxa"/>
                    <w:shd w:val="clear" w:color="auto" w:fill="auto"/>
                  </w:tcPr>
                  <w:p>
                    <w:pPr>
                      <w:jc w:val="center"/>
                      <w:rPr>
                        <w:szCs w:val="24"/>
                        <w:lang w:eastAsia="lt-LT"/>
                      </w:rPr>
                    </w:pPr>
                    <w:r>
                      <w:rPr>
                        <w:szCs w:val="24"/>
                        <w:lang w:eastAsia="lt-LT"/>
                      </w:rPr>
                      <w:t>4.</w:t>
                    </w:r>
                  </w:p>
                </w:tc>
                <w:tc>
                  <w:tcPr>
                    <w:tcW w:w="3301" w:type="dxa"/>
                    <w:shd w:val="clear" w:color="auto" w:fill="auto"/>
                  </w:tcPr>
                  <w:p>
                    <w:pPr>
                      <w:rPr>
                        <w:szCs w:val="24"/>
                        <w:lang w:val="en-US" w:eastAsia="lt-LT"/>
                      </w:rPr>
                    </w:pPr>
                    <w:r>
                      <w:rPr>
                        <w:szCs w:val="24"/>
                        <w:lang w:eastAsia="lt-LT"/>
                      </w:rPr>
                      <w:t>Teisės akto projekte nustatyti subjekto įgaliojimai (teisės) atitinka subjekto atliekamas funkcijas (pareigas)</w:t>
                    </w:r>
                  </w:p>
                </w:tc>
                <w:tc>
                  <w:tcPr>
                    <w:tcW w:w="4083" w:type="dxa"/>
                    <w:shd w:val="clear" w:color="auto" w:fill="auto"/>
                  </w:tcPr>
                  <w:p>
                    <w:pPr>
                      <w:jc w:val="both"/>
                      <w:rPr>
                        <w:szCs w:val="24"/>
                      </w:rPr>
                    </w:pPr>
                    <w:r>
                      <w:rPr>
                        <w:color w:val="000000"/>
                        <w:szCs w:val="24"/>
                        <w:lang w:val="lt"/>
                      </w:rPr>
                      <w:t xml:space="preserve">Projekto 3.1 papunktyje </w:t>
                    </w:r>
                    <w:r>
                      <w:rPr>
                        <w:szCs w:val="24"/>
                      </w:rPr>
                      <w:t xml:space="preserve">Viešųjų pirkimų tarnybai rekomenduojama </w:t>
                    </w:r>
                    <w:r>
                      <w:rPr>
                        <w:color w:val="000000"/>
                        <w:szCs w:val="24"/>
                        <w:lang w:val="lt"/>
                      </w:rPr>
                      <w:t xml:space="preserve"> </w:t>
                    </w:r>
                    <w:r>
                      <w:rPr>
                        <w:szCs w:val="24"/>
                      </w:rPr>
                      <w:t xml:space="preserve">skatinti perkančiųjų organizacijų kompetencijų ŽVP vykdymo srityje tobulinimą, gerinti informacijos apie ŽVP  sisteminimą ir rinkimą, stiprinti konsultavimą ŽVP klausimais; </w:t>
                    </w:r>
                  </w:p>
                  <w:p>
                    <w:pPr>
                      <w:jc w:val="both"/>
                      <w:rPr>
                        <w:rFonts w:eastAsia="Calibri"/>
                        <w:szCs w:val="24"/>
                      </w:rPr>
                    </w:pPr>
                    <w:r>
                      <w:rPr>
                        <w:szCs w:val="24"/>
                      </w:rPr>
                      <w:t>Projekto 3.2</w:t>
                    </w:r>
                    <w:r>
                      <w:rPr>
                        <w:color w:val="000000"/>
                        <w:szCs w:val="24"/>
                        <w:lang w:val="lt"/>
                      </w:rPr>
                      <w:t xml:space="preserve"> papunktyje </w:t>
                    </w:r>
                    <w:r>
                      <w:rPr>
                        <w:szCs w:val="24"/>
                      </w:rPr>
                      <w:t xml:space="preserve">Viešųjų pirkimų tarnybai rekomenduojama </w:t>
                    </w:r>
                    <w:r>
                      <w:rPr>
                        <w:color w:val="000000"/>
                        <w:szCs w:val="24"/>
                        <w:lang w:val="lt"/>
                      </w:rPr>
                      <w:t xml:space="preserve"> </w:t>
                    </w:r>
                    <w:r>
                      <w:rPr>
                        <w:szCs w:val="24"/>
                      </w:rPr>
                      <w:t>vykdyti Projekto (šio nutarimo) įgyvendinimo priežiūrą, vadovaujantis Viešųjų pirkimų įstatymo 95 straipsnio 1 punkto 2 dalimi.</w:t>
                    </w:r>
                  </w:p>
                  <w:p>
                    <w:pPr>
                      <w:jc w:val="both"/>
                      <w:rPr>
                        <w:szCs w:val="24"/>
                      </w:rPr>
                    </w:pPr>
                    <w:r>
                      <w:rPr>
                        <w:szCs w:val="24"/>
                      </w:rPr>
                      <w:t>Projekto 5 punkte pavedama Aplinkos ministerijai, suderinus su Viešųjų pirkimų tarnyba, patvirtinti Žaliųjų pirkimų įgyvendinimo 2021-2025 m. priemonių planą.</w:t>
                    </w:r>
                  </w:p>
                </w:tc>
                <w:tc>
                  <w:tcPr>
                    <w:tcW w:w="3420" w:type="dxa"/>
                    <w:shd w:val="clear" w:color="auto" w:fill="auto"/>
                  </w:tcPr>
                  <w:p>
                    <w:pPr>
                      <w:suppressAutoHyphens/>
                      <w:spacing w:line="276" w:lineRule="auto"/>
                      <w:ind w:left="-284" w:right="-3" w:firstLine="568"/>
                      <w:jc w:val="both"/>
                      <w:rPr>
                        <w:szCs w:val="24"/>
                        <w:lang w:eastAsia="lt-LT"/>
                      </w:rPr>
                    </w:pPr>
                  </w:p>
                </w:tc>
                <w:tc>
                  <w:tcPr>
                    <w:tcW w:w="2611" w:type="dxa"/>
                    <w:shd w:val="clear" w:color="auto" w:fill="auto"/>
                  </w:tcPr>
                  <w:p>
                    <w:pPr>
                      <w:rPr>
                        <w:szCs w:val="24"/>
                        <w:lang w:eastAsia="lt-LT"/>
                      </w:rPr>
                    </w:pPr>
                    <w:r>
                      <w:rPr>
                        <w:szCs w:val="24"/>
                        <w:lang w:eastAsia="lt-LT"/>
                      </w:rPr>
                      <w:t>□ tenkina</w:t>
                    </w:r>
                  </w:p>
                  <w:p>
                    <w:pPr>
                      <w:rPr>
                        <w:szCs w:val="24"/>
                        <w:lang w:eastAsia="lt-LT"/>
                      </w:rPr>
                    </w:pPr>
                    <w:r>
                      <w:rPr>
                        <w:szCs w:val="24"/>
                        <w:lang w:eastAsia="lt-LT"/>
                      </w:rPr>
                      <w:t>□ netenkina</w:t>
                    </w:r>
                  </w:p>
                </w:tc>
              </w:tr>
              <w:tr>
                <w:trPr>
                  <w:trHeight w:val="23"/>
                </w:trPr>
                <w:tc>
                  <w:tcPr>
                    <w:tcW w:w="696" w:type="dxa"/>
                    <w:shd w:val="clear" w:color="auto" w:fill="auto"/>
                  </w:tcPr>
                  <w:p>
                    <w:pPr>
                      <w:jc w:val="center"/>
                      <w:rPr>
                        <w:szCs w:val="24"/>
                        <w:lang w:eastAsia="lt-LT"/>
                      </w:rPr>
                    </w:pPr>
                    <w:r>
                      <w:rPr>
                        <w:szCs w:val="24"/>
                        <w:lang w:eastAsia="lt-LT"/>
                      </w:rPr>
                      <w:t>5.</w:t>
                    </w:r>
                  </w:p>
                </w:tc>
                <w:tc>
                  <w:tcPr>
                    <w:tcW w:w="3301" w:type="dxa"/>
                    <w:shd w:val="clear" w:color="auto" w:fill="auto"/>
                  </w:tcPr>
                  <w:p>
                    <w:pPr>
                      <w:rPr>
                        <w:szCs w:val="24"/>
                        <w:lang w:eastAsia="lt-LT"/>
                      </w:rPr>
                    </w:pPr>
                    <w:r>
                      <w:rPr>
                        <w:szCs w:val="24"/>
                        <w:lang w:eastAsia="lt-LT"/>
                      </w:rPr>
                      <w:t>Teisės akto projekte nustatytas baigtinis sprendimo priėmimo kriterijų (atvejų) sąrašas</w:t>
                    </w:r>
                  </w:p>
                </w:tc>
                <w:tc>
                  <w:tcPr>
                    <w:tcW w:w="4083" w:type="dxa"/>
                    <w:shd w:val="clear" w:color="auto" w:fill="auto"/>
                  </w:tcPr>
                  <w:p>
                    <w:pPr>
                      <w:rPr>
                        <w:bCs/>
                        <w:szCs w:val="24"/>
                      </w:rPr>
                    </w:pPr>
                    <w:r>
                      <w:rPr>
                        <w:bCs/>
                        <w:szCs w:val="24"/>
                      </w:rPr>
                      <w:t>Projekte tokių nuostatų nėra.</w:t>
                    </w:r>
                  </w:p>
                  <w:p>
                    <w:pPr>
                      <w:rPr>
                        <w:szCs w:val="24"/>
                        <w:lang w:eastAsia="lt-LT"/>
                      </w:rPr>
                    </w:pPr>
                  </w:p>
                </w:tc>
                <w:tc>
                  <w:tcPr>
                    <w:tcW w:w="3420" w:type="dxa"/>
                    <w:shd w:val="clear" w:color="auto" w:fill="auto"/>
                  </w:tcPr>
                  <w:p>
                    <w:pPr>
                      <w:rPr>
                        <w:szCs w:val="24"/>
                        <w:lang w:eastAsia="lt-LT"/>
                      </w:rPr>
                    </w:pPr>
                  </w:p>
                </w:tc>
                <w:tc>
                  <w:tcPr>
                    <w:tcW w:w="2611" w:type="dxa"/>
                    <w:shd w:val="clear" w:color="auto" w:fill="auto"/>
                  </w:tcPr>
                  <w:p>
                    <w:pPr>
                      <w:rPr>
                        <w:szCs w:val="24"/>
                        <w:lang w:eastAsia="lt-LT"/>
                      </w:rPr>
                    </w:pPr>
                    <w:r>
                      <w:rPr>
                        <w:szCs w:val="24"/>
                        <w:lang w:eastAsia="lt-LT"/>
                      </w:rPr>
                      <w:t>□ tenkina</w:t>
                    </w:r>
                  </w:p>
                  <w:p>
                    <w:pPr>
                      <w:rPr>
                        <w:szCs w:val="24"/>
                        <w:lang w:eastAsia="lt-LT"/>
                      </w:rPr>
                    </w:pPr>
                    <w:r>
                      <w:rPr>
                        <w:szCs w:val="24"/>
                        <w:lang w:eastAsia="lt-LT"/>
                      </w:rPr>
                      <w:t>□ netenkina</w:t>
                    </w:r>
                  </w:p>
                </w:tc>
              </w:tr>
              <w:tr>
                <w:trPr>
                  <w:trHeight w:val="23"/>
                </w:trPr>
                <w:tc>
                  <w:tcPr>
                    <w:tcW w:w="696" w:type="dxa"/>
                    <w:shd w:val="clear" w:color="auto" w:fill="auto"/>
                  </w:tcPr>
                  <w:p>
                    <w:pPr>
                      <w:jc w:val="center"/>
                      <w:rPr>
                        <w:szCs w:val="24"/>
                        <w:lang w:eastAsia="lt-LT"/>
                      </w:rPr>
                    </w:pPr>
                    <w:r>
                      <w:rPr>
                        <w:szCs w:val="24"/>
                        <w:lang w:eastAsia="lt-LT"/>
                      </w:rPr>
                      <w:t>6.</w:t>
                    </w:r>
                  </w:p>
                </w:tc>
                <w:tc>
                  <w:tcPr>
                    <w:tcW w:w="3301" w:type="dxa"/>
                    <w:shd w:val="clear" w:color="auto" w:fill="auto"/>
                  </w:tcPr>
                  <w:p>
                    <w:pPr>
                      <w:rPr>
                        <w:szCs w:val="24"/>
                        <w:lang w:eastAsia="lt-LT"/>
                      </w:rPr>
                    </w:pPr>
                    <w:r>
                      <w:rPr>
                        <w:szCs w:val="24"/>
                        <w:lang w:eastAsia="lt-LT"/>
                      </w:rPr>
                      <w:t>Teisės akto projekte nustatytas baigtinis sąrašas motyvuotų atvejų, kai priimant sprendimus taikomos išimtys</w:t>
                    </w:r>
                  </w:p>
                </w:tc>
                <w:tc>
                  <w:tcPr>
                    <w:tcW w:w="4083" w:type="dxa"/>
                    <w:shd w:val="clear" w:color="auto" w:fill="auto"/>
                  </w:tcPr>
                  <w:p>
                    <w:pPr>
                      <w:rPr>
                        <w:szCs w:val="24"/>
                        <w:lang w:eastAsia="lt-LT"/>
                      </w:rPr>
                    </w:pPr>
                    <w:r>
                      <w:rPr>
                        <w:szCs w:val="24"/>
                      </w:rPr>
                      <w:t>Projektas nereglamentuoja atvejų, kai priimant sprendimus taikomos išimtys.</w:t>
                    </w:r>
                  </w:p>
                </w:tc>
                <w:tc>
                  <w:tcPr>
                    <w:tcW w:w="3420" w:type="dxa"/>
                    <w:shd w:val="clear" w:color="auto" w:fill="auto"/>
                  </w:tcPr>
                  <w:p>
                    <w:pPr>
                      <w:rPr>
                        <w:szCs w:val="24"/>
                        <w:lang w:eastAsia="lt-LT"/>
                      </w:rPr>
                    </w:pPr>
                  </w:p>
                </w:tc>
                <w:tc>
                  <w:tcPr>
                    <w:tcW w:w="2611" w:type="dxa"/>
                    <w:shd w:val="clear" w:color="auto" w:fill="auto"/>
                  </w:tcPr>
                  <w:p>
                    <w:pPr>
                      <w:rPr>
                        <w:szCs w:val="24"/>
                        <w:lang w:eastAsia="lt-LT"/>
                      </w:rPr>
                    </w:pPr>
                    <w:r>
                      <w:rPr>
                        <w:szCs w:val="24"/>
                        <w:lang w:eastAsia="lt-LT"/>
                      </w:rPr>
                      <w:t>□ tenkina</w:t>
                    </w:r>
                  </w:p>
                  <w:p>
                    <w:pPr>
                      <w:rPr>
                        <w:szCs w:val="24"/>
                        <w:lang w:eastAsia="lt-LT"/>
                      </w:rPr>
                    </w:pPr>
                    <w:r>
                      <w:rPr>
                        <w:szCs w:val="24"/>
                        <w:lang w:eastAsia="lt-LT"/>
                      </w:rPr>
                      <w:t>□ netenkina</w:t>
                    </w:r>
                  </w:p>
                </w:tc>
              </w:tr>
              <w:tr>
                <w:trPr>
                  <w:trHeight w:val="23"/>
                </w:trPr>
                <w:tc>
                  <w:tcPr>
                    <w:tcW w:w="696" w:type="dxa"/>
                    <w:shd w:val="clear" w:color="auto" w:fill="auto"/>
                  </w:tcPr>
                  <w:p>
                    <w:pPr>
                      <w:jc w:val="center"/>
                      <w:rPr>
                        <w:szCs w:val="24"/>
                        <w:lang w:eastAsia="lt-LT"/>
                      </w:rPr>
                    </w:pPr>
                    <w:r>
                      <w:rPr>
                        <w:szCs w:val="24"/>
                        <w:lang w:eastAsia="lt-LT"/>
                      </w:rPr>
                      <w:t>7.</w:t>
                    </w:r>
                  </w:p>
                </w:tc>
                <w:tc>
                  <w:tcPr>
                    <w:tcW w:w="3301" w:type="dxa"/>
                    <w:shd w:val="clear" w:color="auto" w:fill="auto"/>
                  </w:tcPr>
                  <w:p>
                    <w:pPr>
                      <w:rPr>
                        <w:szCs w:val="24"/>
                        <w:lang w:eastAsia="lt-LT"/>
                      </w:rPr>
                    </w:pPr>
                    <w:r>
                      <w:rPr>
                        <w:szCs w:val="24"/>
                        <w:lang w:eastAsia="lt-LT"/>
                      </w:rPr>
                      <w:t>Teisės akto projekte nustatyta sprendimų priėmimo, įforminimo tvarka ir priimtų sprendimų viešinimas</w:t>
                    </w:r>
                  </w:p>
                </w:tc>
                <w:tc>
                  <w:tcPr>
                    <w:tcW w:w="4083" w:type="dxa"/>
                    <w:shd w:val="clear" w:color="auto" w:fill="auto"/>
                  </w:tcPr>
                  <w:p>
                    <w:pPr>
                      <w:jc w:val="both"/>
                      <w:rPr>
                        <w:szCs w:val="24"/>
                        <w:lang w:val="lt"/>
                      </w:rPr>
                    </w:pPr>
                    <w:r>
                      <w:rPr>
                        <w:szCs w:val="24"/>
                      </w:rPr>
                      <w:t>Projekte nedetalizuojama sprendimų priėmimo ir įforminimo tvarka, o priimtų sprendimų viešinimas nenumatomas.</w:t>
                    </w:r>
                  </w:p>
                </w:tc>
                <w:tc>
                  <w:tcPr>
                    <w:tcW w:w="3420" w:type="dxa"/>
                    <w:shd w:val="clear" w:color="auto" w:fill="auto"/>
                  </w:tcPr>
                  <w:p>
                    <w:pPr>
                      <w:rPr>
                        <w:szCs w:val="24"/>
                        <w:lang w:eastAsia="lt-LT"/>
                      </w:rPr>
                    </w:pPr>
                  </w:p>
                </w:tc>
                <w:tc>
                  <w:tcPr>
                    <w:tcW w:w="2611" w:type="dxa"/>
                    <w:shd w:val="clear" w:color="auto" w:fill="auto"/>
                  </w:tcPr>
                  <w:p>
                    <w:pPr>
                      <w:rPr>
                        <w:szCs w:val="24"/>
                        <w:lang w:eastAsia="lt-LT"/>
                      </w:rPr>
                    </w:pPr>
                    <w:r>
                      <w:rPr>
                        <w:szCs w:val="24"/>
                        <w:lang w:eastAsia="lt-LT"/>
                      </w:rPr>
                      <w:t>□ tenkina</w:t>
                    </w:r>
                  </w:p>
                  <w:p>
                    <w:pPr>
                      <w:rPr>
                        <w:szCs w:val="24"/>
                        <w:lang w:eastAsia="lt-LT"/>
                      </w:rPr>
                    </w:pPr>
                    <w:r>
                      <w:rPr>
                        <w:szCs w:val="24"/>
                        <w:lang w:eastAsia="lt-LT"/>
                      </w:rPr>
                      <w:t>□ netenkina</w:t>
                    </w:r>
                  </w:p>
                </w:tc>
              </w:tr>
              <w:tr>
                <w:trPr>
                  <w:trHeight w:val="23"/>
                </w:trPr>
                <w:tc>
                  <w:tcPr>
                    <w:tcW w:w="696" w:type="dxa"/>
                    <w:shd w:val="clear" w:color="auto" w:fill="auto"/>
                  </w:tcPr>
                  <w:p>
                    <w:pPr>
                      <w:jc w:val="center"/>
                      <w:rPr>
                        <w:szCs w:val="24"/>
                        <w:lang w:eastAsia="lt-LT"/>
                      </w:rPr>
                    </w:pPr>
                    <w:r>
                      <w:rPr>
                        <w:szCs w:val="24"/>
                        <w:lang w:eastAsia="lt-LT"/>
                      </w:rPr>
                      <w:t>8.</w:t>
                    </w:r>
                  </w:p>
                </w:tc>
                <w:tc>
                  <w:tcPr>
                    <w:tcW w:w="3301" w:type="dxa"/>
                    <w:shd w:val="clear" w:color="auto" w:fill="auto"/>
                  </w:tcPr>
                  <w:p>
                    <w:pPr>
                      <w:rPr>
                        <w:szCs w:val="24"/>
                        <w:lang w:eastAsia="lt-LT"/>
                      </w:rPr>
                    </w:pPr>
                    <w:r>
                      <w:rPr>
                        <w:szCs w:val="24"/>
                        <w:lang w:eastAsia="lt-LT"/>
                      </w:rPr>
                      <w:t>Teisės akto projekte nustatyta sprendimų dėl mažareikšmiškumo priėmimo tvarka</w:t>
                    </w:r>
                  </w:p>
                </w:tc>
                <w:tc>
                  <w:tcPr>
                    <w:tcW w:w="4083" w:type="dxa"/>
                    <w:shd w:val="clear" w:color="auto" w:fill="auto"/>
                  </w:tcPr>
                  <w:p>
                    <w:pPr>
                      <w:jc w:val="both"/>
                      <w:rPr>
                        <w:szCs w:val="24"/>
                        <w:lang w:eastAsia="lt-LT"/>
                      </w:rPr>
                    </w:pPr>
                    <w:r>
                      <w:rPr>
                        <w:szCs w:val="24"/>
                      </w:rPr>
                      <w:t>Projekte sprendimų dėl mažareikšmiškumo priėmimo tvarka nereglamentuota.</w:t>
                    </w:r>
                  </w:p>
                </w:tc>
                <w:tc>
                  <w:tcPr>
                    <w:tcW w:w="3420" w:type="dxa"/>
                    <w:shd w:val="clear" w:color="auto" w:fill="auto"/>
                  </w:tcPr>
                  <w:p>
                    <w:pPr>
                      <w:rPr>
                        <w:b/>
                        <w:szCs w:val="24"/>
                        <w:lang w:eastAsia="lt-LT"/>
                      </w:rPr>
                    </w:pPr>
                  </w:p>
                </w:tc>
                <w:tc>
                  <w:tcPr>
                    <w:tcW w:w="2611" w:type="dxa"/>
                    <w:shd w:val="clear" w:color="auto" w:fill="auto"/>
                  </w:tcPr>
                  <w:p>
                    <w:pPr>
                      <w:rPr>
                        <w:szCs w:val="24"/>
                        <w:lang w:eastAsia="lt-LT"/>
                      </w:rPr>
                    </w:pPr>
                    <w:r>
                      <w:rPr>
                        <w:szCs w:val="24"/>
                        <w:lang w:eastAsia="lt-LT"/>
                      </w:rPr>
                      <w:t>□ tenkina</w:t>
                    </w:r>
                  </w:p>
                  <w:p>
                    <w:pPr>
                      <w:rPr>
                        <w:szCs w:val="24"/>
                        <w:lang w:eastAsia="lt-LT"/>
                      </w:rPr>
                    </w:pPr>
                    <w:r>
                      <w:rPr>
                        <w:szCs w:val="24"/>
                        <w:lang w:eastAsia="lt-LT"/>
                      </w:rPr>
                      <w:t>□ netenkina</w:t>
                    </w:r>
                  </w:p>
                </w:tc>
              </w:tr>
              <w:tr>
                <w:trPr>
                  <w:trHeight w:val="23"/>
                </w:trPr>
                <w:tc>
                  <w:tcPr>
                    <w:tcW w:w="696" w:type="dxa"/>
                    <w:shd w:val="clear" w:color="auto" w:fill="auto"/>
                  </w:tcPr>
                  <w:p>
                    <w:pPr>
                      <w:jc w:val="center"/>
                      <w:rPr>
                        <w:szCs w:val="24"/>
                        <w:lang w:eastAsia="lt-LT"/>
                      </w:rPr>
                    </w:pPr>
                    <w:r>
                      <w:rPr>
                        <w:szCs w:val="24"/>
                        <w:lang w:eastAsia="lt-LT"/>
                      </w:rPr>
                      <w:t>9.</w:t>
                    </w:r>
                  </w:p>
                </w:tc>
                <w:tc>
                  <w:tcPr>
                    <w:tcW w:w="3301" w:type="dxa"/>
                    <w:shd w:val="clear" w:color="auto" w:fill="auto"/>
                  </w:tcPr>
                  <w:p>
                    <w:pPr>
                      <w:rPr>
                        <w:szCs w:val="24"/>
                        <w:lang w:eastAsia="lt-LT"/>
                      </w:rPr>
                    </w:pPr>
                    <w:r>
                      <w:rPr>
                        <w:szCs w:val="24"/>
                        <w:lang w:eastAsia="lt-LT"/>
                      </w:rPr>
                      <w:t>Jeigu pagal numatomą reguliavimą sprendimus priima kolegialus subjektas, teisės akto projekte nustatyta kolegialaus sprendimus priimančio subjekto:</w:t>
                    </w:r>
                  </w:p>
                  <w:p>
                    <w:pPr>
                      <w:ind w:left="33"/>
                      <w:rPr>
                        <w:szCs w:val="24"/>
                      </w:rPr>
                    </w:pPr>
                    <w:r>
                      <w:rPr>
                        <w:szCs w:val="24"/>
                      </w:rPr>
                      <w:t>9.1. konkretus narių skaičius, užtikrinantis kolegialaus sprendimus priimančio subjekto veiklos objektyvumą;</w:t>
                    </w:r>
                  </w:p>
                  <w:p>
                    <w:pPr>
                      <w:ind w:left="33"/>
                      <w:rPr>
                        <w:szCs w:val="24"/>
                      </w:rPr>
                    </w:pPr>
                    <w:r>
                      <w:rPr>
                        <w:szCs w:val="24"/>
                      </w:rPr>
                      <w:t>9.2. jeigu narius skiria keli subjektai, proporcinga kiekvieno subjekto skiriamų narių dalis, užtikrinanti tinkamą atstovavimą valstybės interesams ir kolegialaus sprendimus priimančio subjekto veiklos objektyvumą ir skaidrumą;</w:t>
                    </w:r>
                  </w:p>
                  <w:p>
                    <w:pPr>
                      <w:rPr>
                        <w:szCs w:val="24"/>
                        <w:lang w:eastAsia="lt-LT"/>
                      </w:rPr>
                    </w:pPr>
                    <w:r>
                      <w:rPr>
                        <w:szCs w:val="24"/>
                        <w:lang w:eastAsia="lt-LT"/>
                      </w:rPr>
                      <w:t>9.3</w:t>
                    </w:r>
                    <w:r>
                      <w:rPr>
                        <w:spacing w:val="-4"/>
                        <w:szCs w:val="24"/>
                        <w:lang w:eastAsia="lt-LT"/>
                      </w:rPr>
                      <w:t>. narių skyrimo mechanizmas;</w:t>
                    </w:r>
                  </w:p>
                  <w:p>
                    <w:pPr>
                      <w:rPr>
                        <w:szCs w:val="24"/>
                        <w:lang w:eastAsia="lt-LT"/>
                      </w:rPr>
                    </w:pPr>
                    <w:r>
                      <w:rPr>
                        <w:szCs w:val="24"/>
                        <w:lang w:eastAsia="lt-LT"/>
                      </w:rPr>
                      <w:t>9.4. narių rotacija ir kadencijų skaičius ir trukmė;</w:t>
                    </w:r>
                  </w:p>
                  <w:p>
                    <w:pPr>
                      <w:rPr>
                        <w:szCs w:val="24"/>
                      </w:rPr>
                    </w:pPr>
                    <w:r>
                      <w:rPr>
                        <w:szCs w:val="24"/>
                      </w:rPr>
                      <w:t>9.5. veiklos pobūdis laiko atžvilgiu;</w:t>
                    </w:r>
                  </w:p>
                  <w:p>
                    <w:pPr>
                      <w:rPr>
                        <w:szCs w:val="24"/>
                        <w:lang w:eastAsia="lt-LT"/>
                      </w:rPr>
                    </w:pPr>
                    <w:r>
                      <w:rPr>
                        <w:szCs w:val="24"/>
                        <w:lang w:eastAsia="lt-LT"/>
                      </w:rPr>
                      <w:t>9.6. individuali narių atsakomybė</w:t>
                    </w:r>
                  </w:p>
                </w:tc>
                <w:tc>
                  <w:tcPr>
                    <w:tcW w:w="4083" w:type="dxa"/>
                    <w:shd w:val="clear" w:color="auto" w:fill="auto"/>
                  </w:tcPr>
                  <w:p>
                    <w:pPr>
                      <w:jc w:val="both"/>
                      <w:rPr>
                        <w:szCs w:val="24"/>
                      </w:rPr>
                    </w:pPr>
                    <w:r>
                      <w:rPr>
                        <w:szCs w:val="24"/>
                      </w:rPr>
                      <w:t>Projekte nenumatoma reglamentuoti, kad konkrečius sprendimus priima kolegialus subjektas.</w:t>
                    </w:r>
                  </w:p>
                  <w:p>
                    <w:pPr>
                      <w:jc w:val="both"/>
                      <w:rPr>
                        <w:szCs w:val="24"/>
                        <w:lang w:eastAsia="lt-LT"/>
                      </w:rPr>
                    </w:pPr>
                  </w:p>
                </w:tc>
                <w:tc>
                  <w:tcPr>
                    <w:tcW w:w="3420" w:type="dxa"/>
                    <w:shd w:val="clear" w:color="auto" w:fill="auto"/>
                  </w:tcPr>
                  <w:p>
                    <w:pPr>
                      <w:rPr>
                        <w:szCs w:val="24"/>
                        <w:lang w:eastAsia="lt-LT"/>
                      </w:rPr>
                    </w:pPr>
                  </w:p>
                </w:tc>
                <w:tc>
                  <w:tcPr>
                    <w:tcW w:w="2611" w:type="dxa"/>
                    <w:shd w:val="clear" w:color="auto" w:fill="auto"/>
                  </w:tcPr>
                  <w:p>
                    <w:pPr>
                      <w:rPr>
                        <w:szCs w:val="24"/>
                        <w:lang w:eastAsia="lt-LT"/>
                      </w:rPr>
                    </w:pPr>
                    <w:r>
                      <w:rPr>
                        <w:szCs w:val="24"/>
                        <w:lang w:eastAsia="lt-LT"/>
                      </w:rPr>
                      <w:t>□ tenkina</w:t>
                    </w:r>
                  </w:p>
                  <w:p>
                    <w:pPr>
                      <w:rPr>
                        <w:szCs w:val="24"/>
                        <w:lang w:eastAsia="lt-LT"/>
                      </w:rPr>
                    </w:pPr>
                    <w:r>
                      <w:rPr>
                        <w:szCs w:val="24"/>
                        <w:lang w:eastAsia="lt-LT"/>
                      </w:rPr>
                      <w:t>□ netenkina</w:t>
                    </w:r>
                  </w:p>
                </w:tc>
              </w:tr>
              <w:tr>
                <w:trPr>
                  <w:trHeight w:val="23"/>
                </w:trPr>
                <w:tc>
                  <w:tcPr>
                    <w:tcW w:w="696" w:type="dxa"/>
                    <w:shd w:val="clear" w:color="auto" w:fill="auto"/>
                  </w:tcPr>
                  <w:p>
                    <w:pPr>
                      <w:jc w:val="center"/>
                      <w:rPr>
                        <w:szCs w:val="24"/>
                        <w:lang w:eastAsia="lt-LT"/>
                      </w:rPr>
                    </w:pPr>
                    <w:r>
                      <w:rPr>
                        <w:szCs w:val="24"/>
                        <w:lang w:eastAsia="lt-LT"/>
                      </w:rPr>
                      <w:t>10.</w:t>
                    </w:r>
                  </w:p>
                </w:tc>
                <w:tc>
                  <w:tcPr>
                    <w:tcW w:w="3301" w:type="dxa"/>
                    <w:shd w:val="clear" w:color="auto" w:fill="auto"/>
                  </w:tcPr>
                  <w:p>
                    <w:pPr>
                      <w:rPr>
                        <w:szCs w:val="24"/>
                        <w:lang w:eastAsia="lt-LT"/>
                      </w:rPr>
                    </w:pPr>
                    <w:r>
                      <w:rPr>
                        <w:szCs w:val="24"/>
                        <w:lang w:eastAsia="lt-LT"/>
                      </w:rPr>
                      <w:t xml:space="preserve">Teisės akto projekto nuostatoms įgyvendinti numatytos administracinės procedūros yra </w:t>
                    </w:r>
                    <w:r>
                      <w:rPr>
                        <w:szCs w:val="24"/>
                        <w:shd w:val="clear" w:color="auto" w:fill="FFFFFF"/>
                        <w:lang w:eastAsia="lt-LT"/>
                      </w:rPr>
                      <w:t>būtinos,</w:t>
                    </w:r>
                    <w:r>
                      <w:rPr>
                        <w:szCs w:val="24"/>
                        <w:lang w:eastAsia="lt-LT"/>
                      </w:rPr>
                      <w:t xml:space="preserve"> nustatyta išsami jų taikymo tvarka </w:t>
                    </w:r>
                  </w:p>
                </w:tc>
                <w:tc>
                  <w:tcPr>
                    <w:tcW w:w="4083" w:type="dxa"/>
                    <w:shd w:val="clear" w:color="auto" w:fill="auto"/>
                  </w:tcPr>
                  <w:p>
                    <w:pPr>
                      <w:jc w:val="both"/>
                      <w:rPr>
                        <w:rFonts w:eastAsia="Calibri"/>
                        <w:szCs w:val="24"/>
                        <w:lang w:eastAsia="lt-LT"/>
                      </w:rPr>
                    </w:pPr>
                    <w:r>
                      <w:rPr>
                        <w:rFonts w:eastAsia="Calibri"/>
                        <w:szCs w:val="24"/>
                        <w:lang w:eastAsia="lt-LT"/>
                      </w:rPr>
                      <w:t>Administracinės procedūros ir jų taikymo tvarka Projekte nėra reglamentuota. Projektu nustatoma, kad Projekto (šio nutarimo) įgyvendinimo priežiūrą, vykdys Viešųjų pirkimų tarnyba.</w:t>
                    </w:r>
                  </w:p>
                </w:tc>
                <w:tc>
                  <w:tcPr>
                    <w:tcW w:w="3420" w:type="dxa"/>
                    <w:shd w:val="clear" w:color="auto" w:fill="auto"/>
                  </w:tcPr>
                  <w:p>
                    <w:pPr>
                      <w:rPr>
                        <w:szCs w:val="24"/>
                        <w:lang w:eastAsia="lt-LT"/>
                      </w:rPr>
                    </w:pPr>
                  </w:p>
                </w:tc>
                <w:tc>
                  <w:tcPr>
                    <w:tcW w:w="2611" w:type="dxa"/>
                    <w:shd w:val="clear" w:color="auto" w:fill="auto"/>
                  </w:tcPr>
                  <w:p>
                    <w:pPr>
                      <w:rPr>
                        <w:szCs w:val="24"/>
                        <w:lang w:eastAsia="lt-LT"/>
                      </w:rPr>
                    </w:pPr>
                    <w:r>
                      <w:rPr>
                        <w:szCs w:val="24"/>
                        <w:lang w:eastAsia="lt-LT"/>
                      </w:rPr>
                      <w:t xml:space="preserve">□  tenkina</w:t>
                    </w:r>
                  </w:p>
                  <w:p>
                    <w:pPr>
                      <w:rPr>
                        <w:szCs w:val="24"/>
                        <w:lang w:eastAsia="lt-LT"/>
                      </w:rPr>
                    </w:pPr>
                    <w:r>
                      <w:rPr>
                        <w:szCs w:val="24"/>
                        <w:lang w:eastAsia="lt-LT"/>
                      </w:rPr>
                      <w:t>□ netenkina</w:t>
                    </w:r>
                  </w:p>
                </w:tc>
              </w:tr>
              <w:tr>
                <w:trPr>
                  <w:trHeight w:val="23"/>
                </w:trPr>
                <w:tc>
                  <w:tcPr>
                    <w:tcW w:w="696" w:type="dxa"/>
                    <w:shd w:val="clear" w:color="auto" w:fill="auto"/>
                  </w:tcPr>
                  <w:p>
                    <w:pPr>
                      <w:keepNext/>
                      <w:jc w:val="center"/>
                      <w:rPr>
                        <w:szCs w:val="24"/>
                        <w:lang w:eastAsia="lt-LT"/>
                      </w:rPr>
                    </w:pPr>
                    <w:r>
                      <w:rPr>
                        <w:szCs w:val="24"/>
                        <w:lang w:eastAsia="lt-LT"/>
                      </w:rPr>
                      <w:t>11.</w:t>
                    </w:r>
                  </w:p>
                </w:tc>
                <w:tc>
                  <w:tcPr>
                    <w:tcW w:w="3301" w:type="dxa"/>
                    <w:shd w:val="clear" w:color="auto" w:fill="auto"/>
                  </w:tcPr>
                  <w:p>
                    <w:pPr>
                      <w:keepNext/>
                      <w:rPr>
                        <w:szCs w:val="24"/>
                        <w:lang w:eastAsia="lt-LT"/>
                      </w:rPr>
                    </w:pPr>
                    <w:r>
                      <w:rPr>
                        <w:szCs w:val="24"/>
                        <w:lang w:eastAsia="lt-LT"/>
                      </w:rPr>
                      <w:t>Teisės akto projekte nustatytas baigtinis sąrašas motyvuotų atvejų, kai administracinė procedūra netaikoma</w:t>
                    </w:r>
                  </w:p>
                </w:tc>
                <w:tc>
                  <w:tcPr>
                    <w:tcW w:w="4083" w:type="dxa"/>
                    <w:shd w:val="clear" w:color="auto" w:fill="auto"/>
                  </w:tcPr>
                  <w:p>
                    <w:pPr>
                      <w:keepNext/>
                      <w:jc w:val="both"/>
                      <w:rPr>
                        <w:szCs w:val="24"/>
                        <w:lang w:eastAsia="lt-LT"/>
                      </w:rPr>
                    </w:pPr>
                    <w:r>
                      <w:rPr>
                        <w:szCs w:val="24"/>
                        <w:lang w:eastAsia="lt-LT"/>
                      </w:rPr>
                      <w:t>Projekte nėra nustatyta atvejų, kai administracinė procedūra netaikoma.</w:t>
                    </w:r>
                  </w:p>
                </w:tc>
                <w:tc>
                  <w:tcPr>
                    <w:tcW w:w="3420" w:type="dxa"/>
                    <w:shd w:val="clear" w:color="auto" w:fill="auto"/>
                  </w:tcPr>
                  <w:p>
                    <w:pPr>
                      <w:keepNext/>
                      <w:rPr>
                        <w:szCs w:val="24"/>
                        <w:lang w:eastAsia="lt-LT"/>
                      </w:rPr>
                    </w:pPr>
                  </w:p>
                </w:tc>
                <w:tc>
                  <w:tcPr>
                    <w:tcW w:w="2611" w:type="dxa"/>
                    <w:shd w:val="clear" w:color="auto" w:fill="auto"/>
                  </w:tcPr>
                  <w:p>
                    <w:pPr>
                      <w:keepNext/>
                      <w:rPr>
                        <w:szCs w:val="24"/>
                        <w:lang w:eastAsia="lt-LT"/>
                      </w:rPr>
                    </w:pPr>
                    <w:r>
                      <w:rPr>
                        <w:szCs w:val="24"/>
                        <w:lang w:eastAsia="lt-LT"/>
                      </w:rPr>
                      <w:t>□ tenkina</w:t>
                    </w:r>
                  </w:p>
                  <w:p>
                    <w:pPr>
                      <w:keepNext/>
                      <w:rPr>
                        <w:szCs w:val="24"/>
                        <w:lang w:eastAsia="lt-LT"/>
                      </w:rPr>
                    </w:pPr>
                    <w:r>
                      <w:rPr>
                        <w:szCs w:val="24"/>
                        <w:lang w:eastAsia="lt-LT"/>
                      </w:rPr>
                      <w:t>□ netenkina</w:t>
                    </w:r>
                  </w:p>
                </w:tc>
              </w:tr>
              <w:tr>
                <w:trPr>
                  <w:trHeight w:val="23"/>
                </w:trPr>
                <w:tc>
                  <w:tcPr>
                    <w:tcW w:w="696" w:type="dxa"/>
                    <w:shd w:val="clear" w:color="auto" w:fill="auto"/>
                  </w:tcPr>
                  <w:p>
                    <w:pPr>
                      <w:jc w:val="center"/>
                      <w:rPr>
                        <w:szCs w:val="24"/>
                        <w:lang w:eastAsia="lt-LT"/>
                      </w:rPr>
                    </w:pPr>
                    <w:r>
                      <w:rPr>
                        <w:szCs w:val="24"/>
                        <w:lang w:eastAsia="lt-LT"/>
                      </w:rPr>
                      <w:t>12.</w:t>
                    </w:r>
                  </w:p>
                </w:tc>
                <w:tc>
                  <w:tcPr>
                    <w:tcW w:w="3301" w:type="dxa"/>
                    <w:shd w:val="clear" w:color="auto" w:fill="auto"/>
                  </w:tcPr>
                  <w:p>
                    <w:pPr>
                      <w:rPr>
                        <w:szCs w:val="24"/>
                        <w:lang w:eastAsia="lt-LT"/>
                      </w:rPr>
                    </w:pPr>
                    <w:r>
                      <w:rPr>
                        <w:szCs w:val="24"/>
                        <w:lang w:eastAsia="lt-LT"/>
                      </w:rPr>
                      <w:t>Teisės akto projektas nustato jo nuostatoms įgyvendinti numatytų administracinių procedūrų ir sprendimo priėmimo konkrečius terminus</w:t>
                    </w:r>
                  </w:p>
                </w:tc>
                <w:tc>
                  <w:tcPr>
                    <w:tcW w:w="4083" w:type="dxa"/>
                    <w:shd w:val="clear" w:color="auto" w:fill="auto"/>
                  </w:tcPr>
                  <w:p>
                    <w:pPr>
                      <w:jc w:val="both"/>
                      <w:rPr>
                        <w:szCs w:val="24"/>
                      </w:rPr>
                    </w:pPr>
                    <w:r>
                      <w:rPr>
                        <w:bCs/>
                        <w:szCs w:val="24"/>
                      </w:rPr>
                      <w:t xml:space="preserve">Projekto 1 punkte nustatyta, kad </w:t>
                    </w:r>
                    <w:r>
                      <w:rPr>
                        <w:szCs w:val="24"/>
                      </w:rPr>
                      <w:t>ŽVP, skaičiuojant pagal vertę nuo visų viešųjų pirkimų ir pirkimų, 2021 metais turės sudaryti ne mažiau kaip 30 procentų tokių pirkimų, 2022 metais ne mažiau kaip 60 procentų, 2023 metais ne mažiau kaip 100 procentų visų viešųjų pirkimų ir pirkimų.</w:t>
                    </w:r>
                  </w:p>
                </w:tc>
                <w:tc>
                  <w:tcPr>
                    <w:tcW w:w="3420" w:type="dxa"/>
                    <w:shd w:val="clear" w:color="auto" w:fill="auto"/>
                  </w:tcPr>
                  <w:p>
                    <w:pPr>
                      <w:rPr>
                        <w:szCs w:val="24"/>
                        <w:lang w:eastAsia="lt-LT"/>
                      </w:rPr>
                    </w:pPr>
                  </w:p>
                </w:tc>
                <w:tc>
                  <w:tcPr>
                    <w:tcW w:w="2611" w:type="dxa"/>
                    <w:shd w:val="clear" w:color="auto" w:fill="auto"/>
                  </w:tcPr>
                  <w:p>
                    <w:pPr>
                      <w:rPr>
                        <w:szCs w:val="24"/>
                        <w:lang w:eastAsia="lt-LT"/>
                      </w:rPr>
                    </w:pPr>
                    <w:r>
                      <w:rPr>
                        <w:szCs w:val="24"/>
                        <w:lang w:eastAsia="lt-LT"/>
                      </w:rPr>
                      <w:t xml:space="preserve">□  tenkina</w:t>
                    </w:r>
                  </w:p>
                  <w:p>
                    <w:pPr>
                      <w:rPr>
                        <w:szCs w:val="24"/>
                        <w:lang w:eastAsia="lt-LT"/>
                      </w:rPr>
                    </w:pPr>
                    <w:r>
                      <w:rPr>
                        <w:szCs w:val="24"/>
                        <w:lang w:eastAsia="lt-LT"/>
                      </w:rPr>
                      <w:t>□ netenkina</w:t>
                    </w:r>
                  </w:p>
                </w:tc>
              </w:tr>
              <w:tr>
                <w:trPr>
                  <w:trHeight w:val="23"/>
                </w:trPr>
                <w:tc>
                  <w:tcPr>
                    <w:tcW w:w="696" w:type="dxa"/>
                    <w:shd w:val="clear" w:color="auto" w:fill="auto"/>
                  </w:tcPr>
                  <w:p>
                    <w:pPr>
                      <w:jc w:val="center"/>
                      <w:rPr>
                        <w:szCs w:val="24"/>
                        <w:lang w:eastAsia="lt-LT"/>
                      </w:rPr>
                    </w:pPr>
                    <w:r>
                      <w:rPr>
                        <w:szCs w:val="24"/>
                        <w:lang w:eastAsia="lt-LT"/>
                      </w:rPr>
                      <w:t>13.</w:t>
                    </w:r>
                  </w:p>
                </w:tc>
                <w:tc>
                  <w:tcPr>
                    <w:tcW w:w="3301" w:type="dxa"/>
                    <w:shd w:val="clear" w:color="auto" w:fill="auto"/>
                  </w:tcPr>
                  <w:p>
                    <w:pPr>
                      <w:rPr>
                        <w:szCs w:val="24"/>
                        <w:lang w:eastAsia="lt-LT"/>
                      </w:rPr>
                    </w:pPr>
                    <w:r>
                      <w:rPr>
                        <w:szCs w:val="24"/>
                        <w:lang w:eastAsia="lt-LT"/>
                      </w:rPr>
                      <w:t>Teisės akto projektas nustato motyvuotas terminų sustabdymo ir pratęsimo galimybes</w:t>
                    </w:r>
                  </w:p>
                </w:tc>
                <w:tc>
                  <w:tcPr>
                    <w:tcW w:w="4083" w:type="dxa"/>
                    <w:shd w:val="clear" w:color="auto" w:fill="auto"/>
                  </w:tcPr>
                  <w:p>
                    <w:pPr>
                      <w:jc w:val="both"/>
                      <w:rPr>
                        <w:szCs w:val="24"/>
                        <w:lang w:eastAsia="lt-LT"/>
                      </w:rPr>
                    </w:pPr>
                    <w:r>
                      <w:rPr>
                        <w:color w:val="000000"/>
                        <w:szCs w:val="24"/>
                        <w:shd w:val="clear" w:color="auto" w:fill="FFFFFF"/>
                      </w:rPr>
                      <w:t>Projekte</w:t>
                    </w:r>
                    <w:r>
                      <w:rPr>
                        <w:szCs w:val="24"/>
                      </w:rPr>
                      <w:t xml:space="preserve"> nenustatomos terminų stabdymo ar pratęsimo galimybės</w:t>
                    </w:r>
                  </w:p>
                </w:tc>
                <w:tc>
                  <w:tcPr>
                    <w:tcW w:w="3420" w:type="dxa"/>
                    <w:shd w:val="clear" w:color="auto" w:fill="auto"/>
                  </w:tcPr>
                  <w:p>
                    <w:pPr>
                      <w:rPr>
                        <w:szCs w:val="24"/>
                        <w:lang w:eastAsia="lt-LT"/>
                      </w:rPr>
                    </w:pPr>
                  </w:p>
                </w:tc>
                <w:tc>
                  <w:tcPr>
                    <w:tcW w:w="2611" w:type="dxa"/>
                    <w:shd w:val="clear" w:color="auto" w:fill="auto"/>
                  </w:tcPr>
                  <w:p>
                    <w:pPr>
                      <w:rPr>
                        <w:szCs w:val="24"/>
                        <w:lang w:eastAsia="lt-LT"/>
                      </w:rPr>
                    </w:pPr>
                    <w:r>
                      <w:rPr>
                        <w:szCs w:val="24"/>
                        <w:lang w:eastAsia="lt-LT"/>
                      </w:rPr>
                      <w:t xml:space="preserve">□  tenkina</w:t>
                    </w:r>
                  </w:p>
                  <w:p>
                    <w:pPr>
                      <w:rPr>
                        <w:szCs w:val="24"/>
                        <w:lang w:eastAsia="lt-LT"/>
                      </w:rPr>
                    </w:pPr>
                    <w:r>
                      <w:rPr>
                        <w:szCs w:val="24"/>
                        <w:lang w:eastAsia="lt-LT"/>
                      </w:rPr>
                      <w:t>□ netenkina</w:t>
                    </w:r>
                  </w:p>
                </w:tc>
              </w:tr>
              <w:tr>
                <w:trPr>
                  <w:trHeight w:val="23"/>
                </w:trPr>
                <w:tc>
                  <w:tcPr>
                    <w:tcW w:w="696" w:type="dxa"/>
                    <w:shd w:val="clear" w:color="auto" w:fill="auto"/>
                  </w:tcPr>
                  <w:p>
                    <w:pPr>
                      <w:jc w:val="center"/>
                      <w:rPr>
                        <w:szCs w:val="24"/>
                        <w:lang w:eastAsia="lt-LT"/>
                      </w:rPr>
                    </w:pPr>
                    <w:r>
                      <w:rPr>
                        <w:szCs w:val="24"/>
                        <w:lang w:eastAsia="lt-LT"/>
                      </w:rPr>
                      <w:t>14.</w:t>
                    </w:r>
                  </w:p>
                </w:tc>
                <w:tc>
                  <w:tcPr>
                    <w:tcW w:w="3301" w:type="dxa"/>
                    <w:shd w:val="clear" w:color="auto" w:fill="auto"/>
                  </w:tcPr>
                  <w:p>
                    <w:pPr>
                      <w:rPr>
                        <w:szCs w:val="24"/>
                        <w:lang w:eastAsia="lt-LT"/>
                      </w:rPr>
                    </w:pPr>
                    <w:r>
                      <w:rPr>
                        <w:szCs w:val="24"/>
                        <w:lang w:eastAsia="lt-LT"/>
                      </w:rPr>
                      <w:t>Teisės akto projektas nustato administracinių procedūrų viešinimo tvarką</w:t>
                    </w:r>
                  </w:p>
                </w:tc>
                <w:tc>
                  <w:tcPr>
                    <w:tcW w:w="4083" w:type="dxa"/>
                    <w:shd w:val="clear" w:color="auto" w:fill="auto"/>
                  </w:tcPr>
                  <w:p>
                    <w:pPr>
                      <w:jc w:val="both"/>
                      <w:rPr>
                        <w:szCs w:val="24"/>
                        <w:shd w:val="clear" w:color="auto" w:fill="FFFFFF"/>
                      </w:rPr>
                    </w:pPr>
                    <w:r>
                      <w:rPr>
                        <w:szCs w:val="24"/>
                      </w:rPr>
                      <w:t>Projekte nereglamentuojama administracinių procedūrų viešinimo tvarkos.</w:t>
                    </w:r>
                  </w:p>
                </w:tc>
                <w:tc>
                  <w:tcPr>
                    <w:tcW w:w="3420" w:type="dxa"/>
                    <w:shd w:val="clear" w:color="auto" w:fill="auto"/>
                  </w:tcPr>
                  <w:p>
                    <w:pPr>
                      <w:rPr>
                        <w:b/>
                        <w:szCs w:val="24"/>
                        <w:lang w:eastAsia="lt-LT"/>
                      </w:rPr>
                    </w:pPr>
                  </w:p>
                </w:tc>
                <w:tc>
                  <w:tcPr>
                    <w:tcW w:w="2611" w:type="dxa"/>
                    <w:shd w:val="clear" w:color="auto" w:fill="auto"/>
                  </w:tcPr>
                  <w:p>
                    <w:pPr>
                      <w:rPr>
                        <w:szCs w:val="24"/>
                        <w:lang w:eastAsia="lt-LT"/>
                      </w:rPr>
                    </w:pPr>
                    <w:r>
                      <w:rPr>
                        <w:szCs w:val="24"/>
                        <w:lang w:eastAsia="lt-LT"/>
                      </w:rPr>
                      <w:t>□ tenkina</w:t>
                    </w:r>
                  </w:p>
                  <w:p>
                    <w:pPr>
                      <w:rPr>
                        <w:szCs w:val="24"/>
                        <w:lang w:eastAsia="lt-LT"/>
                      </w:rPr>
                    </w:pPr>
                    <w:r>
                      <w:rPr>
                        <w:szCs w:val="24"/>
                        <w:lang w:eastAsia="lt-LT"/>
                      </w:rPr>
                      <w:t>□ netenkina</w:t>
                    </w:r>
                  </w:p>
                </w:tc>
              </w:tr>
              <w:tr>
                <w:trPr>
                  <w:trHeight w:val="23"/>
                </w:trPr>
                <w:tc>
                  <w:tcPr>
                    <w:tcW w:w="696" w:type="dxa"/>
                    <w:shd w:val="clear" w:color="auto" w:fill="auto"/>
                  </w:tcPr>
                  <w:p>
                    <w:pPr>
                      <w:jc w:val="center"/>
                      <w:rPr>
                        <w:szCs w:val="24"/>
                        <w:lang w:eastAsia="lt-LT"/>
                      </w:rPr>
                    </w:pPr>
                    <w:r>
                      <w:rPr>
                        <w:szCs w:val="24"/>
                        <w:lang w:eastAsia="lt-LT"/>
                      </w:rPr>
                      <w:t>15.</w:t>
                    </w:r>
                  </w:p>
                </w:tc>
                <w:tc>
                  <w:tcPr>
                    <w:tcW w:w="3301" w:type="dxa"/>
                    <w:shd w:val="clear" w:color="auto" w:fill="auto"/>
                  </w:tcPr>
                  <w:p>
                    <w:pPr>
                      <w:rPr>
                        <w:szCs w:val="24"/>
                        <w:lang w:eastAsia="lt-LT"/>
                      </w:rPr>
                    </w:pPr>
                    <w:r>
                      <w:rPr>
                        <w:szCs w:val="24"/>
                        <w:lang w:eastAsia="lt-LT"/>
                      </w:rPr>
                      <w:t>Teisės akto projektas nustato kontrolės (priežiūros) procedūrą ir aiškius jos atlikimo kriterijus (atvejus, dažnį, fiksavimą, kontrolės rezultatų viešinimą ir panašiai)</w:t>
                    </w:r>
                  </w:p>
                </w:tc>
                <w:tc>
                  <w:tcPr>
                    <w:tcW w:w="4083" w:type="dxa"/>
                    <w:shd w:val="clear" w:color="auto" w:fill="auto"/>
                  </w:tcPr>
                  <w:p>
                    <w:pPr>
                      <w:suppressAutoHyphens/>
                      <w:jc w:val="both"/>
                      <w:rPr>
                        <w:szCs w:val="24"/>
                      </w:rPr>
                    </w:pPr>
                    <w:r>
                      <w:rPr>
                        <w:szCs w:val="24"/>
                      </w:rPr>
                      <w:t>Projektu nustatoma, kad Projekto (šio nutarimo) įgyvendinimo priežiūrą, vykdys Viešųjų pirkimų tarnyba.</w:t>
                    </w:r>
                  </w:p>
                  <w:p>
                    <w:pPr>
                      <w:suppressAutoHyphens/>
                      <w:jc w:val="both"/>
                      <w:rPr>
                        <w:color w:val="000000"/>
                        <w:szCs w:val="24"/>
                        <w:shd w:val="clear" w:color="auto" w:fill="FFFFFF"/>
                      </w:rPr>
                    </w:pPr>
                    <w:r>
                      <w:rPr>
                        <w:color w:val="000000"/>
                        <w:szCs w:val="24"/>
                        <w:shd w:val="clear" w:color="auto" w:fill="FFFFFF"/>
                      </w:rPr>
                      <w:t>Projekte nėra nuostatų, susijusių su kontrolės (priežiūros) procedūra ir jos atlikimo kriterijais.</w:t>
                    </w:r>
                  </w:p>
                </w:tc>
                <w:tc>
                  <w:tcPr>
                    <w:tcW w:w="3420" w:type="dxa"/>
                    <w:shd w:val="clear" w:color="auto" w:fill="auto"/>
                  </w:tcPr>
                  <w:p>
                    <w:pPr>
                      <w:rPr>
                        <w:szCs w:val="24"/>
                        <w:lang w:eastAsia="lt-LT"/>
                      </w:rPr>
                    </w:pPr>
                  </w:p>
                </w:tc>
                <w:tc>
                  <w:tcPr>
                    <w:tcW w:w="2611" w:type="dxa"/>
                    <w:shd w:val="clear" w:color="auto" w:fill="auto"/>
                  </w:tcPr>
                  <w:p>
                    <w:pPr>
                      <w:rPr>
                        <w:szCs w:val="24"/>
                        <w:lang w:eastAsia="lt-LT"/>
                      </w:rPr>
                    </w:pPr>
                    <w:r>
                      <w:rPr>
                        <w:szCs w:val="24"/>
                        <w:lang w:eastAsia="lt-LT"/>
                      </w:rPr>
                      <w:t>□ tenkina</w:t>
                    </w:r>
                  </w:p>
                  <w:p>
                    <w:pPr>
                      <w:rPr>
                        <w:szCs w:val="24"/>
                        <w:lang w:eastAsia="lt-LT"/>
                      </w:rPr>
                    </w:pPr>
                    <w:r>
                      <w:rPr>
                        <w:szCs w:val="24"/>
                        <w:lang w:eastAsia="lt-LT"/>
                      </w:rPr>
                      <w:t xml:space="preserve">□  netenkina</w:t>
                    </w:r>
                  </w:p>
                </w:tc>
              </w:tr>
              <w:tr>
                <w:trPr>
                  <w:trHeight w:val="23"/>
                </w:trPr>
                <w:tc>
                  <w:tcPr>
                    <w:tcW w:w="696" w:type="dxa"/>
                    <w:shd w:val="clear" w:color="auto" w:fill="auto"/>
                  </w:tcPr>
                  <w:p>
                    <w:pPr>
                      <w:jc w:val="center"/>
                      <w:rPr>
                        <w:szCs w:val="24"/>
                        <w:lang w:eastAsia="lt-LT"/>
                      </w:rPr>
                    </w:pPr>
                    <w:r>
                      <w:rPr>
                        <w:szCs w:val="24"/>
                        <w:lang w:eastAsia="lt-LT"/>
                      </w:rPr>
                      <w:t>16.</w:t>
                    </w:r>
                  </w:p>
                </w:tc>
                <w:tc>
                  <w:tcPr>
                    <w:tcW w:w="3301" w:type="dxa"/>
                    <w:shd w:val="clear" w:color="auto" w:fill="auto"/>
                  </w:tcPr>
                  <w:p>
                    <w:pPr>
                      <w:rPr>
                        <w:szCs w:val="24"/>
                        <w:lang w:eastAsia="lt-LT"/>
                      </w:rPr>
                    </w:pPr>
                    <w:r>
                      <w:rPr>
                        <w:szCs w:val="24"/>
                        <w:lang w:eastAsia="lt-LT"/>
                      </w:rPr>
                      <w:t>Teisės akto projekte nustatytos kontrolės (priežiūros) skaidrumo ir objektyvumo užtikrinimo priemonės</w:t>
                    </w:r>
                  </w:p>
                </w:tc>
                <w:tc>
                  <w:tcPr>
                    <w:tcW w:w="4083" w:type="dxa"/>
                    <w:shd w:val="clear" w:color="auto" w:fill="auto"/>
                  </w:tcPr>
                  <w:p>
                    <w:pPr>
                      <w:tabs>
                        <w:tab w:val="center" w:pos="-7800"/>
                        <w:tab w:val="left" w:pos="6237"/>
                        <w:tab w:val="right" w:pos="8306"/>
                      </w:tabs>
                      <w:jc w:val="both"/>
                      <w:rPr>
                        <w:b/>
                        <w:szCs w:val="24"/>
                        <w:lang w:eastAsia="lt-LT"/>
                      </w:rPr>
                    </w:pPr>
                    <w:r>
                      <w:rPr>
                        <w:szCs w:val="24"/>
                        <w:lang w:eastAsia="lt-LT"/>
                      </w:rPr>
                      <w:t>Projekte nenustatytos kontrolės skaidrumo ir objektyvumo užtikrinimo priemonės</w:t>
                    </w:r>
                    <w:r>
                      <w:rPr>
                        <w:b/>
                        <w:szCs w:val="24"/>
                        <w:lang w:eastAsia="lt-LT"/>
                      </w:rPr>
                      <w:t xml:space="preserve">. </w:t>
                    </w:r>
                  </w:p>
                  <w:p>
                    <w:pPr>
                      <w:tabs>
                        <w:tab w:val="center" w:pos="-7800"/>
                        <w:tab w:val="left" w:pos="6237"/>
                        <w:tab w:val="right" w:pos="8306"/>
                      </w:tabs>
                      <w:jc w:val="both"/>
                      <w:rPr>
                        <w:b/>
                        <w:szCs w:val="24"/>
                        <w:lang w:eastAsia="lt-LT"/>
                      </w:rPr>
                    </w:pPr>
                  </w:p>
                </w:tc>
                <w:tc>
                  <w:tcPr>
                    <w:tcW w:w="3420" w:type="dxa"/>
                    <w:shd w:val="clear" w:color="auto" w:fill="auto"/>
                  </w:tcPr>
                  <w:p>
                    <w:pPr>
                      <w:rPr>
                        <w:szCs w:val="24"/>
                        <w:lang w:eastAsia="lt-LT"/>
                      </w:rPr>
                    </w:pPr>
                  </w:p>
                </w:tc>
                <w:tc>
                  <w:tcPr>
                    <w:tcW w:w="2611" w:type="dxa"/>
                    <w:shd w:val="clear" w:color="auto" w:fill="auto"/>
                  </w:tcPr>
                  <w:p>
                    <w:pPr>
                      <w:rPr>
                        <w:szCs w:val="24"/>
                        <w:lang w:eastAsia="lt-LT"/>
                      </w:rPr>
                    </w:pPr>
                    <w:r>
                      <w:rPr>
                        <w:szCs w:val="24"/>
                        <w:lang w:eastAsia="lt-LT"/>
                      </w:rPr>
                      <w:t>□ tenkina</w:t>
                    </w:r>
                  </w:p>
                  <w:p>
                    <w:pPr>
                      <w:rPr>
                        <w:szCs w:val="24"/>
                        <w:lang w:eastAsia="lt-LT"/>
                      </w:rPr>
                    </w:pPr>
                    <w:r>
                      <w:rPr>
                        <w:szCs w:val="24"/>
                        <w:lang w:eastAsia="lt-LT"/>
                      </w:rPr>
                      <w:t>□ netenkina</w:t>
                    </w:r>
                  </w:p>
                </w:tc>
              </w:tr>
              <w:tr>
                <w:trPr>
                  <w:trHeight w:val="23"/>
                </w:trPr>
                <w:tc>
                  <w:tcPr>
                    <w:tcW w:w="696" w:type="dxa"/>
                    <w:shd w:val="clear" w:color="auto" w:fill="auto"/>
                  </w:tcPr>
                  <w:p>
                    <w:pPr>
                      <w:keepNext/>
                      <w:jc w:val="center"/>
                      <w:rPr>
                        <w:szCs w:val="24"/>
                        <w:lang w:eastAsia="lt-LT"/>
                      </w:rPr>
                    </w:pPr>
                    <w:r>
                      <w:rPr>
                        <w:szCs w:val="24"/>
                        <w:lang w:eastAsia="lt-LT"/>
                      </w:rPr>
                      <w:t>17.</w:t>
                    </w:r>
                  </w:p>
                </w:tc>
                <w:tc>
                  <w:tcPr>
                    <w:tcW w:w="3301" w:type="dxa"/>
                    <w:shd w:val="clear" w:color="auto" w:fill="auto"/>
                  </w:tcPr>
                  <w:p>
                    <w:pPr>
                      <w:keepNext/>
                      <w:rPr>
                        <w:szCs w:val="24"/>
                        <w:lang w:eastAsia="lt-LT"/>
                      </w:rPr>
                    </w:pPr>
                    <w:r>
                      <w:rPr>
                        <w:szCs w:val="24"/>
                        <w:lang w:eastAsia="lt-LT"/>
                      </w:rPr>
                      <w:t>Teisės akto projekte nustatyta subjektų, su kuriais susijęs teisės akto projekto nuostatų įgyvendinimas, atsakomybės rūšis (tarnybinė, administracinė, baudžiamoji ir panašiai)</w:t>
                    </w:r>
                  </w:p>
                </w:tc>
                <w:tc>
                  <w:tcPr>
                    <w:tcW w:w="4083" w:type="dxa"/>
                    <w:shd w:val="clear" w:color="auto" w:fill="auto"/>
                  </w:tcPr>
                  <w:p>
                    <w:pPr>
                      <w:jc w:val="both"/>
                      <w:rPr>
                        <w:szCs w:val="24"/>
                        <w:lang w:eastAsia="lt-LT"/>
                      </w:rPr>
                    </w:pPr>
                    <w:r>
                      <w:rPr>
                        <w:color w:val="000000"/>
                        <w:szCs w:val="24"/>
                        <w:shd w:val="clear" w:color="auto" w:fill="FFFFFF"/>
                      </w:rPr>
                      <w:t>Projekte</w:t>
                    </w:r>
                    <w:r>
                      <w:rPr>
                        <w:szCs w:val="24"/>
                      </w:rPr>
                      <w:t xml:space="preserve"> tokių nuostatų nėra.</w:t>
                    </w:r>
                  </w:p>
                </w:tc>
                <w:tc>
                  <w:tcPr>
                    <w:tcW w:w="3420" w:type="dxa"/>
                    <w:shd w:val="clear" w:color="auto" w:fill="auto"/>
                  </w:tcPr>
                  <w:p>
                    <w:pPr>
                      <w:keepNext/>
                      <w:rPr>
                        <w:b/>
                        <w:szCs w:val="24"/>
                        <w:lang w:eastAsia="lt-LT"/>
                      </w:rPr>
                    </w:pPr>
                  </w:p>
                </w:tc>
                <w:tc>
                  <w:tcPr>
                    <w:tcW w:w="2611" w:type="dxa"/>
                    <w:shd w:val="clear" w:color="auto" w:fill="auto"/>
                  </w:tcPr>
                  <w:p>
                    <w:pPr>
                      <w:keepNext/>
                      <w:rPr>
                        <w:szCs w:val="24"/>
                        <w:lang w:eastAsia="lt-LT"/>
                      </w:rPr>
                    </w:pPr>
                    <w:r>
                      <w:rPr>
                        <w:szCs w:val="24"/>
                        <w:lang w:eastAsia="lt-LT"/>
                      </w:rPr>
                      <w:t>□ tenkina</w:t>
                    </w:r>
                  </w:p>
                  <w:p>
                    <w:pPr>
                      <w:keepNext/>
                      <w:rPr>
                        <w:szCs w:val="24"/>
                        <w:lang w:eastAsia="lt-LT"/>
                      </w:rPr>
                    </w:pPr>
                    <w:r>
                      <w:rPr>
                        <w:szCs w:val="24"/>
                        <w:lang w:eastAsia="lt-LT"/>
                      </w:rPr>
                      <w:t xml:space="preserve">□  netenkina</w:t>
                    </w:r>
                  </w:p>
                </w:tc>
              </w:tr>
              <w:tr>
                <w:trPr>
                  <w:trHeight w:val="23"/>
                </w:trPr>
                <w:tc>
                  <w:tcPr>
                    <w:tcW w:w="696" w:type="dxa"/>
                    <w:shd w:val="clear" w:color="auto" w:fill="auto"/>
                  </w:tcPr>
                  <w:p>
                    <w:pPr>
                      <w:jc w:val="center"/>
                      <w:rPr>
                        <w:szCs w:val="24"/>
                        <w:lang w:eastAsia="lt-LT"/>
                      </w:rPr>
                    </w:pPr>
                    <w:r>
                      <w:rPr>
                        <w:szCs w:val="24"/>
                        <w:lang w:eastAsia="lt-LT"/>
                      </w:rPr>
                      <w:t>18.</w:t>
                    </w:r>
                  </w:p>
                </w:tc>
                <w:tc>
                  <w:tcPr>
                    <w:tcW w:w="3301" w:type="dxa"/>
                    <w:shd w:val="clear" w:color="auto" w:fill="auto"/>
                  </w:tcPr>
                  <w:p>
                    <w:pPr>
                      <w:rPr>
                        <w:szCs w:val="24"/>
                        <w:lang w:eastAsia="lt-LT"/>
                      </w:rPr>
                    </w:pPr>
                    <w:r>
                      <w:rPr>
                        <w:szCs w:val="24"/>
                        <w:lang w:eastAsia="lt-LT"/>
                      </w:rPr>
                      <w:t>Teisės aktų projekte numatytas baigtinis sąrašas kriterijų, pagal kuriuos skiriama nuobauda (sankcija) už teisės akto projekte nustatytų nurodymų nevykdymą, ir nustatyta aiški jos skyrimo procedūra</w:t>
                    </w:r>
                  </w:p>
                </w:tc>
                <w:tc>
                  <w:tcPr>
                    <w:tcW w:w="4083" w:type="dxa"/>
                    <w:shd w:val="clear" w:color="auto" w:fill="auto"/>
                  </w:tcPr>
                  <w:p>
                    <w:pPr>
                      <w:keepNext/>
                      <w:jc w:val="both"/>
                      <w:rPr>
                        <w:szCs w:val="24"/>
                        <w:lang w:eastAsia="lt-LT"/>
                      </w:rPr>
                    </w:pPr>
                    <w:r>
                      <w:rPr>
                        <w:szCs w:val="24"/>
                        <w:lang w:eastAsia="lt-LT"/>
                      </w:rPr>
                      <w:t>Projekte tokių nuostatų nėra.</w:t>
                    </w:r>
                  </w:p>
                </w:tc>
                <w:tc>
                  <w:tcPr>
                    <w:tcW w:w="3420" w:type="dxa"/>
                    <w:shd w:val="clear" w:color="auto" w:fill="auto"/>
                  </w:tcPr>
                  <w:p>
                    <w:pPr>
                      <w:rPr>
                        <w:szCs w:val="24"/>
                        <w:lang w:eastAsia="lt-LT"/>
                      </w:rPr>
                    </w:pPr>
                  </w:p>
                </w:tc>
                <w:tc>
                  <w:tcPr>
                    <w:tcW w:w="2611" w:type="dxa"/>
                    <w:shd w:val="clear" w:color="auto" w:fill="auto"/>
                  </w:tcPr>
                  <w:p>
                    <w:pPr>
                      <w:rPr>
                        <w:szCs w:val="24"/>
                        <w:lang w:eastAsia="lt-LT"/>
                      </w:rPr>
                    </w:pPr>
                    <w:r>
                      <w:rPr>
                        <w:szCs w:val="24"/>
                        <w:lang w:eastAsia="lt-LT"/>
                      </w:rPr>
                      <w:t>□ tenkina</w:t>
                    </w:r>
                  </w:p>
                  <w:p>
                    <w:pPr>
                      <w:rPr>
                        <w:szCs w:val="24"/>
                        <w:lang w:eastAsia="lt-LT"/>
                      </w:rPr>
                    </w:pPr>
                    <w:r>
                      <w:rPr>
                        <w:szCs w:val="24"/>
                        <w:lang w:eastAsia="lt-LT"/>
                      </w:rPr>
                      <w:t xml:space="preserve">□  netenkina</w:t>
                    </w:r>
                  </w:p>
                </w:tc>
              </w:tr>
              <w:tr>
                <w:trPr>
                  <w:trHeight w:val="23"/>
                </w:trPr>
                <w:tc>
                  <w:tcPr>
                    <w:tcW w:w="696" w:type="dxa"/>
                    <w:shd w:val="clear" w:color="auto" w:fill="auto"/>
                  </w:tcPr>
                  <w:p>
                    <w:pPr>
                      <w:jc w:val="center"/>
                      <w:rPr>
                        <w:szCs w:val="24"/>
                        <w:lang w:eastAsia="lt-LT"/>
                      </w:rPr>
                    </w:pPr>
                    <w:r>
                      <w:rPr>
                        <w:szCs w:val="24"/>
                        <w:lang w:eastAsia="lt-LT"/>
                      </w:rPr>
                      <w:t>19.</w:t>
                    </w:r>
                  </w:p>
                </w:tc>
                <w:tc>
                  <w:tcPr>
                    <w:tcW w:w="3301" w:type="dxa"/>
                    <w:shd w:val="clear" w:color="auto" w:fill="auto"/>
                  </w:tcPr>
                  <w:p>
                    <w:pPr>
                      <w:rPr>
                        <w:szCs w:val="24"/>
                        <w:lang w:eastAsia="lt-LT"/>
                      </w:rPr>
                    </w:pPr>
                    <w:r>
                      <w:rPr>
                        <w:szCs w:val="24"/>
                        <w:lang w:eastAsia="lt-LT"/>
                      </w:rPr>
                      <w:t>Kiti svarbūs kriterijai</w:t>
                    </w:r>
                  </w:p>
                </w:tc>
                <w:tc>
                  <w:tcPr>
                    <w:tcW w:w="4083" w:type="dxa"/>
                    <w:shd w:val="clear" w:color="auto" w:fill="auto"/>
                  </w:tcPr>
                  <w:p>
                    <w:pPr>
                      <w:rPr>
                        <w:szCs w:val="24"/>
                        <w:lang w:eastAsia="lt-LT"/>
                      </w:rPr>
                    </w:pPr>
                    <w:r>
                      <w:rPr>
                        <w:szCs w:val="24"/>
                        <w:lang w:eastAsia="lt-LT"/>
                      </w:rPr>
                      <w:t>Nėra.</w:t>
                    </w:r>
                  </w:p>
                </w:tc>
                <w:tc>
                  <w:tcPr>
                    <w:tcW w:w="3420" w:type="dxa"/>
                    <w:shd w:val="clear" w:color="auto" w:fill="auto"/>
                  </w:tcPr>
                  <w:p>
                    <w:pPr>
                      <w:rPr>
                        <w:szCs w:val="24"/>
                        <w:lang w:eastAsia="lt-LT"/>
                      </w:rPr>
                    </w:pPr>
                  </w:p>
                </w:tc>
                <w:tc>
                  <w:tcPr>
                    <w:tcW w:w="2611" w:type="dxa"/>
                    <w:shd w:val="clear" w:color="auto" w:fill="auto"/>
                  </w:tcPr>
                  <w:p>
                    <w:pPr>
                      <w:rPr>
                        <w:szCs w:val="24"/>
                        <w:lang w:eastAsia="lt-LT"/>
                      </w:rPr>
                    </w:pPr>
                    <w:r>
                      <w:rPr>
                        <w:szCs w:val="24"/>
                        <w:lang w:eastAsia="lt-LT"/>
                      </w:rPr>
                      <w:t>□ tenkina</w:t>
                    </w:r>
                  </w:p>
                  <w:p>
                    <w:pPr>
                      <w:rPr>
                        <w:szCs w:val="24"/>
                        <w:lang w:eastAsia="lt-LT"/>
                      </w:rPr>
                    </w:pPr>
                    <w:r>
                      <w:rPr>
                        <w:szCs w:val="24"/>
                        <w:lang w:eastAsia="lt-LT"/>
                      </w:rPr>
                      <w:t>□ netenkina</w:t>
                    </w:r>
                  </w:p>
                </w:tc>
              </w:tr>
            </w:tbl>
            <w:p>
              <w:pPr>
                <w:tabs>
                  <w:tab w:val="left" w:pos="6237"/>
                </w:tabs>
                <w:rPr>
                  <w:color w:val="000000"/>
                  <w:szCs w:val="24"/>
                  <w:lang w:eastAsia="lt-LT"/>
                </w:rPr>
              </w:pPr>
            </w:p>
            <w:tbl>
              <w:tblPr>
                <w:tblW w:w="14282" w:type="dxa"/>
                <w:tblInd w:w="108" w:type="dxa"/>
                <w:tblLook w:val="04A0" w:firstRow="1" w:lastRow="0" w:firstColumn="1" w:lastColumn="0" w:noHBand="0" w:noVBand="1"/>
              </w:tblPr>
              <w:tblGrid>
                <w:gridCol w:w="5103"/>
                <w:gridCol w:w="2061"/>
                <w:gridCol w:w="5027"/>
                <w:gridCol w:w="2091"/>
              </w:tblGrid>
              <w:tr>
                <w:trPr>
                  <w:trHeight w:val="23"/>
                </w:trPr>
                <w:tc>
                  <w:tcPr>
                    <w:tcW w:w="7164" w:type="dxa"/>
                    <w:gridSpan w:val="2"/>
                    <w:shd w:val="clear" w:color="auto" w:fill="auto"/>
                  </w:tcPr>
                  <w:p>
                    <w:pPr>
                      <w:rPr>
                        <w:szCs w:val="24"/>
                        <w:lang w:eastAsia="lt-LT"/>
                      </w:rPr>
                    </w:pPr>
                    <w:r>
                      <w:rPr>
                        <w:szCs w:val="24"/>
                        <w:lang w:eastAsia="lt-LT"/>
                      </w:rPr>
                      <w:t>Teisės akto projekto tiesioginis rengėjas:</w:t>
                    </w:r>
                  </w:p>
                </w:tc>
                <w:tc>
                  <w:tcPr>
                    <w:tcW w:w="7118" w:type="dxa"/>
                    <w:gridSpan w:val="2"/>
                    <w:shd w:val="clear" w:color="auto" w:fill="auto"/>
                  </w:tcPr>
                  <w:p>
                    <w:pPr>
                      <w:rPr>
                        <w:szCs w:val="24"/>
                        <w:lang w:eastAsia="lt-LT"/>
                      </w:rPr>
                    </w:pPr>
                    <w:r>
                      <w:rPr>
                        <w:szCs w:val="24"/>
                        <w:lang w:eastAsia="lt-LT"/>
                      </w:rPr>
                      <w:t>Teisės akto projekto vertintojas:</w:t>
                    </w:r>
                  </w:p>
                </w:tc>
              </w:tr>
              <w:tr>
                <w:trPr>
                  <w:trHeight w:val="23"/>
                </w:trPr>
                <w:tc>
                  <w:tcPr>
                    <w:tcW w:w="5103" w:type="dxa"/>
                    <w:tcBorders>
                      <w:bottom w:val="single" w:sz="4" w:space="0" w:color="auto"/>
                    </w:tcBorders>
                    <w:shd w:val="clear" w:color="auto" w:fill="auto"/>
                    <w:vAlign w:val="bottom"/>
                  </w:tcPr>
                  <w:p>
                    <w:pPr>
                      <w:rPr>
                        <w:szCs w:val="24"/>
                        <w:lang w:eastAsia="lt-LT"/>
                      </w:rPr>
                    </w:pPr>
                    <w:r>
                      <w:rPr>
                        <w:szCs w:val="24"/>
                        <w:lang w:eastAsia="lt-LT"/>
                      </w:rPr>
                      <w:t xml:space="preserve">Aplinkos ministerijos </w:t>
                    </w:r>
                    <w:r>
                      <w:rPr>
                        <w:color w:val="000000"/>
                        <w:szCs w:val="24"/>
                      </w:rPr>
                      <w:t>Strateginių pokyčių grupės</w:t>
                    </w:r>
                    <w:r>
                      <w:rPr>
                        <w:szCs w:val="24"/>
                        <w:lang w:eastAsia="ar-SA"/>
                      </w:rPr>
                      <w:t xml:space="preserve"> </w:t>
                    </w:r>
                    <w:r>
                      <w:rPr>
                        <w:szCs w:val="24"/>
                        <w:lang w:eastAsia="lt-LT"/>
                      </w:rPr>
                      <w:t>vyriausiasis specialistas</w:t>
                    </w:r>
                  </w:p>
                </w:tc>
                <w:tc>
                  <w:tcPr>
                    <w:tcW w:w="2061" w:type="dxa"/>
                    <w:tcBorders>
                      <w:bottom w:val="single" w:sz="4" w:space="0" w:color="auto"/>
                    </w:tcBorders>
                    <w:shd w:val="clear" w:color="auto" w:fill="auto"/>
                    <w:vAlign w:val="bottom"/>
                  </w:tcPr>
                  <w:p>
                    <w:pPr>
                      <w:rPr>
                        <w:szCs w:val="24"/>
                        <w:lang w:eastAsia="lt-LT"/>
                      </w:rPr>
                    </w:pPr>
                    <w:r>
                      <w:rPr>
                        <w:color w:val="000000"/>
                        <w:szCs w:val="24"/>
                      </w:rPr>
                      <w:t>Arnas Liauksminas</w:t>
                    </w:r>
                  </w:p>
                </w:tc>
                <w:tc>
                  <w:tcPr>
                    <w:tcW w:w="5027" w:type="dxa"/>
                    <w:tcBorders>
                      <w:bottom w:val="single" w:sz="4" w:space="0" w:color="auto"/>
                    </w:tcBorders>
                    <w:shd w:val="clear" w:color="auto" w:fill="auto"/>
                    <w:vAlign w:val="bottom"/>
                  </w:tcPr>
                  <w:p>
                    <w:pPr>
                      <w:rPr>
                        <w:szCs w:val="24"/>
                        <w:lang w:eastAsia="lt-LT"/>
                      </w:rPr>
                    </w:pPr>
                    <w:r>
                      <w:rPr>
                        <w:szCs w:val="24"/>
                        <w:lang w:eastAsia="lt-LT"/>
                      </w:rPr>
                      <w:t>Aplinkos ministerijos Korupcijos prevencijos ir vidaus tyrimų skyriaus vyriausioji specialistė</w:t>
                    </w:r>
                  </w:p>
                </w:tc>
                <w:tc>
                  <w:tcPr>
                    <w:tcW w:w="2091" w:type="dxa"/>
                    <w:tcBorders>
                      <w:bottom w:val="single" w:sz="4" w:space="0" w:color="auto"/>
                    </w:tcBorders>
                    <w:shd w:val="clear" w:color="auto" w:fill="auto"/>
                    <w:vAlign w:val="bottom"/>
                  </w:tcPr>
                  <w:p>
                    <w:pPr>
                      <w:rPr>
                        <w:szCs w:val="24"/>
                        <w:lang w:eastAsia="lt-LT"/>
                      </w:rPr>
                    </w:pPr>
                    <w:r>
                      <w:rPr>
                        <w:szCs w:val="24"/>
                        <w:lang w:eastAsia="lt-LT"/>
                      </w:rPr>
                      <w:t>Rita Rusak</w:t>
                    </w:r>
                  </w:p>
                </w:tc>
              </w:tr>
              <w:tr>
                <w:trPr>
                  <w:trHeight w:val="23"/>
                </w:trPr>
                <w:tc>
                  <w:tcPr>
                    <w:tcW w:w="5103" w:type="dxa"/>
                    <w:tcBorders>
                      <w:top w:val="single" w:sz="4" w:space="0" w:color="auto"/>
                    </w:tcBorders>
                    <w:shd w:val="clear" w:color="auto" w:fill="auto"/>
                    <w:vAlign w:val="bottom"/>
                  </w:tcPr>
                  <w:p>
                    <w:pPr>
                      <w:rPr>
                        <w:sz w:val="22"/>
                        <w:szCs w:val="22"/>
                        <w:lang w:eastAsia="lt-LT"/>
                      </w:rPr>
                    </w:pPr>
                    <w:r>
                      <w:rPr>
                        <w:sz w:val="22"/>
                        <w:szCs w:val="22"/>
                        <w:lang w:eastAsia="lt-LT"/>
                      </w:rPr>
                      <w:t>(pareigos)</w:t>
                    </w:r>
                  </w:p>
                </w:tc>
                <w:tc>
                  <w:tcPr>
                    <w:tcW w:w="2061" w:type="dxa"/>
                    <w:tcBorders>
                      <w:top w:val="single" w:sz="4" w:space="0" w:color="auto"/>
                    </w:tcBorders>
                    <w:shd w:val="clear" w:color="auto" w:fill="auto"/>
                    <w:vAlign w:val="bottom"/>
                  </w:tcPr>
                  <w:p>
                    <w:pPr>
                      <w:rPr>
                        <w:sz w:val="22"/>
                        <w:szCs w:val="22"/>
                        <w:lang w:eastAsia="lt-LT"/>
                      </w:rPr>
                    </w:pPr>
                    <w:r>
                      <w:rPr>
                        <w:sz w:val="22"/>
                        <w:szCs w:val="22"/>
                        <w:lang w:eastAsia="lt-LT"/>
                      </w:rPr>
                      <w:t>(vardas ir pavardė)</w:t>
                    </w:r>
                  </w:p>
                </w:tc>
                <w:tc>
                  <w:tcPr>
                    <w:tcW w:w="5027" w:type="dxa"/>
                    <w:tcBorders>
                      <w:top w:val="single" w:sz="4" w:space="0" w:color="auto"/>
                    </w:tcBorders>
                    <w:shd w:val="clear" w:color="auto" w:fill="auto"/>
                    <w:vAlign w:val="bottom"/>
                  </w:tcPr>
                  <w:p>
                    <w:pPr>
                      <w:rPr>
                        <w:sz w:val="22"/>
                        <w:szCs w:val="22"/>
                        <w:lang w:eastAsia="lt-LT"/>
                      </w:rPr>
                    </w:pPr>
                    <w:r>
                      <w:rPr>
                        <w:sz w:val="22"/>
                        <w:szCs w:val="22"/>
                        <w:lang w:eastAsia="lt-LT"/>
                      </w:rPr>
                      <w:t>(pareigos)</w:t>
                    </w:r>
                  </w:p>
                </w:tc>
                <w:tc>
                  <w:tcPr>
                    <w:tcW w:w="2091" w:type="dxa"/>
                    <w:tcBorders>
                      <w:top w:val="single" w:sz="4" w:space="0" w:color="auto"/>
                    </w:tcBorders>
                    <w:shd w:val="clear" w:color="auto" w:fill="auto"/>
                    <w:vAlign w:val="bottom"/>
                  </w:tcPr>
                  <w:p>
                    <w:pPr>
                      <w:rPr>
                        <w:sz w:val="22"/>
                        <w:szCs w:val="22"/>
                        <w:lang w:eastAsia="lt-LT"/>
                      </w:rPr>
                    </w:pPr>
                    <w:r>
                      <w:rPr>
                        <w:sz w:val="22"/>
                        <w:szCs w:val="22"/>
                        <w:lang w:eastAsia="lt-LT"/>
                      </w:rPr>
                      <w:t>(vardas ir pavardė)</w:t>
                    </w:r>
                  </w:p>
                </w:tc>
              </w:tr>
              <w:tr>
                <w:trPr>
                  <w:trHeight w:val="617"/>
                </w:trPr>
                <w:tc>
                  <w:tcPr>
                    <w:tcW w:w="5103" w:type="dxa"/>
                    <w:tcBorders>
                      <w:bottom w:val="single" w:sz="4" w:space="0" w:color="auto"/>
                    </w:tcBorders>
                    <w:shd w:val="clear" w:color="auto" w:fill="auto"/>
                    <w:vAlign w:val="bottom"/>
                  </w:tcPr>
                  <w:p>
                    <w:pPr>
                      <w:rPr>
                        <w:sz w:val="22"/>
                        <w:szCs w:val="22"/>
                        <w:lang w:eastAsia="lt-LT"/>
                      </w:rPr>
                    </w:pPr>
                  </w:p>
                </w:tc>
                <w:tc>
                  <w:tcPr>
                    <w:tcW w:w="2061" w:type="dxa"/>
                    <w:tcBorders>
                      <w:bottom w:val="single" w:sz="4" w:space="0" w:color="auto"/>
                    </w:tcBorders>
                    <w:shd w:val="clear" w:color="auto" w:fill="auto"/>
                    <w:vAlign w:val="bottom"/>
                  </w:tcPr>
                  <w:p>
                    <w:pPr>
                      <w:rPr>
                        <w:sz w:val="22"/>
                        <w:szCs w:val="22"/>
                        <w:lang w:eastAsia="lt-LT"/>
                      </w:rPr>
                    </w:pPr>
                  </w:p>
                </w:tc>
                <w:tc>
                  <w:tcPr>
                    <w:tcW w:w="5027" w:type="dxa"/>
                    <w:tcBorders>
                      <w:bottom w:val="single" w:sz="4" w:space="0" w:color="auto"/>
                    </w:tcBorders>
                    <w:shd w:val="clear" w:color="auto" w:fill="auto"/>
                    <w:vAlign w:val="bottom"/>
                  </w:tcPr>
                  <w:p>
                    <w:pPr>
                      <w:rPr>
                        <w:sz w:val="22"/>
                        <w:szCs w:val="22"/>
                        <w:lang w:eastAsia="lt-LT"/>
                      </w:rPr>
                    </w:pPr>
                  </w:p>
                </w:tc>
                <w:tc>
                  <w:tcPr>
                    <w:tcW w:w="2091" w:type="dxa"/>
                    <w:tcBorders>
                      <w:bottom w:val="single" w:sz="4" w:space="0" w:color="auto"/>
                    </w:tcBorders>
                    <w:shd w:val="clear" w:color="auto" w:fill="auto"/>
                    <w:vAlign w:val="bottom"/>
                  </w:tcPr>
                  <w:p>
                    <w:pPr>
                      <w:rPr>
                        <w:sz w:val="22"/>
                        <w:szCs w:val="22"/>
                        <w:lang w:eastAsia="lt-LT"/>
                      </w:rPr>
                    </w:pPr>
                  </w:p>
                </w:tc>
              </w:tr>
              <w:tr>
                <w:trPr>
                  <w:trHeight w:val="23"/>
                </w:trPr>
                <w:tc>
                  <w:tcPr>
                    <w:tcW w:w="5103" w:type="dxa"/>
                    <w:tcBorders>
                      <w:top w:val="single" w:sz="4" w:space="0" w:color="auto"/>
                    </w:tcBorders>
                    <w:shd w:val="clear" w:color="auto" w:fill="auto"/>
                    <w:vAlign w:val="bottom"/>
                  </w:tcPr>
                  <w:p>
                    <w:pPr>
                      <w:jc w:val="center"/>
                      <w:rPr>
                        <w:sz w:val="22"/>
                        <w:szCs w:val="22"/>
                        <w:lang w:eastAsia="lt-LT"/>
                      </w:rPr>
                    </w:pPr>
                    <w:r>
                      <w:rPr>
                        <w:sz w:val="22"/>
                        <w:szCs w:val="22"/>
                        <w:lang w:eastAsia="lt-LT"/>
                      </w:rPr>
                      <w:t>(parašas)</w:t>
                    </w:r>
                  </w:p>
                </w:tc>
                <w:tc>
                  <w:tcPr>
                    <w:tcW w:w="2061" w:type="dxa"/>
                    <w:tcBorders>
                      <w:top w:val="single" w:sz="4" w:space="0" w:color="auto"/>
                    </w:tcBorders>
                    <w:shd w:val="clear" w:color="auto" w:fill="auto"/>
                    <w:vAlign w:val="bottom"/>
                  </w:tcPr>
                  <w:p>
                    <w:pPr>
                      <w:jc w:val="center"/>
                      <w:rPr>
                        <w:sz w:val="22"/>
                        <w:szCs w:val="22"/>
                        <w:lang w:eastAsia="lt-LT"/>
                      </w:rPr>
                    </w:pPr>
                    <w:r>
                      <w:rPr>
                        <w:sz w:val="22"/>
                        <w:szCs w:val="22"/>
                        <w:lang w:eastAsia="lt-LT"/>
                      </w:rPr>
                      <w:t>(data)</w:t>
                    </w:r>
                  </w:p>
                </w:tc>
                <w:tc>
                  <w:tcPr>
                    <w:tcW w:w="5027" w:type="dxa"/>
                    <w:tcBorders>
                      <w:top w:val="single" w:sz="4" w:space="0" w:color="auto"/>
                    </w:tcBorders>
                    <w:shd w:val="clear" w:color="auto" w:fill="auto"/>
                    <w:vAlign w:val="bottom"/>
                  </w:tcPr>
                  <w:p>
                    <w:pPr>
                      <w:jc w:val="center"/>
                      <w:rPr>
                        <w:sz w:val="22"/>
                        <w:szCs w:val="22"/>
                        <w:lang w:eastAsia="lt-LT"/>
                      </w:rPr>
                    </w:pPr>
                    <w:r>
                      <w:rPr>
                        <w:sz w:val="22"/>
                        <w:szCs w:val="22"/>
                        <w:lang w:eastAsia="lt-LT"/>
                      </w:rPr>
                      <w:t>(parašas)</w:t>
                    </w:r>
                  </w:p>
                </w:tc>
                <w:tc>
                  <w:tcPr>
                    <w:tcW w:w="2091" w:type="dxa"/>
                    <w:tcBorders>
                      <w:top w:val="single" w:sz="4" w:space="0" w:color="auto"/>
                    </w:tcBorders>
                    <w:shd w:val="clear" w:color="auto" w:fill="auto"/>
                    <w:vAlign w:val="bottom"/>
                  </w:tcPr>
                  <w:p>
                    <w:pPr>
                      <w:jc w:val="center"/>
                      <w:rPr>
                        <w:sz w:val="22"/>
                        <w:szCs w:val="22"/>
                        <w:lang w:eastAsia="lt-LT"/>
                      </w:rPr>
                    </w:pPr>
                    <w:r>
                      <w:rPr>
                        <w:sz w:val="22"/>
                        <w:szCs w:val="22"/>
                        <w:lang w:eastAsia="lt-LT"/>
                      </w:rPr>
                      <w:t>(data)</w:t>
                    </w:r>
                  </w:p>
                </w:tc>
              </w:tr>
            </w:tbl>
            <w:p>
              <w:pPr>
                <w:rPr>
                  <w:sz w:val="22"/>
                  <w:szCs w:val="22"/>
                </w:rPr>
              </w:pPr>
            </w:p>
          </w:sdtContent>
        </w:sdt>
      </w:sdtContent>
    </w:sdt>
    <w:sectPr>
      <w:headerReference w:type="even" r:id="rId8"/>
      <w:headerReference w:type="default" r:id="rId9"/>
      <w:footerReference w:type="even" r:id="rId10"/>
      <w:footerReference w:type="default" r:id="rId11"/>
      <w:headerReference w:type="first" r:id="rId12"/>
      <w:footerReference w:type="first" r:id="rId13"/>
      <w:pgSz w:w="16838" w:h="11906" w:orient="landscape"/>
      <w:pgMar w:top="1701" w:right="1701" w:bottom="567" w:left="1134" w:header="567" w:footer="0" w:gutter="0"/>
      <w:cols w:space="1296"/>
      <w:titlePg/>
      <w:docGrid w:linePitch="360"/>
    </w:sectPr>
  </w:body>
</w:document>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Andale Sans UI">
    <w:altName w:val="Times New Roman"/>
    <w:charset w:val="BA"/>
    <w:family w:val="auto"/>
    <w:pitch w:val="variable"/>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pPr>
  </w:p>
</w:ftr>
</file>

<file path=word/footer2.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pPr>
  </w:p>
</w:ftr>
</file>

<file path=word/footer3.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pP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
        <w:separator/>
      </w:r>
    </w:p>
  </w:footnote>
  <w:footnote w:type="continuationSeparator" w:id="0">
    <w:p>
      <w:r>
        <w:continuationSeparator/>
      </w:r>
    </w:p>
  </w:footnote>
  <w:footnote w:id="1">
    <w:p>
      <w:pPr>
        <w:jc w:val="both"/>
        <w:rPr>
          <w:sz w:val="20"/>
        </w:rPr>
      </w:pPr>
      <w:r>
        <w:rPr>
          <w:sz w:val="20"/>
          <w:vertAlign w:val="superscript"/>
        </w:rPr>
        <w:footnoteRef/>
      </w:r>
      <w:r>
        <w:rPr>
          <w:sz w:val="20"/>
        </w:rPr>
        <w:t>Jeigu tas pats kriterijus taikomas kelioms teisės akto projekto nuostatoms, nurodyti ir konkrečias teisės akto projekto nuostatas, dėl kurių galima korupcijos rizika nepašalinta ar kuriai valdyti teisės akto projekte nenumatyta priemonių.</w:t>
      </w:r>
    </w:p>
  </w:footnote>
  <w:footnote w:id="2">
    <w:p>
      <w:pPr>
        <w:jc w:val="both"/>
        <w:rPr>
          <w:sz w:val="20"/>
        </w:rPr>
      </w:pPr>
      <w:r>
        <w:rPr>
          <w:sz w:val="20"/>
          <w:vertAlign w:val="superscript"/>
        </w:rPr>
        <w:footnoteRef/>
      </w:r>
      <w:r>
        <w:rPr>
          <w:sz w:val="20"/>
        </w:rPr>
        <w:t xml:space="preserve"> Tas pat.</w:t>
      </w:r>
    </w:p>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pPr>
  </w:p>
</w:hdr>
</file>

<file path=word/header2.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jc w:val="center"/>
    </w:pPr>
    <w:r>
      <w:fldChar w:fldCharType="begin"/>
    </w:r>
    <w:r>
      <w:instrText xml:space="preserve"> PAGE   \* MERGEFORMAT </w:instrText>
    </w:r>
    <w:r>
      <w:fldChar w:fldCharType="separate"/>
    </w:r>
    <w:r>
      <w:t>9</w:t>
    </w:r>
    <w:r>
      <w:fldChar w:fldCharType="end"/>
    </w:r>
  </w:p>
  <w:p>
    <w:pPr>
      <w:tabs>
        <w:tab w:val="center" w:pos="4819"/>
        <w:tab w:val="right" w:pos="9638"/>
      </w:tabs>
    </w:pPr>
  </w:p>
</w:hdr>
</file>

<file path=word/header3.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view w:val="normal"/>
  <w:zoom w:percent="100"/>
  <w:defaultTabStop w:val="1296"/>
  <w:hyphenationZone w:val="396"/>
  <w:doNotHyphenateCaps/>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D518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divs>
    <w:div w:id="1507519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footer" Target="footer1.xml"/>
  <Relationship Id="rId11" Type="http://schemas.openxmlformats.org/officeDocument/2006/relationships/footer" Target="footer2.xml"/>
  <Relationship Id="rId12" Type="http://schemas.openxmlformats.org/officeDocument/2006/relationships/header" Target="header3.xml"/>
  <Relationship Id="rId13" Type="http://schemas.openxmlformats.org/officeDocument/2006/relationships/footer" Target="footer3.xml"/>
  <Relationship Id="rId14" Type="http://schemas.openxmlformats.org/officeDocument/2006/relationships/fontTable" Target="fontTable.xml"/>
  <Relationship Id="rId15" Type="http://schemas.openxmlformats.org/officeDocument/2006/relationships/theme" Target="theme/theme1.xml"/>
  <Relationship Id="rId16" Type="http://schemas.openxmlformats.org/officeDocument/2006/relationships/customXml" Target="../customXml/item1.xml"/>
  <Relationship Id="rId2" Type="http://schemas.microsoft.com/office/2007/relationships/stylesWithEffects" Target="stylesWithEffect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8" Type="http://schemas.openxmlformats.org/officeDocument/2006/relationships/header" Target="header1.xml"/>
  <Relationship Id="rId9" Type="http://schemas.openxmlformats.org/officeDocument/2006/relationships/header" Target="header2.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riedas" Abbr="pr." DocPartId="92f92a4b948d4a85a66bc4c126c46d1b" PartId="4282bb5c6dbb475c84e791a71a5aff4a">
    <Part Type="skirsnis" Title="TEISĖS AKTO PROJEKTO ANTIKORUPCINIO VERTINIMO PAŽYMA" DocPartId="406c9f7bee464a47b7c3e7f446d3ae18" PartId="9390081ff2ef41be9dfb472e2889669e"/>
  </Part>
</Parts>
</file>

<file path=customXml/itemProps1.xml><?xml version="1.0" encoding="utf-8"?>
<ds:datastoreItem xmlns:ds="http://schemas.openxmlformats.org/officeDocument/2006/customXml" ds:itemID="{E39310E3-4B66-4673-B9EC-68B6A8C1E65D}">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9</Pages>
  <Words>1413</Words>
  <Characters>10276</Characters>
  <Application>Microsoft Office Word</Application>
  <DocSecurity>4</DocSecurity>
  <Lines>467</Lines>
  <Paragraphs>164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11525</CharactersWithSpaces>
  <SharedDoc>false</SharedDoc>
  <HyperlinkBase/>
  <HLinks>
    <vt:vector size="6" baseType="variant">
      <vt:variant>
        <vt:i4>4980783</vt:i4>
      </vt:variant>
      <vt:variant>
        <vt:i4>0</vt:i4>
      </vt:variant>
      <vt:variant>
        <vt:i4>0</vt:i4>
      </vt:variant>
      <vt:variant>
        <vt:i4>5</vt:i4>
      </vt:variant>
      <vt:variant>
        <vt:lpwstr>mailto:ona.raugaliene@am.lt</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2021-03-12T13:45:00Z</dcterms:created>
  <dc:creator>r.uselyte</dc:creator>
  <lastModifiedBy>adlibuser</lastModifiedBy>
  <dcterms:modified xsi:type="dcterms:W3CDTF">2021-03-12T13:45:00Z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DISidcName">
    <vt:lpwstr>vdvis_dev</vt:lpwstr>
  </property>
  <property fmtid="{D5CDD505-2E9C-101B-9397-08002B2CF9AE}" pid="3" name="DISdID">
    <vt:lpwstr>3931064</vt:lpwstr>
  </property>
  <property fmtid="{D5CDD505-2E9C-101B-9397-08002B2CF9AE}" pid="4" name="DISCdDocAuthor">
    <vt:lpwstr>d.leontjeva</vt:lpwstr>
  </property>
  <property fmtid="{D5CDD505-2E9C-101B-9397-08002B2CF9AE}" pid="5" name="VDVISDokPavadinimas">
    <vt:lpwstr>TEISĖS AKTŲ PROJEKTŲ ANTIKORUPCINIO VERTINIMO PAŽYMA</vt:lpwstr>
  </property>
  <property fmtid="{D5CDD505-2E9C-101B-9397-08002B2CF9AE}" pid="6" name="DIScgiUrl">
    <vt:lpwstr>https://vdvis.am.lt/cs/idcplg</vt:lpwstr>
  </property>
  <property fmtid="{D5CDD505-2E9C-101B-9397-08002B2CF9AE}" pid="7" name="DISProperties">
    <vt:lpwstr>DISdDocName,DISCdDocAuthor,DIScgiUrl,DISdUser,DISdID,VDVISDokPavadinimas,DISidcName,DISTaskPaneUrl</vt:lpwstr>
  </property>
  <property fmtid="{D5CDD505-2E9C-101B-9397-08002B2CF9AE}" pid="8" name="DISTaskPaneUrl">
    <vt:lpwstr>https://vdvis.am.lt/cs/idcplg?IdcService=DESKTOP_DOC_INFO&amp;dDocName=AM_3906619&amp;dID=3931064&amp;ClientControlled=DocMan,taskpane&amp;coreContentOnly=1</vt:lpwstr>
  </property>
  <property fmtid="{D5CDD505-2E9C-101B-9397-08002B2CF9AE}" pid="9" name="DISdUser">
    <vt:lpwstr>r.rusak</vt:lpwstr>
  </property>
  <property fmtid="{D5CDD505-2E9C-101B-9397-08002B2CF9AE}" pid="10" name="DISdDocName">
    <vt:lpwstr>AM_3906619</vt:lpwstr>
  </property>
</Properties>
</file>