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88c14f611af1496f8e096c47c57ddf36"/>
        <w:lock w:val="sdtLocked"/>
        <w:richText/>
      </w:sdtPr>
      <w:sdtContent>
        <w:p>
          <w:pPr>
            <w:spacing w:line="259" w:lineRule="auto"/>
            <w:jc w:val="center"/>
            <w:rPr>
              <w:b/>
              <w:bCs/>
              <w:color w:val="000000"/>
              <w:szCs w:val="24"/>
            </w:rPr>
          </w:pPr>
          <w:r>
            <w:rPr>
              <w:b/>
              <w:bCs/>
              <w:color w:val="000000"/>
              <w:szCs w:val="24"/>
            </w:rPr>
            <w:t>NUMATOMO TEISINIO REGULIAVIMO POVEIKIO VERTINIMO PAŽYMA</w:t>
          </w:r>
        </w:p>
        <w:p>
          <w:pPr>
            <w:spacing w:line="259" w:lineRule="auto"/>
            <w:jc w:val="center"/>
            <w:rPr>
              <w:b/>
              <w:bCs/>
              <w:color w:val="000000"/>
              <w:szCs w:val="24"/>
            </w:rPr>
          </w:pPr>
        </w:p>
        <w:tbl>
          <w:tblPr>
            <w:tblW w:w="0" w:type="auto"/>
            <w:tblLayout w:type="fixed"/>
            <w:tblLook w:val="00A0" w:firstRow="1" w:lastRow="0" w:firstColumn="1" w:lastColumn="0" w:noHBand="0" w:noVBand="0"/>
          </w:tblPr>
          <w:tblGrid>
            <w:gridCol w:w="4508"/>
            <w:gridCol w:w="4956"/>
          </w:tblGrid>
          <w:tr>
            <w:tc>
              <w:tcPr>
                <w:tcW w:w="4508" w:type="dxa"/>
                <w:shd w:val="clear" w:color="auto" w:fill="D9E2F3" w:themeFill="accent1" w:themeFillTint="33"/>
              </w:tcPr>
              <w:p>
                <w:pPr>
                  <w:spacing w:line="259" w:lineRule="auto"/>
                  <w:rPr>
                    <w:szCs w:val="24"/>
                  </w:rPr>
                </w:pPr>
                <w:r>
                  <w:rPr>
                    <w:b/>
                    <w:bCs/>
                    <w:szCs w:val="24"/>
                  </w:rPr>
                  <w:t>Projekto pavadinimas</w:t>
                </w:r>
              </w:p>
            </w:tc>
            <w:tc>
              <w:tcPr>
                <w:tcW w:w="4956" w:type="dxa"/>
                <w:shd w:val="clear" w:color="auto" w:fill="D9E2F3" w:themeFill="accent1" w:themeFillTint="33"/>
              </w:tcPr>
              <w:p>
                <w:pPr>
                  <w:spacing w:line="259" w:lineRule="auto"/>
                  <w:jc w:val="both"/>
                  <w:rPr>
                    <w:szCs w:val="24"/>
                  </w:rPr>
                </w:pPr>
                <w:r>
                  <w:rPr>
                    <w:szCs w:val="24"/>
                  </w:rPr>
                  <w:t>Lietuvos Respublikos Vyriausybės nutarimo „Dėl Lietuvos Respublikos Vyriausybės 2010 m. liepos 21 d. nutarimo „Dėl Lietuvos Respublikos Vyriausybės 2007 m. rugpjūčio 8 d. nutarimo Nr. 804 „Dėl Nacionalinės žaliųjų pirkimų įgyvendinimo programos patvirtinimo“ ir jį keitusių nutarimų pripažinimo netekusiais galios“ pakeitimo“ projektas</w:t>
                </w:r>
              </w:p>
            </w:tc>
          </w:tr>
        </w:tbl>
        <w:p>
          <w:pPr>
            <w:spacing w:line="259" w:lineRule="auto"/>
            <w:rPr>
              <w:color w:val="000000"/>
              <w:sz w:val="22"/>
              <w:szCs w:val="22"/>
            </w:rPr>
          </w:pPr>
        </w:p>
        <w:p>
          <w:pPr>
            <w:rPr>
              <w:sz w:val="10"/>
              <w:szCs w:val="10"/>
            </w:rPr>
          </w:pPr>
        </w:p>
        <w:tbl>
          <w:tblPr>
            <w:tblW w:w="0" w:type="auto"/>
            <w:tblLayout w:type="fixed"/>
            <w:tblLook w:val="00A0" w:firstRow="1" w:lastRow="0" w:firstColumn="1" w:lastColumn="0" w:noHBand="0" w:noVBand="0"/>
          </w:tblPr>
          <w:tblGrid>
            <w:gridCol w:w="4508"/>
            <w:gridCol w:w="4956"/>
          </w:tblGrid>
          <w:tr>
            <w:tc>
              <w:tcPr>
                <w:tcW w:w="4508" w:type="dxa"/>
                <w:shd w:val="clear" w:color="auto" w:fill="D9E2F3" w:themeFill="accent1" w:themeFillTint="33"/>
              </w:tcPr>
              <w:p>
                <w:pPr>
                  <w:spacing w:line="259" w:lineRule="auto"/>
                  <w:rPr>
                    <w:szCs w:val="24"/>
                  </w:rPr>
                </w:pPr>
                <w:r>
                  <w:rPr>
                    <w:b/>
                    <w:bCs/>
                    <w:szCs w:val="24"/>
                  </w:rPr>
                  <w:t>Projekto rengėjas</w:t>
                </w:r>
              </w:p>
            </w:tc>
            <w:tc>
              <w:tcPr>
                <w:tcW w:w="4956" w:type="dxa"/>
                <w:shd w:val="clear" w:color="auto" w:fill="D9E2F3" w:themeFill="accent1" w:themeFillTint="33"/>
              </w:tcPr>
              <w:p>
                <w:pPr>
                  <w:spacing w:line="259" w:lineRule="auto"/>
                  <w:jc w:val="both"/>
                  <w:rPr>
                    <w:szCs w:val="24"/>
                  </w:rPr>
                </w:pPr>
                <w:r>
                  <w:rPr>
                    <w:szCs w:val="24"/>
                  </w:rPr>
                  <w:t>Lietuvos Respublikos aplinkos ministerija.</w:t>
                </w:r>
              </w:p>
            </w:tc>
          </w:tr>
        </w:tbl>
        <w:p>
          <w:pPr>
            <w:spacing w:line="259" w:lineRule="auto"/>
            <w:rPr>
              <w:color w:val="000000"/>
              <w:sz w:val="22"/>
              <w:szCs w:val="22"/>
            </w:rPr>
          </w:pPr>
        </w:p>
        <w:p>
          <w:pPr>
            <w:rPr>
              <w:sz w:val="10"/>
              <w:szCs w:val="10"/>
            </w:rPr>
          </w:pPr>
        </w:p>
        <w:tbl>
          <w:tblPr>
            <w:tblW w:w="0" w:type="auto"/>
            <w:tblLayout w:type="fixed"/>
            <w:tblLook w:val="00A0" w:firstRow="1" w:lastRow="0" w:firstColumn="1" w:lastColumn="0" w:noHBand="0" w:noVBand="0"/>
          </w:tblPr>
          <w:tblGrid>
            <w:gridCol w:w="4508"/>
            <w:gridCol w:w="4508"/>
            <w:gridCol w:w="448"/>
          </w:tblGrid>
          <w:tr>
            <w:tc>
              <w:tcPr>
                <w:tcW w:w="4508" w:type="dxa"/>
                <w:shd w:val="clear" w:color="auto" w:fill="D9E2F3" w:themeFill="accent1" w:themeFillTint="33"/>
              </w:tcPr>
              <w:p>
                <w:pPr>
                  <w:spacing w:line="259" w:lineRule="auto"/>
                  <w:rPr>
                    <w:szCs w:val="24"/>
                  </w:rPr>
                </w:pPr>
                <w:r>
                  <w:rPr>
                    <w:b/>
                    <w:bCs/>
                    <w:szCs w:val="24"/>
                  </w:rPr>
                  <w:t>Projekto tikslas</w:t>
                </w:r>
              </w:p>
            </w:tc>
            <w:tc>
              <w:tcPr>
                <w:tcW w:w="4956" w:type="dxa"/>
                <w:gridSpan w:val="2"/>
                <w:shd w:val="clear" w:color="auto" w:fill="D9E2F3" w:themeFill="accent1" w:themeFillTint="33"/>
              </w:tcPr>
              <w:p>
                <w:pPr>
                  <w:rPr>
                    <w:sz w:val="10"/>
                    <w:szCs w:val="10"/>
                  </w:rPr>
                </w:pPr>
              </w:p>
              <w:p>
                <w:pPr>
                  <w:spacing w:line="259" w:lineRule="auto"/>
                  <w:jc w:val="both"/>
                  <w:rPr>
                    <w:szCs w:val="24"/>
                  </w:rPr>
                </w:pPr>
                <w:r>
                  <w:rPr>
                    <w:szCs w:val="24"/>
                  </w:rPr>
                  <w:t xml:space="preserve">Nutarimo pakeitimo projekto tikslas </w:t>
                </w:r>
                <w:r>
                  <w:rPr>
                    <w:color w:val="000000"/>
                    <w:szCs w:val="24"/>
                    <w:lang w:val="lt"/>
                  </w:rPr>
                  <w:t xml:space="preserve"> –</w:t>
                </w:r>
                <w:r>
                  <w:rPr>
                    <w:szCs w:val="24"/>
                  </w:rPr>
                  <w:t xml:space="preserve"> įgyvendinant 2021-2030 m. Nacionaliniame pažangos plane įtvirtintą siekį prisidėti prie horizontaliojo darnaus vystymosi principo įgyvendinimo, didinant žaliųjų viešųjų pirkimų (toliau – ŽVP) dalį, ir Lietuvos Respublikos Vyriausybės programoje įtvirtintas nuostatas, kad nuo 2023 m. ŽVP turėtų tapti dominuojančia viešųjų pirkimų rūšimi, o valstybinės įstaigos bus įpareigotos prekes, darbus ir paslaugas įsigyti tik žaliųjų pirkimų būdu, nustatyti ŽVP tikslus 2021-2023 m. laikotarpiui.</w:t>
                </w:r>
              </w:p>
              <w:p>
                <w:pPr>
                  <w:rPr>
                    <w:sz w:val="10"/>
                    <w:szCs w:val="10"/>
                  </w:rPr>
                </w:pPr>
              </w:p>
              <w:p>
                <w:pPr>
                  <w:spacing w:line="259" w:lineRule="auto"/>
                  <w:jc w:val="both"/>
                  <w:rPr>
                    <w:szCs w:val="24"/>
                  </w:rPr>
                </w:pPr>
                <w:r>
                  <w:rPr>
                    <w:szCs w:val="24"/>
                  </w:rPr>
                  <w:t>Projektu rekomenduojama Viešųjų pirkimų tarnybai tobulinti perkančiųjų organizacijų ir perkančiųjų subjektų kompetencijas ŽVP srityje, gerinti informacijos apie žaliuosius pirkimus rinkimą ir sisteminimą, stiprinti konsultavimą ŽVP vykdymo klausimais, vykdyti nutarimo įgyvendinimo stebėseną ir pasiektos pažangos vertinimą. Viešųjų pirkimų tarnyba taip pat įpareigojama, teikiant metines veiklos ataskaitas, Vyriausybei teikti susistemintą informaciją apie ŽVP stebėsenos rezultatus.</w:t>
                </w:r>
              </w:p>
              <w:p>
                <w:pPr>
                  <w:rPr>
                    <w:sz w:val="10"/>
                    <w:szCs w:val="10"/>
                  </w:rPr>
                </w:pPr>
              </w:p>
              <w:p>
                <w:pPr>
                  <w:spacing w:line="259" w:lineRule="auto"/>
                  <w:jc w:val="both"/>
                  <w:rPr>
                    <w:szCs w:val="24"/>
                  </w:rPr>
                </w:pPr>
                <w:r>
                  <w:rPr>
                    <w:szCs w:val="24"/>
                  </w:rPr>
                  <w:t xml:space="preserve">Projektu pavedama, kad Vyriausybei atskaitingi subjektai, atsakingi už Europos Sąjungos ir nacionalinių finansavimo programų lėšų skirstymą ir administravimą, turi rengti ir atnaujinti, derinant su Aplinkos ministerija, su šių lėšų skirstymu ir administravimu susijusį teisinį reguliavimą, įtraukiant prievolę subjektams, įgyvendinantiems Europos Sąjungos ir nacionalinių finansavimo programų lėšomis finansuojamus projektus, atliekant pirkimus taikyti žaliųjų pirkimų reikalavimus. </w:t>
                </w:r>
              </w:p>
              <w:p>
                <w:pPr>
                  <w:rPr>
                    <w:sz w:val="10"/>
                    <w:szCs w:val="10"/>
                  </w:rPr>
                </w:pPr>
              </w:p>
              <w:p>
                <w:pPr>
                  <w:spacing w:line="259" w:lineRule="auto"/>
                  <w:jc w:val="both"/>
                  <w:rPr>
                    <w:szCs w:val="24"/>
                  </w:rPr>
                </w:pPr>
                <w:r>
                  <w:rPr>
                    <w:szCs w:val="24"/>
                  </w:rPr>
                  <w:t xml:space="preserve">Projektu taip pat pavedama Aplinkos ministerijai, suderinus su Viešųjų pirkimų tarnyba, patvirtinti žaliųjų pirkimų įgyvendinimo 2021-2025 m. priemonių planą.  </w:t>
                </w:r>
              </w:p>
            </w:tc>
          </w:tr>
          <w:tr>
            <w:trPr>
              <w:gridAfter w:val="1"/>
              <w:wAfter w:w="448" w:type="dxa"/>
            </w:trPr>
            <w:tc>
              <w:tcPr>
                <w:tcW w:w="4508" w:type="dxa"/>
              </w:tcPr>
              <w:p>
                <w:pPr>
                  <w:spacing w:line="259" w:lineRule="auto"/>
                  <w:rPr>
                    <w:szCs w:val="24"/>
                  </w:rPr>
                </w:pPr>
              </w:p>
            </w:tc>
            <w:tc>
              <w:tcPr>
                <w:tcW w:w="4508" w:type="dxa"/>
              </w:tcPr>
              <w:p>
                <w:pPr>
                  <w:spacing w:line="259" w:lineRule="auto"/>
                  <w:jc w:val="center"/>
                  <w:rPr>
                    <w:b/>
                    <w:bCs/>
                    <w:szCs w:val="24"/>
                  </w:rPr>
                </w:pPr>
              </w:p>
              <w:p>
                <w:pPr>
                  <w:spacing w:line="259" w:lineRule="auto"/>
                  <w:jc w:val="center"/>
                  <w:rPr>
                    <w:szCs w:val="24"/>
                  </w:rPr>
                </w:pPr>
                <w:r>
                  <w:rPr>
                    <w:b/>
                    <w:bCs/>
                    <w:szCs w:val="24"/>
                  </w:rPr>
                  <w:t xml:space="preserve">Siūlomo projekto poveikio įvertinimas </w:t>
                </w:r>
              </w:p>
              <w:p>
                <w:pPr>
                  <w:spacing w:line="259" w:lineRule="auto"/>
                  <w:jc w:val="center"/>
                  <w:rPr>
                    <w:szCs w:val="24"/>
                  </w:rPr>
                </w:pPr>
                <w:r>
                  <w:rPr>
                    <w:b/>
                    <w:bCs/>
                    <w:szCs w:val="24"/>
                  </w:rPr>
                  <w:t>(teigiamos ir (ar) neigiamos pasekmės)</w:t>
                </w:r>
              </w:p>
            </w:tc>
          </w:tr>
          <w:tr>
            <w:tc>
              <w:tcPr>
                <w:tcW w:w="4508" w:type="dxa"/>
                <w:shd w:val="clear" w:color="auto" w:fill="D9E2F3" w:themeFill="accent1" w:themeFillTint="33"/>
              </w:tcPr>
              <w:p>
                <w:pPr>
                  <w:spacing w:line="259" w:lineRule="auto"/>
                  <w:rPr>
                    <w:szCs w:val="24"/>
                  </w:rPr>
                </w:pPr>
                <w:r>
                  <w:rPr>
                    <w:b/>
                    <w:bCs/>
                    <w:szCs w:val="24"/>
                  </w:rPr>
                  <w:t>Poveikis aplinkai/klimato kaitai</w:t>
                </w:r>
              </w:p>
              <w:p>
                <w:pPr>
                  <w:rPr>
                    <w:sz w:val="14"/>
                    <w:szCs w:val="14"/>
                  </w:rPr>
                </w:pPr>
              </w:p>
              <w:p>
                <w:pPr>
                  <w:spacing w:line="259" w:lineRule="auto"/>
                  <w:rPr>
                    <w:szCs w:val="24"/>
                  </w:rPr>
                </w:pPr>
              </w:p>
            </w:tc>
            <w:tc>
              <w:tcPr>
                <w:tcW w:w="4956" w:type="dxa"/>
                <w:gridSpan w:val="2"/>
              </w:tcPr>
              <w:p>
                <w:pPr>
                  <w:spacing w:line="259" w:lineRule="auto"/>
                  <w:jc w:val="both"/>
                  <w:rPr>
                    <w:szCs w:val="24"/>
                  </w:rPr>
                </w:pPr>
                <w:r>
                  <w:rPr>
                    <w:szCs w:val="24"/>
                  </w:rPr>
                  <w:t xml:space="preserve">Numatomas teigiamas poveikis perėjimui prie klimatui neutralios ir žiedinės ekonomikos. </w:t>
                </w:r>
              </w:p>
            </w:tc>
          </w:tr>
        </w:tbl>
        <w:p>
          <w:pPr>
            <w:spacing w:line="259" w:lineRule="auto"/>
            <w:rPr>
              <w:color w:val="000000"/>
              <w:szCs w:val="24"/>
            </w:rPr>
          </w:pPr>
        </w:p>
        <w:p>
          <w:pPr>
            <w:rPr>
              <w:sz w:val="10"/>
              <w:szCs w:val="10"/>
            </w:rPr>
          </w:pPr>
        </w:p>
        <w:tbl>
          <w:tblPr>
            <w:tblW w:w="0" w:type="auto"/>
            <w:tblLayout w:type="fixed"/>
            <w:tblLook w:val="00A0" w:firstRow="1" w:lastRow="0" w:firstColumn="1" w:lastColumn="0" w:noHBand="0" w:noVBand="0"/>
          </w:tblPr>
          <w:tblGrid>
            <w:gridCol w:w="4508"/>
            <w:gridCol w:w="4956"/>
          </w:tblGrid>
          <w:tr>
            <w:tc>
              <w:tcPr>
                <w:tcW w:w="4508" w:type="dxa"/>
                <w:shd w:val="clear" w:color="auto" w:fill="D9E2F3" w:themeFill="accent1" w:themeFillTint="33"/>
              </w:tcPr>
              <w:p>
                <w:pPr>
                  <w:spacing w:line="259" w:lineRule="auto"/>
                  <w:rPr>
                    <w:szCs w:val="24"/>
                  </w:rPr>
                </w:pPr>
                <w:r>
                  <w:rPr>
                    <w:b/>
                    <w:bCs/>
                    <w:szCs w:val="24"/>
                  </w:rPr>
                  <w:t xml:space="preserve">Poveikis </w:t>
                </w:r>
              </w:p>
              <w:p>
                <w:pPr>
                  <w:spacing w:line="259" w:lineRule="auto"/>
                  <w:rPr>
                    <w:szCs w:val="24"/>
                  </w:rPr>
                </w:pPr>
                <w:r>
                  <w:rPr>
                    <w:b/>
                    <w:bCs/>
                    <w:szCs w:val="24"/>
                  </w:rPr>
                  <w:t>valstybės finansams</w:t>
                </w:r>
              </w:p>
            </w:tc>
            <w:tc>
              <w:tcPr>
                <w:tcW w:w="4956" w:type="dxa"/>
              </w:tcPr>
              <w:p>
                <w:pPr>
                  <w:spacing w:line="259" w:lineRule="auto"/>
                  <w:jc w:val="both"/>
                  <w:rPr>
                    <w:szCs w:val="24"/>
                  </w:rPr>
                </w:pPr>
                <w:r>
                  <w:rPr>
                    <w:szCs w:val="24"/>
                  </w:rPr>
                  <w:t xml:space="preserve">Perkant prekes, paslaugas ir darbus, kurie atitinka ŽVP kriterijus gali išaugti išlaidos, susijusios su šių gaminių tiekimu. Tačiau tikėtina, kad augant „žalesnių“ produktų paklausai, didės jų pasiūla ir kainos mažės. Be to, atsižvelgus į visas būvio ciklo išlaidas, „žalesnių“ produktų valdymo ir šalinimo išlaidos yra mažesnės. </w:t>
                </w:r>
              </w:p>
            </w:tc>
          </w:tr>
        </w:tbl>
        <w:p>
          <w:pPr>
            <w:spacing w:line="259" w:lineRule="auto"/>
            <w:rPr>
              <w:color w:val="000000"/>
              <w:szCs w:val="24"/>
            </w:rPr>
          </w:pPr>
        </w:p>
        <w:p>
          <w:pPr>
            <w:rPr>
              <w:sz w:val="10"/>
              <w:szCs w:val="10"/>
            </w:rPr>
          </w:pPr>
        </w:p>
        <w:tbl>
          <w:tblPr>
            <w:tblW w:w="0" w:type="auto"/>
            <w:tblLayout w:type="fixed"/>
            <w:tblLook w:val="00A0" w:firstRow="1" w:lastRow="0" w:firstColumn="1" w:lastColumn="0" w:noHBand="0" w:noVBand="0"/>
          </w:tblPr>
          <w:tblGrid>
            <w:gridCol w:w="4508"/>
            <w:gridCol w:w="4814"/>
          </w:tblGrid>
          <w:tr>
            <w:tc>
              <w:tcPr>
                <w:tcW w:w="4508" w:type="dxa"/>
                <w:shd w:val="clear" w:color="auto" w:fill="D9E2F3" w:themeFill="accent1" w:themeFillTint="33"/>
              </w:tcPr>
              <w:p>
                <w:pPr>
                  <w:spacing w:line="259" w:lineRule="auto"/>
                  <w:rPr>
                    <w:szCs w:val="24"/>
                  </w:rPr>
                </w:pPr>
                <w:r>
                  <w:rPr>
                    <w:b/>
                    <w:bCs/>
                    <w:szCs w:val="24"/>
                  </w:rPr>
                  <w:t>Poveikis administracinei naštai</w:t>
                </w:r>
              </w:p>
            </w:tc>
            <w:tc>
              <w:tcPr>
                <w:tcW w:w="4814" w:type="dxa"/>
              </w:tcPr>
              <w:p>
                <w:pPr>
                  <w:spacing w:line="259" w:lineRule="auto"/>
                  <w:jc w:val="both"/>
                  <w:rPr>
                    <w:szCs w:val="24"/>
                    <w:highlight w:val="yellow"/>
                  </w:rPr>
                </w:pPr>
                <w:r>
                  <w:rPr>
                    <w:szCs w:val="24"/>
                  </w:rPr>
                  <w:t xml:space="preserve">Poveikio administracinei naštai nebus, nes naujų funkcijų ir (ar) prievolių įsakymo projektų nepavedama. </w:t>
                </w:r>
              </w:p>
            </w:tc>
          </w:tr>
          <w:tr>
            <w:tc>
              <w:tcPr>
                <w:tcW w:w="4508" w:type="dxa"/>
              </w:tcPr>
              <w:p>
                <w:pPr>
                  <w:spacing w:line="259" w:lineRule="auto"/>
                  <w:rPr>
                    <w:szCs w:val="24"/>
                  </w:rPr>
                </w:pPr>
              </w:p>
              <w:p>
                <w:pPr>
                  <w:rPr>
                    <w:sz w:val="10"/>
                    <w:szCs w:val="10"/>
                  </w:rPr>
                </w:pPr>
              </w:p>
              <w:p>
                <w:pPr>
                  <w:spacing w:line="259" w:lineRule="auto"/>
                  <w:rPr>
                    <w:szCs w:val="24"/>
                  </w:rPr>
                </w:pPr>
                <w:r>
                  <w:rPr>
                    <w:b/>
                    <w:bCs/>
                    <w:szCs w:val="24"/>
                  </w:rPr>
                  <w:t xml:space="preserve">Kita svarbi </w:t>
                </w:r>
              </w:p>
              <w:p>
                <w:pPr>
                  <w:spacing w:line="259" w:lineRule="auto"/>
                  <w:rPr>
                    <w:szCs w:val="24"/>
                  </w:rPr>
                </w:pPr>
                <w:r>
                  <w:rPr>
                    <w:b/>
                    <w:bCs/>
                    <w:szCs w:val="24"/>
                  </w:rPr>
                  <w:t xml:space="preserve">informacija                   </w:t>
                </w:r>
                <w:r>
                  <w:rPr>
                    <w:szCs w:val="24"/>
                  </w:rPr>
                  <w:t>Nėra.</w:t>
                </w:r>
              </w:p>
              <w:p>
                <w:pPr>
                  <w:rPr>
                    <w:sz w:val="14"/>
                    <w:szCs w:val="14"/>
                  </w:rPr>
                </w:pPr>
              </w:p>
              <w:p>
                <w:pPr>
                  <w:spacing w:line="259" w:lineRule="auto"/>
                  <w:rPr>
                    <w:szCs w:val="24"/>
                  </w:rPr>
                </w:pPr>
              </w:p>
            </w:tc>
            <w:tc>
              <w:tcPr>
                <w:tcW w:w="4814" w:type="dxa"/>
              </w:tcPr>
              <w:p>
                <w:pPr>
                  <w:spacing w:line="259" w:lineRule="auto"/>
                  <w:rPr>
                    <w:szCs w:val="24"/>
                  </w:rPr>
                </w:pPr>
              </w:p>
            </w:tc>
          </w:tr>
          <w:tr>
            <w:tc>
              <w:tcPr>
                <w:tcW w:w="4508" w:type="dxa"/>
              </w:tcPr>
              <w:p>
                <w:pPr>
                  <w:spacing w:line="259" w:lineRule="auto"/>
                  <w:ind w:left="1298"/>
                  <w:rPr>
                    <w:color w:val="000000"/>
                    <w:szCs w:val="24"/>
                  </w:rPr>
                </w:pPr>
                <w:r>
                  <w:rPr>
                    <w:color w:val="000000"/>
                    <w:szCs w:val="24"/>
                  </w:rPr>
                  <w:t>Vardas ir pavardė</w:t>
                </w:r>
              </w:p>
            </w:tc>
            <w:tc>
              <w:tcPr>
                <w:tcW w:w="4814" w:type="dxa"/>
              </w:tcPr>
              <w:p>
                <w:pPr>
                  <w:spacing w:line="259" w:lineRule="auto"/>
                  <w:ind w:left="1298"/>
                  <w:rPr>
                    <w:color w:val="000000"/>
                    <w:szCs w:val="24"/>
                  </w:rPr>
                </w:pPr>
                <w:r>
                  <w:rPr>
                    <w:color w:val="000000"/>
                    <w:szCs w:val="24"/>
                  </w:rPr>
                  <w:t>Arnas Liauksminas</w:t>
                </w:r>
              </w:p>
            </w:tc>
          </w:tr>
          <w:tr>
            <w:tc>
              <w:tcPr>
                <w:tcW w:w="4508" w:type="dxa"/>
              </w:tcPr>
              <w:p>
                <w:pPr>
                  <w:spacing w:line="259" w:lineRule="auto"/>
                  <w:ind w:left="1298"/>
                  <w:rPr>
                    <w:color w:val="000000"/>
                    <w:szCs w:val="24"/>
                  </w:rPr>
                </w:pPr>
                <w:r>
                  <w:rPr>
                    <w:color w:val="000000"/>
                    <w:szCs w:val="24"/>
                  </w:rPr>
                  <w:t>Pareigos</w:t>
                </w:r>
              </w:p>
            </w:tc>
            <w:tc>
              <w:tcPr>
                <w:tcW w:w="4814" w:type="dxa"/>
              </w:tcPr>
              <w:p>
                <w:pPr>
                  <w:spacing w:line="259" w:lineRule="auto"/>
                  <w:ind w:left="1298"/>
                  <w:rPr>
                    <w:szCs w:val="24"/>
                  </w:rPr>
                </w:pPr>
                <w:r>
                  <w:rPr>
                    <w:color w:val="000000"/>
                    <w:szCs w:val="24"/>
                  </w:rPr>
                  <w:t xml:space="preserve">Strateginių pokyčių grupės vyr. specialistas </w:t>
                </w:r>
              </w:p>
            </w:tc>
          </w:tr>
          <w:tr>
            <w:tc>
              <w:tcPr>
                <w:tcW w:w="4508" w:type="dxa"/>
              </w:tcPr>
              <w:p>
                <w:pPr>
                  <w:spacing w:line="259" w:lineRule="auto"/>
                  <w:ind w:left="1298"/>
                  <w:rPr>
                    <w:color w:val="000000"/>
                    <w:szCs w:val="24"/>
                  </w:rPr>
                </w:pPr>
                <w:r>
                  <w:rPr>
                    <w:color w:val="000000"/>
                    <w:szCs w:val="24"/>
                  </w:rPr>
                  <w:t>Institucija (padalinys)</w:t>
                </w:r>
              </w:p>
            </w:tc>
            <w:tc>
              <w:tcPr>
                <w:tcW w:w="4814" w:type="dxa"/>
              </w:tcPr>
              <w:p>
                <w:pPr>
                  <w:spacing w:line="259" w:lineRule="auto"/>
                  <w:ind w:left="1298"/>
                  <w:rPr>
                    <w:color w:val="000000"/>
                    <w:szCs w:val="24"/>
                  </w:rPr>
                </w:pPr>
                <w:r>
                  <w:rPr>
                    <w:color w:val="000000"/>
                    <w:szCs w:val="24"/>
                  </w:rPr>
                  <w:t xml:space="preserve">AM Strateginių pokyčių grupė  </w:t>
                </w:r>
              </w:p>
            </w:tc>
          </w:tr>
          <w:tr>
            <w:tc>
              <w:tcPr>
                <w:tcW w:w="4508" w:type="dxa"/>
              </w:tcPr>
              <w:p>
                <w:pPr>
                  <w:spacing w:line="259" w:lineRule="auto"/>
                  <w:ind w:left="1298"/>
                  <w:rPr>
                    <w:color w:val="000000"/>
                    <w:szCs w:val="24"/>
                  </w:rPr>
                </w:pPr>
                <w:r>
                  <w:rPr>
                    <w:color w:val="000000"/>
                    <w:szCs w:val="24"/>
                  </w:rPr>
                  <w:t>Telefono numeris ir elektroninio pašto adresas</w:t>
                </w:r>
              </w:p>
            </w:tc>
            <w:tc>
              <w:tcPr>
                <w:tcW w:w="4814" w:type="dxa"/>
              </w:tcPr>
              <w:p>
                <w:pPr>
                  <w:spacing w:line="259" w:lineRule="auto"/>
                  <w:ind w:left="1298"/>
                  <w:rPr>
                    <w:rFonts w:ascii="Arial" w:hAnsi="Arial" w:cs="Arial"/>
                    <w:spacing w:val="5"/>
                    <w:sz w:val="23"/>
                    <w:szCs w:val="23"/>
                    <w:shd w:val="clear" w:color="auto" w:fill="212121"/>
                  </w:rPr>
                </w:pPr>
                <w:r>
                  <w:rPr>
                    <w:color w:val="000000"/>
                    <w:szCs w:val="24"/>
                  </w:rPr>
                  <w:t xml:space="preserve">+370 614 08012 </w:t>
                </w:r>
              </w:p>
              <w:p>
                <w:pPr>
                  <w:rPr>
                    <w:sz w:val="10"/>
                    <w:szCs w:val="10"/>
                  </w:rPr>
                </w:pPr>
              </w:p>
              <w:p>
                <w:pPr>
                  <w:spacing w:line="259" w:lineRule="auto"/>
                  <w:ind w:left="1298"/>
                  <w:rPr>
                    <w:color w:val="000000"/>
                    <w:szCs w:val="24"/>
                  </w:rPr>
                </w:pPr>
                <w:r>
                  <w:rPr>
                    <w:color w:val="0563C1"/>
                    <w:szCs w:val="24"/>
                    <w:u w:val="single"/>
                  </w:rPr>
                  <w:t>arnas.liauksminas@am.lt</w:t>
                </w:r>
                <w:r>
                  <w:rPr>
                    <w:color w:val="000000"/>
                    <w:szCs w:val="24"/>
                  </w:rPr>
                  <w:t xml:space="preserve"> </w:t>
                </w:r>
                <w:r>
                  <w:rPr>
                    <w:color w:val="000000"/>
                    <w:szCs w:val="24"/>
                  </w:rPr>
                  <w:t xml:space="preserve"> </w:t>
                </w:r>
              </w:p>
            </w:tc>
          </w:tr>
        </w:tbl>
        <w:sdt>
          <w:sdtPr>
            <w:alias w:val="pabaiga"/>
            <w:tag w:val="part_f9d2a77e122441859e99685ed956be6b"/>
            <w:lock w:val="sdtLocked"/>
            <w:richText/>
          </w:sdtPr>
          <w:sdtContent>
            <w:p>
              <w:pPr>
                <w:tabs>
                  <w:tab w:val="center" w:pos="4680"/>
                  <w:tab w:val="left" w:pos="6237"/>
                  <w:tab w:val="right" w:pos="9360"/>
                </w:tabs>
                <w:spacing w:line="360" w:lineRule="atLeast"/>
                <w:jc w:val="center"/>
                <w:rPr>
                  <w:sz w:val="22"/>
                  <w:szCs w:val="22"/>
                </w:rPr>
              </w:pPr>
              <w:r>
                <w:rPr>
                  <w:color w:val="000000"/>
                  <w:szCs w:val="24"/>
                </w:rPr>
                <w:t>__________________</w:t>
              </w:r>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3410B6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1" Type="http://schemas.openxmlformats.org/officeDocument/2006/relationships/fontTable" Target="fontTable.xml"/>
  <Relationship Id="rId12" Type="http://schemas.openxmlformats.org/officeDocument/2006/relationships/theme" Target="theme/theme1.xml"/>
  <Relationship Id="rId13"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settings" Target="settings.xml"/>
  <Relationship Id="rId8"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9" ma:contentTypeDescription="Create a new document." ma:contentTypeScope="" ma:versionID="9e4d0c4ad520c4464afe70220765765c">
  <xsd:schema xmlns:xsd="http://www.w3.org/2001/XMLSchema" xmlns:xs="http://www.w3.org/2001/XMLSchema" xmlns:p="http://schemas.microsoft.com/office/2006/metadata/properties" xmlns:ns2="f5aad5d0-9c26-490e-8743-a6c7ceabd501" targetNamespace="http://schemas.microsoft.com/office/2006/metadata/properties" ma:root="true" ma:fieldsID="f0c14dbcd7e826adf5595f1080a29bfa" ns2:_="">
    <xsd:import namespace="f5aad5d0-9c26-490e-8743-a6c7ceabd501"/>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bfbc1a48982d4bdf85db08c82fad9f26" PartId="88c14f611af1496f8e096c47c57ddf36">
    <Part Type="pabaiga" DocPartId="7bac91fa20524209a566db1ce8b8c27c" PartId="f9d2a77e122441859e99685ed956be6b"/>
  </Part>
</Parts>
</file>

<file path=customXml/itemProps1.xml><?xml version="1.0" encoding="utf-8"?>
<ds:datastoreItem xmlns:ds="http://schemas.openxmlformats.org/officeDocument/2006/customXml" ds:itemID="{9A5A44E3-789A-4F0F-8339-F3FEF094358C}">
  <ds:schemaRefs>
    <ds:schemaRef ds:uri="http://schemas.microsoft.com/sharepoint/v3/contenttype/forms"/>
  </ds:schemaRefs>
</ds:datastoreItem>
</file>

<file path=customXml/itemProps2.xml><?xml version="1.0" encoding="utf-8"?>
<ds:datastoreItem xmlns:ds="http://schemas.openxmlformats.org/officeDocument/2006/customXml" ds:itemID="{883BD080-D10C-46EA-BE29-6362B6B57F9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aad5d0-9c26-490e-8743-a6c7ceabd50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BC7C7CA-4D24-45A6-AF3D-C98C8AA9D0C1}">
  <ds:schemaRefs>
    <ds:schemaRef ds:uri="http://purl.org/dc/elements/1.1/"/>
    <ds:schemaRef ds:uri="http://schemas.microsoft.com/office/2006/documentManagement/types"/>
    <ds:schemaRef ds:uri="f5aad5d0-9c26-490e-8743-a6c7ceabd501"/>
    <ds:schemaRef ds:uri="http://purl.org/dc/terms/"/>
    <ds:schemaRef ds:uri="http://schemas.openxmlformats.org/package/2006/metadata/core-properties"/>
    <ds:schemaRef ds:uri="http://purl.org/dc/dcmitype/"/>
    <ds:schemaRef ds:uri="http://schemas.microsoft.com/office/infopath/2007/PartnerControls"/>
    <ds:schemaRef ds:uri="http://schemas.microsoft.com/office/2006/metadata/properties"/>
    <ds:schemaRef ds:uri="http://www.w3.org/XML/1998/namespace"/>
  </ds:schemaRefs>
</ds:datastoreItem>
</file>

<file path=customXml/itemProps4.xml><?xml version="1.0" encoding="utf-8"?>
<ds:datastoreItem xmlns:ds="http://schemas.openxmlformats.org/officeDocument/2006/customXml" ds:itemID="{9A94323B-6E1D-4FBC-A41E-30D4558D9728}">
  <ds:schemaRefs>
    <ds:schemaRef ds:uri="http://schemas.openxmlformats.org/officeDocument/2006/bibliography"/>
  </ds:schemaRefs>
</ds:datastoreItem>
</file>

<file path=customXml/itemProps5.xml><?xml version="1.0" encoding="utf-8"?>
<ds:datastoreItem xmlns:ds="http://schemas.openxmlformats.org/officeDocument/2006/customXml" ds:itemID="{B606AE45-D542-4A0B-BA2D-D0438F8A228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385</Words>
  <Characters>2883</Characters>
  <Application>Microsoft Office Word</Application>
  <DocSecurity>4</DocSecurity>
  <Lines>102</Lines>
  <Paragraphs>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3232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2021-03-12T13:45:00Z</dcterms:created>
  <dc:creator>Livija Šepetytė</dc:creator>
  <lastModifiedBy>adlibuser</lastModifiedBy>
  <dcterms:modified xsi:type="dcterms:W3CDTF">2021-03-12T13:45:00Z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