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a43d2a450944406b66356cbecd48de9"/>
        <w:lock w:val="sdtLocked"/>
        <w:richText/>
      </w:sdtPr>
      <w:sdtContent>
        <w:p>
          <w:pPr>
            <w:jc w:val="right"/>
            <w:rPr>
              <w:lang w:eastAsia="lt-LT"/>
            </w:rPr>
          </w:pPr>
          <w:r>
            <w:rPr>
              <w:lang w:eastAsia="lt-LT"/>
            </w:rPr>
            <w:t>Projektas</w:t>
          </w:r>
        </w:p>
        <w:p>
          <w:pPr>
            <w:jc w:val="center"/>
            <w:rPr>
              <w:lang w:eastAsia="lt-LT"/>
            </w:rPr>
          </w:pP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spacing w:line="276" w:lineRule="auto"/>
            <w:jc w:val="center"/>
            <w:rPr>
              <w:b/>
            </w:rPr>
          </w:pPr>
          <w:r>
            <w:rPr>
              <w:b/>
            </w:rPr>
            <w:t xml:space="preserve">DĖL </w:t>
          </w:r>
          <w:r>
            <w:rPr>
              <w:b/>
              <w:bCs/>
              <w:caps/>
            </w:rPr>
            <w:t>LIETUVOS RESPUBLIKOS VYRIAUSYBĖS 2010 M. LIEPOS 21 D. NUTARIMO NR.1133 „</w:t>
          </w:r>
          <w:r>
            <w:rPr>
              <w:b/>
              <w:bCs/>
              <w:color w:val="000000"/>
            </w:rPr>
            <w:t>DĖL </w:t>
          </w:r>
          <w:r>
            <w:rPr>
              <w:b/>
              <w:bCs/>
              <w:caps/>
              <w:color w:val="000000"/>
            </w:rPr>
            <w:t xml:space="preserve">LIETUVOS RESPUBLIKOS VYRIAUSYBĖS 2007 M. RUGPJŪČIO 8 D. NUTARIMO NR. 804 </w:t>
          </w:r>
          <w:r>
            <w:rPr>
              <w:b/>
              <w:bCs/>
              <w:caps/>
            </w:rPr>
            <w:t>„DĖL NACIONALINĖS ŽALIŲJŲ PIRKIMŲ ĮGYVENDINIMO PROGRAMOS PATVIRTINIMO“ IR JĮ KEITUSIŲ NUTARIMŲ PRIPAŽINIMO NETEKUSIAIS GALIOS“ Pakeitimo</w:t>
          </w:r>
        </w:p>
        <w:p>
          <w:pPr>
            <w:tabs>
              <w:tab w:val="center" w:pos="4153"/>
              <w:tab w:val="right" w:pos="8306"/>
            </w:tabs>
            <w:rPr>
              <w:lang w:eastAsia="lt-LT"/>
            </w:rPr>
          </w:pPr>
        </w:p>
        <w:p>
          <w:pPr>
            <w:jc w:val="center"/>
            <w:rPr>
              <w:lang w:eastAsia="lt-LT"/>
            </w:rPr>
          </w:pPr>
          <w:r>
            <w:rPr>
              <w:lang w:eastAsia="lt-LT"/>
            </w:rPr>
            <w:t xml:space="preserve">2021 m.        Nr. </w:t>
          </w:r>
        </w:p>
        <w:p>
          <w:pPr>
            <w:jc w:val="center"/>
            <w:rPr>
              <w:lang w:eastAsia="lt-LT"/>
            </w:rPr>
          </w:pPr>
          <w:r>
            <w:rPr>
              <w:lang w:eastAsia="lt-LT"/>
            </w:rPr>
            <w:t>Vilnius</w:t>
          </w:r>
        </w:p>
        <w:p>
          <w:pPr>
            <w:jc w:val="center"/>
            <w:rPr>
              <w:lang w:eastAsia="lt-LT"/>
            </w:rPr>
          </w:pPr>
        </w:p>
        <w:sdt>
          <w:sdtPr>
            <w:alias w:val="preambule"/>
            <w:tag w:val="part_417de73ddcd7419fbc32c77c37a05300"/>
            <w:lock w:val="sdtLocked"/>
            <w:richText/>
          </w:sdtPr>
          <w:sdtContent>
            <w:p>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e30e1ce4770a47aa8f7104d7b08838fc"/>
            <w:lock w:val="sdtLocked"/>
            <w:richText/>
          </w:sdtPr>
          <w:sdtContent>
            <w:p>
              <w:pPr>
                <w:tabs>
                  <w:tab w:val="left" w:pos="851"/>
                </w:tabs>
                <w:spacing w:line="276" w:lineRule="auto"/>
                <w:ind w:firstLine="709"/>
                <w:jc w:val="both"/>
                <w:rPr>
                  <w:lang w:eastAsia="lt-LT"/>
                </w:rPr>
              </w:pPr>
              <w:r>
                <w:rPr>
                  <w:lang w:val="en-US" w:eastAsia="lt-LT"/>
                </w:rPr>
                <w:t>P</w:t>
              </w:r>
              <w:r>
                <w:rPr>
                  <w:lang w:eastAsia="lt-LT"/>
                </w:rPr>
                <w:t xml:space="preserve">akeisti Lietuvos Respublikos </w:t>
              </w:r>
              <w:r>
                <w:rPr>
                  <w:lang w:val="en-US" w:eastAsia="lt-LT"/>
                </w:rPr>
                <w:t xml:space="preserve">2010 m. liepos 21 </w:t>
              </w:r>
              <w:r>
                <w:rPr>
                  <w:lang w:eastAsia="lt-LT"/>
                </w:rPr>
                <w:t xml:space="preserve">d. nutarimą Nr. </w:t>
              </w:r>
              <w:r>
                <w:rPr>
                  <w:lang w:val="en-US" w:eastAsia="lt-LT"/>
                </w:rPr>
                <w:t>1133 „Dėl Lietuvos Respublikos Vyriausybės 2007 m. rugpjūčio 8 d. nutarimo Nr. 804 „Dėl Nacionalinės žaliųjų pirkimų įgyvendinimo programos patvirtinimo“ ir jį keitusių nutarimų pripažinimo netekusiais galios“ ir j</w:t>
              </w:r>
              <w:r>
                <w:rPr>
                  <w:lang w:eastAsia="lt-LT"/>
                </w:rPr>
                <w:t>į išdėstyti nauja redakcija:</w:t>
              </w:r>
            </w:p>
            <w:p>
              <w:pPr>
                <w:spacing w:line="276" w:lineRule="auto"/>
                <w:jc w:val="both"/>
                <w:rPr>
                  <w:szCs w:val="24"/>
                  <w:lang w:eastAsia="lt-LT"/>
                </w:rPr>
              </w:pPr>
            </w:p>
            <w:sdt>
              <w:sdtPr>
                <w:alias w:val="citata"/>
                <w:tag w:val="part_f703d6cdb3c7481494745df961c45972"/>
                <w:lock w:val="sdtLocked"/>
                <w:richText/>
              </w:sdtPr>
              <w:sdtContent>
                <w:sdt>
                  <w:sdtPr>
                    <w:alias w:val="pagrindine"/>
                    <w:tag w:val="part_146aef76bdcc447ab3148a52fd8589d2"/>
                    <w:lock w:val="sdtLocked"/>
                    <w:richText/>
                  </w:sdtPr>
                  <w:sdtContent>
                    <w:p>
                      <w:pPr>
                        <w:spacing w:line="276" w:lineRule="auto"/>
                        <w:jc w:val="center"/>
                        <w:rPr>
                          <w:b/>
                          <w:szCs w:val="24"/>
                          <w:lang w:eastAsia="lt-LT"/>
                        </w:rPr>
                      </w:pPr>
                      <w:r>
                        <w:rPr>
                          <w:szCs w:val="24"/>
                          <w:lang w:eastAsia="lt-LT"/>
                        </w:rPr>
                        <w:t>„</w:t>
                      </w:r>
                      <w:r>
                        <w:rPr>
                          <w:b/>
                          <w:szCs w:val="24"/>
                          <w:lang w:eastAsia="lt-LT"/>
                        </w:rPr>
                        <w:t>LIETUVOS RESPUBLIKOS VYRIAUSYBĖ</w:t>
                      </w:r>
                    </w:p>
                    <w:p>
                      <w:pPr>
                        <w:spacing w:line="276" w:lineRule="auto"/>
                        <w:jc w:val="center"/>
                        <w:rPr>
                          <w:b/>
                          <w:szCs w:val="24"/>
                          <w:lang w:eastAsia="lt-LT"/>
                        </w:rPr>
                      </w:pPr>
                    </w:p>
                    <w:p>
                      <w:pPr>
                        <w:spacing w:line="276" w:lineRule="auto"/>
                        <w:jc w:val="center"/>
                        <w:rPr>
                          <w:b/>
                          <w:szCs w:val="24"/>
                          <w:lang w:eastAsia="lt-LT"/>
                        </w:rPr>
                      </w:pPr>
                      <w:r>
                        <w:rPr>
                          <w:b/>
                          <w:szCs w:val="24"/>
                          <w:lang w:eastAsia="lt-LT"/>
                        </w:rPr>
                        <w:t>NUTARIMAS</w:t>
                      </w:r>
                    </w:p>
                    <w:p>
                      <w:pPr>
                        <w:spacing w:line="276" w:lineRule="auto"/>
                        <w:jc w:val="center"/>
                        <w:rPr>
                          <w:b/>
                          <w:szCs w:val="24"/>
                          <w:lang w:eastAsia="lt-LT"/>
                        </w:rPr>
                      </w:pPr>
                      <w:r>
                        <w:rPr>
                          <w:b/>
                          <w:szCs w:val="24"/>
                          <w:lang w:eastAsia="lt-LT"/>
                        </w:rPr>
                        <w:t>DĖL ŽALIŲJŲ PIRKIMŲ TIKSLŲ NUSTATYMO IR ĮGYVENDINIMO</w:t>
                      </w:r>
                    </w:p>
                    <w:p>
                      <w:pPr>
                        <w:spacing w:line="276" w:lineRule="auto"/>
                        <w:jc w:val="both"/>
                        <w:rPr>
                          <w:lang w:eastAsia="lt-LT"/>
                        </w:rPr>
                      </w:pPr>
                    </w:p>
                    <w:sdt>
                      <w:sdtPr>
                        <w:alias w:val="preambule"/>
                        <w:tag w:val="part_2cfc5ffd66fe48539d8e8bd926698f1b"/>
                        <w:lock w:val="sdtLocked"/>
                        <w:richText/>
                      </w:sdtPr>
                      <w:sdtContent>
                        <w:p>
                          <w:pPr>
                            <w:spacing w:line="276" w:lineRule="auto"/>
                            <w:ind w:firstLine="709"/>
                            <w:jc w:val="both"/>
                          </w:pPr>
                          <w:r>
                            <w:t xml:space="preserve">Vadovaudamasi Lietuvos Respublikos viešųjų pirkimų įstatymo 35 straipsnio 2 dalies 12 punktu, 92 straipsniu, Lietuvos Respublikos pirkimų, atliekamų vandentvarkos, energetikos, transporto ar pašto paslaugų srities perkančiųjų subjektų, įstatymo 48 straipsnio 2 dalies 11 punktu, atsižvelgdama į Aštuonioliktosios Lietuvos Respublikos Vyriausybės programos, kuriai pritarta Lietuvos Respublikos Seimo </w:t>
                          </w:r>
                          <w:r>
                            <w:rPr>
                              <w:lang w:val="en-US"/>
                            </w:rPr>
                            <w:t xml:space="preserve">2020 m. gruodžio 11 d. nutarimu Nr. XIV-72 </w:t>
                          </w:r>
                          <w:r>
                            <w:t xml:space="preserve">„Dėl Aštuonioliktosios Lietuvos Respublikos Vyriausybės programos“, 155.4 papunktį ir siekdama skatinti žaliųjų pirkimų vykdymą, Lietuvos Respublikos Vyriausybė </w:t>
                          </w:r>
                          <w:r>
                            <w:rPr>
                              <w:spacing w:val="50"/>
                            </w:rPr>
                            <w:t>nutaria</w:t>
                          </w:r>
                          <w:r>
                            <w:t xml:space="preserve">: </w:t>
                          </w:r>
                        </w:p>
                      </w:sdtContent>
                    </w:sdt>
                    <w:sdt>
                      <w:sdtPr>
                        <w:alias w:val="1 p."/>
                        <w:tag w:val="part_1e6dbce3544a4f20b23126a3d63a2a2e"/>
                        <w:lock w:val="sdtLocked"/>
                        <w:richText/>
                      </w:sdtPr>
                      <w:sdtContent>
                        <w:p>
                          <w:pPr>
                            <w:ind w:firstLine="709"/>
                            <w:jc w:val="both"/>
                            <w:rPr>
                              <w:lang w:eastAsia="lt-LT"/>
                            </w:rPr>
                          </w:pPr>
                          <w:sdt>
                            <w:sdtPr>
                              <w:alias w:val="Numeris"/>
                              <w:tag w:val="nr_1e6dbce3544a4f20b23126a3d63a2a2e"/>
                              <w:lock w:val="sdtLocked"/>
                              <w:richText/>
                            </w:sdtPr>
                            <w:sdtContent>
                              <w:r>
                                <w:rPr>
                                  <w:rFonts w:eastAsia="Calibri"/>
                                  <w:szCs w:val="22"/>
                                  <w:lang w:eastAsia="lt-LT"/>
                                </w:rPr>
                                <w:t>1</w:t>
                              </w:r>
                            </w:sdtContent>
                          </w:sdt>
                          <w:r>
                            <w:rPr>
                              <w:rFonts w:eastAsia="Calibri"/>
                              <w:szCs w:val="22"/>
                              <w:lang w:eastAsia="lt-LT"/>
                            </w:rPr>
                            <w:t xml:space="preserve">. </w:t>
                          </w:r>
                          <w:r>
                            <w:rPr>
                              <w:lang w:eastAsia="lt-LT"/>
                            </w:rPr>
                            <w:t>Nustatyti, kad Lietuvos Respublikos viešųjų pirkimų įstatyme apibrėžtos perkančiosios organizacijos ir Lietuvos Respublikos pirkimų, atliekamų vandentvarkos, energetikos, transporto ar pašto paslaugų srities perkančiųjų subjektų, įstatyme apibrėžti perkantieji subjektai, atlikdami prekių, paslaugų ir darbų viešuosius pirkimus ir (ar) pirkimus (toliau kartu – pirkimai), turi taikyti žaliųjų pirkimų reikalavimus, skaičiuojant pagal vertę nuo visų pirkimų (ne mažiau kaip 30 procentų tokių pirkimų nuo šio nutarimo įsigaliojimo iki 2021 metų pabaigos, ne mažiau kaip 60 procentų – 2022 metais, ne mažiau kaip 100 procentų – kiekvienais metais nuo 2023 metų), išskyrus, kai žaliųjų pirkimų reikalavimų taikymo išimtys numatytos Lietuvos Respublikos įstatymuose ir (ar) Lietuvos Respublikos Vyriausybės nutarimuose.</w:t>
                          </w:r>
                        </w:p>
                      </w:sdtContent>
                    </w:sdt>
                    <w:sdt>
                      <w:sdtPr>
                        <w:alias w:val="2 p."/>
                        <w:tag w:val="part_25a4aab3066e48e587d6ed11e622c97c"/>
                        <w:lock w:val="sdtLocked"/>
                        <w:richText/>
                      </w:sdtPr>
                      <w:sdtContent>
                        <w:p>
                          <w:pPr>
                            <w:ind w:firstLine="709"/>
                            <w:jc w:val="both"/>
                            <w:rPr>
                              <w:lang w:eastAsia="lt-LT"/>
                            </w:rPr>
                          </w:pPr>
                          <w:sdt>
                            <w:sdtPr>
                              <w:alias w:val="Numeris"/>
                              <w:tag w:val="nr_25a4aab3066e48e587d6ed11e622c97c"/>
                              <w:lock w:val="sdtLocked"/>
                              <w:richText/>
                            </w:sdtPr>
                            <w:sdtContent>
                              <w:r>
                                <w:rPr>
                                  <w:rFonts w:eastAsia="Calibri"/>
                                  <w:szCs w:val="22"/>
                                  <w:lang w:eastAsia="lt-LT"/>
                                </w:rPr>
                                <w:t>2</w:t>
                              </w:r>
                            </w:sdtContent>
                          </w:sdt>
                          <w:r>
                            <w:rPr>
                              <w:rFonts w:eastAsia="Calibri"/>
                              <w:szCs w:val="22"/>
                              <w:lang w:eastAsia="lt-LT"/>
                            </w:rPr>
                            <w:t xml:space="preserve">. </w:t>
                          </w:r>
                          <w:r>
                            <w:rPr>
                              <w:lang w:eastAsia="lt-LT"/>
                            </w:rPr>
                            <w:t>Pavesti Vyriausybei atskaitingiems subjektams, atsakingiems už Europos Sąjungos ir (ar) nacionalinių finansavimo programų lėšų skirstymą ir (ar) administravimą:</w:t>
                          </w:r>
                        </w:p>
                        <w:sdt>
                          <w:sdtPr>
                            <w:alias w:val="2.1 pp."/>
                            <w:tag w:val="part_e2dc87f985ac4c00842fb7753211d0cb"/>
                            <w:lock w:val="sdtLocked"/>
                            <w:richText/>
                          </w:sdtPr>
                          <w:sdtContent>
                            <w:p>
                              <w:pPr>
                                <w:ind w:firstLine="709"/>
                                <w:jc w:val="both"/>
                                <w:rPr>
                                  <w:lang w:eastAsia="lt-LT"/>
                                </w:rPr>
                              </w:pPr>
                              <w:sdt>
                                <w:sdtPr>
                                  <w:alias w:val="Numeris"/>
                                  <w:tag w:val="nr_e2dc87f985ac4c00842fb7753211d0cb"/>
                                  <w:lock w:val="sdtLocked"/>
                                  <w:richText/>
                                </w:sdtPr>
                                <w:sdtContent>
                                  <w:r>
                                    <w:rPr>
                                      <w:rFonts w:eastAsia="Calibri"/>
                                      <w:szCs w:val="22"/>
                                      <w:lang w:eastAsia="lt-LT"/>
                                    </w:rPr>
                                    <w:t>2.1</w:t>
                                  </w:r>
                                </w:sdtContent>
                              </w:sdt>
                              <w:r>
                                <w:rPr>
                                  <w:rFonts w:eastAsia="Calibri"/>
                                  <w:szCs w:val="22"/>
                                  <w:lang w:eastAsia="lt-LT"/>
                                </w:rPr>
                                <w:t xml:space="preserve">. </w:t>
                              </w:r>
                              <w:r>
                                <w:rPr>
                                  <w:lang w:eastAsia="lt-LT"/>
                                </w:rPr>
                                <w:t>rengiant ir (ar) atnaujinant esamą su Europos Sąjungos ir (ar) nacionalinių finansavimo programų lėšų skirstymu ir (ar) administravimu susijusį teisinį reguliavimą, įtraukti prievolę subjektams, įgyvendinantiems Europos Sąjungos ir (ar) nacionalinių finansavimo programų lėšomis finansuojamus projektus, atliekant pirkimus taikyti žaliųjų pirkimų reikalavimus.</w:t>
                              </w:r>
                            </w:p>
                          </w:sdtContent>
                        </w:sdt>
                        <w:sdt>
                          <w:sdtPr>
                            <w:alias w:val="2.2 pp."/>
                            <w:tag w:val="part_47c8ab58c3564be5a7b39f2ab349a786"/>
                            <w:lock w:val="sdtLocked"/>
                            <w:richText/>
                          </w:sdtPr>
                          <w:sdtContent>
                            <w:p>
                              <w:pPr>
                                <w:ind w:firstLine="709"/>
                                <w:jc w:val="both"/>
                                <w:rPr>
                                  <w:lang w:eastAsia="lt-LT"/>
                                </w:rPr>
                              </w:pPr>
                              <w:sdt>
                                <w:sdtPr>
                                  <w:alias w:val="Numeris"/>
                                  <w:tag w:val="nr_47c8ab58c3564be5a7b39f2ab349a786"/>
                                  <w:lock w:val="sdtLocked"/>
                                  <w:richText/>
                                </w:sdtPr>
                                <w:sdtContent>
                                  <w:r>
                                    <w:rPr>
                                      <w:rFonts w:eastAsia="Calibri"/>
                                      <w:szCs w:val="22"/>
                                      <w:lang w:eastAsia="lt-LT"/>
                                    </w:rPr>
                                    <w:t>2.2</w:t>
                                  </w:r>
                                </w:sdtContent>
                              </w:sdt>
                              <w:r>
                                <w:rPr>
                                  <w:rFonts w:eastAsia="Calibri"/>
                                  <w:szCs w:val="22"/>
                                  <w:lang w:eastAsia="lt-LT"/>
                                </w:rPr>
                                <w:t xml:space="preserve">. </w:t>
                              </w:r>
                              <w:r>
                                <w:rPr>
                                  <w:lang w:eastAsia="lt-LT"/>
                                </w:rPr>
                                <w:t>teikti derinti Aplinkos ministerijai teisės aktų projektus, kuriais rengiamas ir (ar) atnaujinamas teisinis reguliavimas, nustatantis Europos Sąjungos ir (ar) nacionalinių finansavimo programų lėšų skirstymą ir (ar) administravimą.</w:t>
                              </w:r>
                            </w:p>
                          </w:sdtContent>
                        </w:sdt>
                      </w:sdtContent>
                    </w:sdt>
                    <w:sdt>
                      <w:sdtPr>
                        <w:alias w:val="3 p."/>
                        <w:tag w:val="part_096257acc1654c888f0478d096427623"/>
                        <w:lock w:val="sdtLocked"/>
                        <w:richText/>
                      </w:sdtPr>
                      <w:sdtContent>
                        <w:p>
                          <w:pPr>
                            <w:ind w:left="993" w:hanging="284"/>
                            <w:jc w:val="both"/>
                            <w:rPr>
                              <w:lang w:eastAsia="lt-LT"/>
                            </w:rPr>
                          </w:pPr>
                          <w:sdt>
                            <w:sdtPr>
                              <w:alias w:val="Numeris"/>
                              <w:tag w:val="nr_096257acc1654c888f0478d096427623"/>
                              <w:lock w:val="sdtLocked"/>
                              <w:richText/>
                            </w:sdtPr>
                            <w:sdtContent>
                              <w:r>
                                <w:rPr>
                                  <w:rFonts w:eastAsia="Calibri"/>
                                  <w:szCs w:val="22"/>
                                  <w:lang w:eastAsia="lt-LT"/>
                                </w:rPr>
                                <w:t>3</w:t>
                              </w:r>
                            </w:sdtContent>
                          </w:sdt>
                          <w:r>
                            <w:rPr>
                              <w:rFonts w:eastAsia="Calibri"/>
                              <w:szCs w:val="22"/>
                              <w:lang w:eastAsia="lt-LT"/>
                            </w:rPr>
                            <w:t xml:space="preserve">. </w:t>
                          </w:r>
                          <w:r>
                            <w:rPr>
                              <w:lang w:eastAsia="lt-LT"/>
                            </w:rPr>
                            <w:t xml:space="preserve">Rekomenduoti Viešųjų pirkimų tarnybai: </w:t>
                          </w:r>
                        </w:p>
                        <w:sdt>
                          <w:sdtPr>
                            <w:alias w:val="3.1 pp."/>
                            <w:tag w:val="part_987129c1a4684a26bc4cc4c7a19a1036"/>
                            <w:lock w:val="sdtLocked"/>
                            <w:richText/>
                          </w:sdtPr>
                          <w:sdtContent>
                            <w:p>
                              <w:pPr>
                                <w:spacing w:line="276" w:lineRule="auto"/>
                                <w:ind w:firstLine="709"/>
                                <w:jc w:val="both"/>
                                <w:rPr>
                                  <w:lang w:eastAsia="lt-LT"/>
                                </w:rPr>
                              </w:pPr>
                              <w:sdt>
                                <w:sdtPr>
                                  <w:alias w:val="Numeris"/>
                                  <w:tag w:val="nr_987129c1a4684a26bc4cc4c7a19a1036"/>
                                  <w:lock w:val="sdtLocked"/>
                                  <w:richText/>
                                </w:sdtPr>
                                <w:sdtContent>
                                  <w:r>
                                    <w:rPr>
                                      <w:lang w:eastAsia="lt-LT"/>
                                    </w:rPr>
                                    <w:t>3.1</w:t>
                                  </w:r>
                                </w:sdtContent>
                              </w:sdt>
                              <w:r>
                                <w:rPr>
                                  <w:lang w:eastAsia="lt-LT"/>
                                </w:rPr>
                                <w:t>. tobulinti perkančiųjų organizacijų ir perkančiųjų subjektų kompetencijas žaliųjų pirkimų srityje, gerinti informacijos apie žaliuosius pirkimus rinkimą ir sisteminimą, stiprinti konsultavimą žaliųjų pirkimų vykdymo klausimais;</w:t>
                              </w:r>
                            </w:p>
                          </w:sdtContent>
                        </w:sdt>
                        <w:sdt>
                          <w:sdtPr>
                            <w:alias w:val="3.2 pp."/>
                            <w:tag w:val="part_c0ae96ac6f674b5294274c6497949724"/>
                            <w:lock w:val="sdtLocked"/>
                            <w:richText/>
                          </w:sdtPr>
                          <w:sdtContent>
                            <w:p>
                              <w:pPr>
                                <w:spacing w:line="276" w:lineRule="auto"/>
                                <w:ind w:firstLine="709"/>
                                <w:jc w:val="both"/>
                                <w:rPr>
                                  <w:rFonts w:eastAsia="Calibri"/>
                                  <w:szCs w:val="22"/>
                                  <w:lang w:eastAsia="lt-LT"/>
                                </w:rPr>
                              </w:pPr>
                              <w:sdt>
                                <w:sdtPr>
                                  <w:alias w:val="Numeris"/>
                                  <w:tag w:val="nr_c0ae96ac6f674b5294274c6497949724"/>
                                  <w:lock w:val="sdtLocked"/>
                                  <w:richText/>
                                </w:sdtPr>
                                <w:sdtContent>
                                  <w:r>
                                    <w:rPr>
                                      <w:rFonts w:eastAsia="Calibri"/>
                                      <w:szCs w:val="22"/>
                                      <w:lang w:eastAsia="lt-LT"/>
                                    </w:rPr>
                                    <w:t>3.2</w:t>
                                  </w:r>
                                </w:sdtContent>
                              </w:sdt>
                              <w:r>
                                <w:rPr>
                                  <w:rFonts w:eastAsia="Calibri"/>
                                  <w:szCs w:val="22"/>
                                  <w:lang w:eastAsia="lt-LT"/>
                                </w:rPr>
                                <w:t>. vykdyti šio nutarimo nuostatų įgyvendinimo stebėseną ir pažangos vertinimą.</w:t>
                              </w:r>
                            </w:p>
                          </w:sdtContent>
                        </w:sdt>
                      </w:sdtContent>
                    </w:sdt>
                    <w:sdt>
                      <w:sdtPr>
                        <w:alias w:val="4 p."/>
                        <w:tag w:val="part_d4ea996684864de5b210af38b762425f"/>
                        <w:lock w:val="sdtLocked"/>
                        <w:richText/>
                      </w:sdtPr>
                      <w:sdtContent>
                        <w:p>
                          <w:pPr>
                            <w:ind w:firstLine="709"/>
                            <w:jc w:val="both"/>
                            <w:rPr>
                              <w:lang w:eastAsia="lt-LT"/>
                            </w:rPr>
                          </w:pPr>
                          <w:sdt>
                            <w:sdtPr>
                              <w:alias w:val="Numeris"/>
                              <w:tag w:val="nr_d4ea996684864de5b210af38b762425f"/>
                              <w:lock w:val="sdtLocked"/>
                              <w:richText/>
                            </w:sdtPr>
                            <w:sdtContent>
                              <w:r>
                                <w:rPr>
                                  <w:rFonts w:eastAsia="Calibri"/>
                                  <w:szCs w:val="22"/>
                                  <w:lang w:eastAsia="lt-LT"/>
                                </w:rPr>
                                <w:t>4</w:t>
                              </w:r>
                            </w:sdtContent>
                          </w:sdt>
                          <w:r>
                            <w:rPr>
                              <w:rFonts w:eastAsia="Calibri"/>
                              <w:szCs w:val="22"/>
                              <w:lang w:eastAsia="lt-LT"/>
                            </w:rPr>
                            <w:t xml:space="preserve">. </w:t>
                          </w:r>
                          <w:r>
                            <w:rPr>
                              <w:lang w:eastAsia="lt-LT"/>
                            </w:rPr>
                            <w:t>Įpareigoti Viešųjų pirkimų tarnybą, teikiant metines veiklos ataskaitas, pateikti Lietuvos Respublikos Vyriausybei susistemintą informaciją apie žaliųjų pirkimų stebėsenos rezultatus.</w:t>
                          </w:r>
                        </w:p>
                      </w:sdtContent>
                    </w:sdt>
                    <w:sdt>
                      <w:sdtPr>
                        <w:alias w:val="5 p."/>
                        <w:tag w:val="part_99dbdbb5ef8c4a53902ac832880a70ee"/>
                        <w:lock w:val="sdtLocked"/>
                        <w:richText/>
                      </w:sdtPr>
                      <w:sdtContent>
                        <w:p>
                          <w:pPr>
                            <w:ind w:firstLine="709"/>
                            <w:jc w:val="both"/>
                            <w:rPr>
                              <w:lang w:eastAsia="lt-LT"/>
                            </w:rPr>
                          </w:pPr>
                          <w:sdt>
                            <w:sdtPr>
                              <w:alias w:val="Numeris"/>
                              <w:tag w:val="nr_99dbdbb5ef8c4a53902ac832880a70ee"/>
                              <w:lock w:val="sdtLocked"/>
                              <w:richText/>
                            </w:sdtPr>
                            <w:sdtContent>
                              <w:r>
                                <w:rPr>
                                  <w:rFonts w:eastAsia="Calibri"/>
                                  <w:szCs w:val="22"/>
                                  <w:lang w:eastAsia="lt-LT"/>
                                </w:rPr>
                                <w:t>5</w:t>
                              </w:r>
                            </w:sdtContent>
                          </w:sdt>
                          <w:r>
                            <w:rPr>
                              <w:rFonts w:eastAsia="Calibri"/>
                              <w:szCs w:val="22"/>
                              <w:lang w:eastAsia="lt-LT"/>
                            </w:rPr>
                            <w:t xml:space="preserve">. </w:t>
                          </w:r>
                          <w:r>
                            <w:rPr>
                              <w:lang w:eastAsia="lt-LT"/>
                            </w:rPr>
                            <w:t>Pavesti Lietuvos Respublikos aplinkos ministerijai, suderinus su Viešųjų pirkimų tarnyba, iki 2021 m. gegužės 31 d. patvirtinti Žaliųjų pirkimų įgyvendinimo 2021–2025 m. priemonių planą.“</w:t>
                          </w:r>
                        </w:p>
                        <w:p>
                          <w:pPr>
                            <w:jc w:val="both"/>
                            <w:rPr>
                              <w:lang w:eastAsia="lt-LT"/>
                            </w:rPr>
                          </w:pPr>
                        </w:p>
                        <w:p>
                          <w:pPr>
                            <w:jc w:val="both"/>
                            <w:rPr>
                              <w:bCs/>
                              <w:lang w:eastAsia="lt-LT"/>
                            </w:rPr>
                          </w:pPr>
                        </w:p>
                      </w:sdtContent>
                    </w:sdt>
                  </w:sdtContent>
                </w:sdt>
              </w:sdtContent>
            </w:sdt>
          </w:sdtContent>
        </w:sdt>
        <w:sdt>
          <w:sdtPr>
            <w:alias w:val="signatura"/>
            <w:tag w:val="part_01d1f515530145bd983df37b2c411520"/>
            <w:lock w:val="sdtLocked"/>
            <w:richText/>
          </w:sdtPr>
          <w:sdtContent>
            <w:p>
              <w:pPr>
                <w:tabs>
                  <w:tab w:val="center" w:pos="-7800"/>
                  <w:tab w:val="left" w:pos="6237"/>
                  <w:tab w:val="right" w:pos="8306"/>
                </w:tabs>
                <w:rPr>
                  <w:lang w:eastAsia="lt-LT"/>
                </w:rPr>
              </w:pPr>
              <w:r>
                <w:rPr>
                  <w:lang w:eastAsia="lt-LT"/>
                </w:rPr>
                <w:t>Ministras Pirmininkas</w:t>
                <w:tab/>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Aplinkos ministras</w:t>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1134" w:bottom="1134" w:left="1701" w:header="113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200" w:line="276" w:lineRule="auto"/>
      <w:rPr>
        <w:lang w:val="en-GB" w:eastAsia="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separate"/>
    </w:r>
    <w:r>
      <w:rPr>
        <w:lang w:val="en-GB" w:eastAsia="en-GB"/>
      </w:rPr>
      <w:t>2</w:t>
    </w:r>
    <w:r>
      <w:rPr>
        <w:lang w:val="en-GB" w:eastAsia="en-GB"/>
      </w:rPr>
      <w:fldChar w:fldCharType="end"/>
    </w:r>
  </w:p>
  <w:p>
    <w:pPr>
      <w:tabs>
        <w:tab w:val="center" w:pos="4153"/>
        <w:tab w:val="right" w:pos="8306"/>
      </w:tabs>
      <w:spacing w:after="200" w:line="276" w:lineRule="auto"/>
      <w:rPr>
        <w:lang w:val="en-GB" w:eastAsia="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200" w:line="276" w:lineRule="auto"/>
      <w:rPr>
        <w:lang w:val="en-GB"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9"/>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1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5e8191ddaa54e77bdaf35478da3cf56" PartId="3a43d2a450944406b66356cbecd48de9">
    <Part Type="preambule" DocPartId="ce0ca92f00b54b04b7746e1341a4211b" PartId="417de73ddcd7419fbc32c77c37a05300"/>
    <Part Type="pastraipa" DocPartId="49e90c81f40d4dbd9f02e82a263450e9" PartId="e30e1ce4770a47aa8f7104d7b08838fc">
      <Part Type="citata" DocPartId="eb8e28c3742c43aa958403524ce52ce4" PartId="f703d6cdb3c7481494745df961c45972">
        <Part Type="pagrindine" DocPartId="32e009fa16f642d48cec72b2341b4f47" PartId="146aef76bdcc447ab3148a52fd8589d2">
          <Part Type="preambule" DocPartId="076bce490172402fbbe8f495a3f0f325" PartId="2cfc5ffd66fe48539d8e8bd926698f1b"/>
          <Part Type="punktas" Nr="1" Abbr="1 p." DocPartId="0d1c407aae834d1dab0e02a82c6951e0" PartId="1e6dbce3544a4f20b23126a3d63a2a2e"/>
          <Part Type="punktas" Nr="2" Abbr="2 p." DocPartId="924b25fa087a451b9cd86d498cd21599" PartId="25a4aab3066e48e587d6ed11e622c97c">
            <Part Type="papunktis" Nr="2.1" Abbr="2.1 pp." DocPartId="f06c23b817b0403b8aa107fbb38b317b" PartId="e2dc87f985ac4c00842fb7753211d0cb"/>
            <Part Type="papunktis" Nr="2.2" Abbr="2.2 pp." DocPartId="cd4366b9b4ee48748e5cb718194306a6" PartId="47c8ab58c3564be5a7b39f2ab349a786"/>
          </Part>
          <Part Type="punktas" Nr="3" Abbr="3 p." DocPartId="814ec7c03bd240509bffa9b3e0c6ad65" PartId="096257acc1654c888f0478d096427623">
            <Part Type="papunktis" Nr="3.1" Abbr="3.1 pp." DocPartId="476909231f8d4a37a6c0c0cc85ced4c5" PartId="987129c1a4684a26bc4cc4c7a19a1036"/>
            <Part Type="papunktis" Nr="3.2" Abbr="3.2 pp." DocPartId="2a66f084526e4d599e9a507eb067bb45" PartId="c0ae96ac6f674b5294274c6497949724"/>
          </Part>
          <Part Type="punktas" Nr="4" Abbr="4 p." DocPartId="1844075cbd924811917131cfa8f2901a" PartId="d4ea996684864de5b210af38b762425f"/>
          <Part Type="punktas" Nr="5" Abbr="5 p." DocPartId="c2e45cc9e40b47e086f6c808323cca39" PartId="99dbdbb5ef8c4a53902ac832880a70ee"/>
        </Part>
      </Part>
    </Part>
    <Part Type="signatura" DocPartId="db66f6a7d0964326ad0c0f739f6d7c24" PartId="01d1f515530145bd983df37b2c411520"/>
  </Part>
</Parts>
</file>

<file path=customXml/itemProps1.xml><?xml version="1.0" encoding="utf-8"?>
<ds:datastoreItem xmlns:ds="http://schemas.openxmlformats.org/officeDocument/2006/customXml" ds:itemID="{31211770-9C2B-44EA-81D3-4EF0591F02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462</Words>
  <Characters>3342</Characters>
  <Application>Microsoft Office Word</Application>
  <DocSecurity>4</DocSecurity>
  <Lines>68</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3781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2021-03-12T13:45:00Z</dcterms:created>
  <dc:creator>Arnas Liauksminas</dc:creator>
  <lastModifiedBy>adlibuser</lastModifiedBy>
  <lastPrinted>2017-12-22T09:00:00Z</lastPrinted>
  <dcterms:modified xsi:type="dcterms:W3CDTF">2021-03-12T13:45:00Z</dcterms:modified>
  <revision>2</revision>
</coreProperties>
</file>