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819f1d87a340439fc02fc6bd00a2f3"/>
        <w:lock w:val="sdtLocked"/>
        <w:richText/>
      </w:sdtPr>
      <w:sdtContent>
        <w:p w14:paraId="1B7E80B0" w14:textId="08B1AB56">
          <w:pPr>
            <w:suppressAutoHyphens/>
            <w:jc w:val="center"/>
            <w:rPr>
              <w:rFonts w:ascii="Verdana" w:hAnsi="Verdana" w:cs="Arial"/>
              <w:color w:val="000000"/>
              <w:sz w:val="20"/>
            </w:rPr>
          </w:pPr>
        </w:p>
        <w:p w14:paraId="4A686A96" w14:textId="6A1AF5C7">
          <w:pPr>
            <w:suppressAutoHyphens/>
            <w:jc w:val="right"/>
            <w:rPr>
              <w:rFonts w:ascii="Verdana" w:hAnsi="Verdana" w:cs="Arial"/>
              <w:b/>
              <w:bCs/>
              <w:color w:val="000000"/>
              <w:sz w:val="20"/>
            </w:rPr>
          </w:pPr>
          <w:r>
            <w:rPr>
              <w:rFonts w:ascii="Verdana" w:hAnsi="Verdana" w:cs="Arial"/>
              <w:b/>
              <w:bCs/>
              <w:color w:val="000000"/>
              <w:sz w:val="20"/>
            </w:rPr>
            <w:t>Projektas</w:t>
          </w:r>
        </w:p>
        <w:p w14:paraId="2BF16529" w14:textId="311CD589">
          <w:pPr>
            <w:suppressAutoHyphens/>
            <w:jc w:val="center"/>
            <w:rPr>
              <w:rFonts w:ascii="Verdana" w:hAnsi="Verdana" w:cs="Arial"/>
              <w:color w:val="000000"/>
              <w:sz w:val="20"/>
            </w:rPr>
          </w:pPr>
        </w:p>
        <w:p w14:paraId="5F1BB37B" w14:textId="77777777">
          <w:pPr>
            <w:suppressAutoHyphens/>
            <w:jc w:val="center"/>
            <w:rPr>
              <w:rFonts w:ascii="Verdana" w:hAnsi="Verdana" w:cs="Arial"/>
              <w:b/>
              <w:bCs/>
              <w:color w:val="000000"/>
              <w:szCs w:val="24"/>
            </w:rPr>
          </w:pPr>
          <w:r>
            <w:rPr>
              <w:rFonts w:ascii="Verdana" w:hAnsi="Verdana" w:cs="Arial"/>
              <w:b/>
              <w:bCs/>
              <w:color w:val="000000"/>
              <w:szCs w:val="24"/>
            </w:rPr>
            <w:t>LIETUVOS BANKO VALDYBA</w:t>
          </w:r>
        </w:p>
        <w:p w14:paraId="1712D2A9" w14:textId="3185E568">
          <w:pPr>
            <w:suppressAutoHyphens/>
            <w:jc w:val="center"/>
            <w:rPr>
              <w:rFonts w:ascii="Verdana" w:hAnsi="Verdana" w:cs="Arial"/>
              <w:b/>
              <w:bCs/>
              <w:color w:val="000000"/>
              <w:szCs w:val="24"/>
            </w:rPr>
          </w:pPr>
        </w:p>
        <w:p w14:paraId="5EC776D6" w14:textId="77777777">
          <w:pPr>
            <w:suppressAutoHyphens/>
            <w:jc w:val="center"/>
            <w:rPr>
              <w:rFonts w:ascii="Verdana" w:hAnsi="Verdana" w:cs="Arial"/>
              <w:b/>
              <w:bCs/>
              <w:color w:val="000000"/>
              <w:szCs w:val="24"/>
            </w:rPr>
          </w:pPr>
        </w:p>
        <w:p w14:paraId="38D60375" w14:textId="243C5BA7">
          <w:pPr>
            <w:jc w:val="center"/>
            <w:rPr>
              <w:rFonts w:ascii="Verdana" w:eastAsia="Verdana" w:hAnsi="Verdana" w:cs="Verdana"/>
              <w:sz w:val="20"/>
              <w:lang w:eastAsia="lt-LT"/>
            </w:rPr>
          </w:pPr>
          <w:r>
            <w:rPr>
              <w:rFonts w:ascii="Verdana" w:hAnsi="Verdana" w:cs="Arial"/>
              <w:b/>
              <w:sz w:val="20"/>
              <w:szCs w:val="24"/>
              <w:lang w:eastAsia="lt-LT"/>
            </w:rPr>
            <w:t xml:space="preserve">NUTARIMAS </w:t>
          </w:r>
          <w:r>
            <w:rPr>
              <w:rFonts w:ascii="Verdana" w:hAnsi="Verdana" w:cs="Arial"/>
              <w:b/>
              <w:bCs/>
              <w:sz w:val="20"/>
              <w:szCs w:val="24"/>
              <w:lang w:eastAsia="lt-LT"/>
            </w:rPr>
            <w:t xml:space="preserve">DĖL </w:t>
          </w:r>
          <w:r>
            <w:rPr>
              <w:rFonts w:ascii="Verdana" w:eastAsia="Verdana" w:hAnsi="Verdana" w:cs="Verdana"/>
              <w:b/>
              <w:bCs/>
              <w:sz w:val="20"/>
              <w:lang w:eastAsia="lt-LT"/>
            </w:rPr>
            <w:t>KRIPTOTURTO PASLAUGŲ TEIKĖJŲ LICENCIJAVIMO TAISYKLIŲ PATVIRTINIMO</w:t>
          </w:r>
        </w:p>
        <w:p w14:paraId="054F602C" w14:textId="77777777">
          <w:pPr>
            <w:suppressAutoHyphens/>
            <w:jc w:val="center"/>
            <w:rPr>
              <w:rFonts w:ascii="Verdana" w:hAnsi="Verdana" w:cs="Arial"/>
              <w:color w:val="000000"/>
              <w:sz w:val="20"/>
            </w:rPr>
          </w:pPr>
        </w:p>
        <w:p w14:paraId="51292218" w14:textId="5282F2CC">
          <w:pPr>
            <w:suppressAutoHyphens/>
            <w:jc w:val="center"/>
            <w:rPr>
              <w:rFonts w:ascii="Verdana" w:hAnsi="Verdana" w:cs="Arial"/>
              <w:color w:val="000000"/>
              <w:sz w:val="20"/>
            </w:rPr>
          </w:pPr>
          <w:r>
            <w:rPr>
              <w:rFonts w:ascii="Verdana" w:hAnsi="Verdana" w:cs="Arial"/>
              <w:color w:val="000000"/>
              <w:sz w:val="20"/>
            </w:rPr>
            <w:t xml:space="preserve">2024 m.  d. Nr. </w:t>
          </w:r>
        </w:p>
        <w:p w14:paraId="320DCFB5" w14:textId="77777777">
          <w:pPr>
            <w:suppressAutoHyphens/>
            <w:jc w:val="center"/>
            <w:rPr>
              <w:rFonts w:ascii="Verdana" w:hAnsi="Verdana" w:cs="Arial"/>
              <w:color w:val="000000"/>
              <w:sz w:val="20"/>
            </w:rPr>
          </w:pPr>
          <w:r>
            <w:rPr>
              <w:rFonts w:ascii="Verdana" w:hAnsi="Verdana" w:cs="Arial"/>
              <w:color w:val="000000"/>
              <w:sz w:val="20"/>
            </w:rPr>
            <w:t>Vilnius</w:t>
          </w:r>
        </w:p>
        <w:p w14:paraId="56E61630" w14:textId="77777777">
          <w:pPr>
            <w:suppressAutoHyphens/>
            <w:rPr>
              <w:rFonts w:ascii="Verdana" w:hAnsi="Verdana" w:cs="Arial"/>
              <w:color w:val="000000"/>
              <w:sz w:val="20"/>
            </w:rPr>
          </w:pPr>
        </w:p>
        <w:sdt>
          <w:sdtPr>
            <w:alias w:val="preambule"/>
            <w:tag w:val="part_d2d7fd57fea34d49a5acf87d74f2ee72"/>
            <w:lock w:val="sdtLocked"/>
            <w:richText/>
          </w:sdtPr>
          <w:sdtContent>
            <w:p w14:paraId="53EE1B8F" w14:textId="69D4F47B">
              <w:pPr>
                <w:tabs>
                  <w:tab w:val="left" w:pos="851"/>
                  <w:tab w:val="left" w:pos="993"/>
                </w:tabs>
                <w:ind w:firstLine="720"/>
                <w:jc w:val="both"/>
                <w:rPr>
                  <w:rFonts w:ascii="Verdana" w:hAnsi="Verdana" w:cs="Arial"/>
                  <w:color w:val="000000"/>
                  <w:sz w:val="20"/>
                  <w:szCs w:val="24"/>
                  <w:lang w:eastAsia="lt-LT"/>
                </w:rPr>
              </w:pPr>
              <w:r>
                <w:rPr>
                  <w:rFonts w:ascii="Verdana" w:hAnsi="Verdana" w:cs="Arial"/>
                  <w:color w:val="000000"/>
                  <w:sz w:val="20"/>
                  <w:szCs w:val="24"/>
                  <w:lang w:eastAsia="lt-LT"/>
                </w:rPr>
                <w:t xml:space="preserve">Vadovaudamasi Lietuvos Respublikos Lietuvos banko įstatymo 42 straipsnio 4 dalies 1 punktu ir Lietuvos Respublikos kriptoturto rinkų įstatymo 3 straipsnio 1 ir 4 dalimis, Lietuvos banko </w:t>
              </w:r>
              <w:r>
                <w:rPr>
                  <w:rFonts w:ascii="Verdana" w:hAnsi="Verdana" w:cs="Arial"/>
                  <w:sz w:val="20"/>
                  <w:szCs w:val="24"/>
                  <w:lang w:eastAsia="lt-LT"/>
                </w:rPr>
                <w:t xml:space="preserve">valdyba </w:t>
              </w:r>
              <w:r>
                <w:rPr>
                  <w:rFonts w:ascii="Verdana" w:hAnsi="Verdana" w:cs="Arial"/>
                  <w:spacing w:val="60"/>
                  <w:sz w:val="20"/>
                  <w:szCs w:val="24"/>
                  <w:lang w:eastAsia="lt-LT"/>
                </w:rPr>
                <w:t>nutari</w:t>
              </w:r>
              <w:r>
                <w:rPr>
                  <w:rFonts w:ascii="Verdana" w:hAnsi="Verdana" w:cs="Arial"/>
                  <w:spacing w:val="20"/>
                  <w:sz w:val="20"/>
                  <w:szCs w:val="24"/>
                  <w:lang w:eastAsia="lt-LT"/>
                </w:rPr>
                <w:t>a:</w:t>
              </w:r>
            </w:p>
          </w:sdtContent>
        </w:sdt>
        <w:sdt>
          <w:sdtPr>
            <w:alias w:val="pastraipa"/>
            <w:tag w:val="part_196ef6ead7bc4c86a9a2dce0d31b171e"/>
            <w:lock w:val="sdtLocked"/>
            <w:richText/>
          </w:sdtPr>
          <w:sdtContent>
            <w:p w14:paraId="70A41AE8" w14:textId="77777777">
              <w:pPr>
                <w:tabs>
                  <w:tab w:val="left" w:pos="851"/>
                  <w:tab w:val="left" w:pos="993"/>
                </w:tabs>
                <w:ind w:firstLine="720"/>
                <w:rPr>
                  <w:rFonts w:ascii="Verdana" w:hAnsi="Verdana" w:cs="Arial"/>
                  <w:color w:val="000000"/>
                  <w:sz w:val="20"/>
                  <w:lang w:eastAsia="lt-LT"/>
                </w:rPr>
              </w:pPr>
              <w:r>
                <w:rPr>
                  <w:rFonts w:ascii="Verdana" w:hAnsi="Verdana" w:cs="Arial"/>
                  <w:color w:val="000000"/>
                  <w:sz w:val="20"/>
                  <w:lang w:eastAsia="lt-LT"/>
                </w:rPr>
                <w:t>Patvirtinti Kriptoturto paslaugų teikėjų licencijavimo taisykles (pridedama).</w:t>
              </w:r>
            </w:p>
            <w:p w14:paraId="62A92DF1" w14:textId="77777777">
              <w:pPr>
                <w:tabs>
                  <w:tab w:val="left" w:pos="851"/>
                  <w:tab w:val="left" w:pos="993"/>
                </w:tabs>
                <w:ind w:firstLine="720"/>
                <w:jc w:val="center"/>
                <w:rPr>
                  <w:rFonts w:ascii="Verdana" w:hAnsi="Verdana" w:cs="Arial"/>
                  <w:bCs/>
                  <w:color w:val="000000"/>
                  <w:sz w:val="20"/>
                  <w:lang w:eastAsia="lt-LT"/>
                </w:rPr>
              </w:pPr>
            </w:p>
            <w:p w14:paraId="0F54538A" w14:textId="77777777">
              <w:pPr>
                <w:suppressAutoHyphens/>
                <w:ind w:firstLine="720"/>
                <w:jc w:val="center"/>
                <w:rPr>
                  <w:rFonts w:ascii="Verdana" w:hAnsi="Verdana" w:cs="Arial"/>
                  <w:color w:val="000000"/>
                  <w:sz w:val="20"/>
                </w:rPr>
              </w:pPr>
            </w:p>
          </w:sdtContent>
        </w:sdt>
        <w:sdt>
          <w:sdtPr>
            <w:alias w:val="signatura"/>
            <w:tag w:val="part_3d3cdd54c4a14e61b94e058559fa2428"/>
            <w:lock w:val="sdtLocked"/>
            <w:richText/>
          </w:sdtPr>
          <w:sdtContent>
            <w:p w14:paraId="31159892" w14:textId="6A951EAA">
              <w:pPr>
                <w:tabs>
                  <w:tab w:val="right" w:pos="9638"/>
                </w:tabs>
                <w:suppressAutoHyphens/>
                <w:rPr>
                  <w:rFonts w:ascii="Verdana" w:hAnsi="Verdana" w:cs="Arial"/>
                  <w:caps/>
                  <w:color w:val="000000"/>
                  <w:sz w:val="20"/>
                </w:rPr>
              </w:pPr>
              <w:r>
                <w:rPr>
                  <w:rFonts w:ascii="Verdana" w:hAnsi="Verdana" w:cs="Arial"/>
                  <w:caps/>
                  <w:color w:val="000000"/>
                  <w:sz w:val="20"/>
                </w:rPr>
                <w:t>VALDYBOS PIRMININKAS</w:t>
              </w:r>
              <w:r>
                <w:rPr>
                  <w:rFonts w:ascii="Arial" w:hAnsi="Arial" w:cs="Arial"/>
                  <w:caps/>
                  <w:color w:val="000000"/>
                  <w:sz w:val="20"/>
                </w:rPr>
                <w:tab/>
              </w:r>
            </w:p>
            <w:p w14:paraId="248ADECD" w14:textId="77777777">
              <w:pPr>
                <w:suppressAutoHyphens/>
                <w:jc w:val="center"/>
                <w:rPr>
                  <w:rFonts w:ascii="Verdana" w:hAnsi="Verdana" w:cs="Arial"/>
                  <w:color w:val="000000"/>
                  <w:sz w:val="20"/>
                </w:rPr>
              </w:pPr>
            </w:p>
            <w:p w14:paraId="7E921611" w14:textId="77777777">
              <w:pPr>
                <w:widowControl w:val="0"/>
                <w:jc w:val="right"/>
                <w:rPr>
                  <w:rFonts w:ascii="Verdana" w:hAnsi="Verdana" w:cs="Arial"/>
                  <w:sz w:val="20"/>
                  <w:lang w:eastAsia="lt-LT"/>
                </w:rPr>
              </w:pPr>
            </w:p>
            <w:p w14:paraId="456581D6" w14:textId="77777777">
              <w:pPr>
                <w:widowControl w:val="0"/>
                <w:jc w:val="right"/>
                <w:rPr>
                  <w:rFonts w:ascii="Verdana" w:hAnsi="Verdana" w:cs="Arial"/>
                  <w:sz w:val="20"/>
                  <w:lang w:eastAsia="lt-LT"/>
                </w:rPr>
              </w:pPr>
            </w:p>
            <w:p w14:paraId="6232CBBA" w14:textId="77777777">
              <w:pPr>
                <w:widowControl w:val="0"/>
                <w:jc w:val="right"/>
                <w:rPr>
                  <w:rFonts w:ascii="Verdana" w:hAnsi="Verdana" w:cs="Arial"/>
                  <w:sz w:val="20"/>
                  <w:lang w:eastAsia="lt-LT"/>
                </w:rPr>
              </w:pPr>
            </w:p>
            <w:p w14:paraId="51BE885E" w14:textId="77777777">
              <w:pPr>
                <w:widowControl w:val="0"/>
                <w:jc w:val="right"/>
                <w:rPr>
                  <w:rFonts w:ascii="Verdana" w:hAnsi="Verdana" w:cs="Arial"/>
                  <w:sz w:val="20"/>
                  <w:lang w:eastAsia="lt-LT"/>
                </w:rPr>
              </w:pPr>
            </w:p>
            <w:p w14:paraId="15826A46" w14:textId="77777777">
              <w:pPr>
                <w:widowControl w:val="0"/>
                <w:jc w:val="right"/>
                <w:rPr>
                  <w:rFonts w:ascii="Verdana" w:hAnsi="Verdana" w:cs="Arial"/>
                  <w:sz w:val="20"/>
                  <w:lang w:eastAsia="lt-LT"/>
                </w:rPr>
              </w:pPr>
            </w:p>
            <w:p w14:paraId="4733B707" w14:textId="77777777">
              <w:pPr>
                <w:widowControl w:val="0"/>
                <w:jc w:val="right"/>
                <w:rPr>
                  <w:rFonts w:ascii="Verdana" w:hAnsi="Verdana" w:cs="Arial"/>
                  <w:sz w:val="20"/>
                  <w:lang w:eastAsia="lt-LT"/>
                </w:rPr>
              </w:pPr>
            </w:p>
            <w:p w14:paraId="260158D8" w14:textId="77777777">
              <w:pPr>
                <w:widowControl w:val="0"/>
                <w:jc w:val="right"/>
                <w:rPr>
                  <w:rFonts w:ascii="Verdana" w:hAnsi="Verdana" w:cs="Arial"/>
                  <w:sz w:val="20"/>
                  <w:lang w:eastAsia="lt-LT"/>
                </w:rPr>
              </w:pPr>
            </w:p>
            <w:p w14:paraId="1CBA0D05" w14:textId="77777777">
              <w:pPr>
                <w:widowControl w:val="0"/>
                <w:jc w:val="right"/>
                <w:rPr>
                  <w:rFonts w:ascii="Verdana" w:hAnsi="Verdana" w:cs="Arial"/>
                  <w:sz w:val="20"/>
                  <w:lang w:eastAsia="lt-LT"/>
                </w:rPr>
              </w:pPr>
            </w:p>
            <w:p w14:paraId="28923549" w14:textId="77777777">
              <w:pPr>
                <w:widowControl w:val="0"/>
                <w:jc w:val="right"/>
                <w:rPr>
                  <w:rFonts w:ascii="Verdana" w:hAnsi="Verdana" w:cs="Arial"/>
                  <w:sz w:val="20"/>
                  <w:lang w:eastAsia="lt-LT"/>
                </w:rPr>
              </w:pPr>
            </w:p>
            <w:p w14:paraId="0C12FB67" w14:textId="77777777">
              <w:pPr>
                <w:widowControl w:val="0"/>
                <w:jc w:val="right"/>
                <w:rPr>
                  <w:rFonts w:ascii="Verdana" w:hAnsi="Verdana" w:cs="Arial"/>
                  <w:sz w:val="20"/>
                  <w:lang w:eastAsia="lt-LT"/>
                </w:rPr>
              </w:pPr>
            </w:p>
            <w:p w14:paraId="4F4355A4" w14:textId="77777777">
              <w:pPr>
                <w:widowControl w:val="0"/>
                <w:jc w:val="right"/>
                <w:rPr>
                  <w:rFonts w:ascii="Verdana" w:hAnsi="Verdana" w:cs="Arial"/>
                  <w:sz w:val="20"/>
                  <w:lang w:eastAsia="lt-LT"/>
                </w:rPr>
              </w:pPr>
            </w:p>
            <w:p w14:paraId="65394965" w14:textId="77777777">
              <w:pPr>
                <w:widowControl w:val="0"/>
                <w:jc w:val="right"/>
                <w:rPr>
                  <w:rFonts w:ascii="Verdana" w:hAnsi="Verdana" w:cs="Arial"/>
                  <w:sz w:val="20"/>
                  <w:lang w:eastAsia="lt-LT"/>
                </w:rPr>
              </w:pPr>
            </w:p>
            <w:p w14:paraId="61C19935" w14:textId="77777777">
              <w:pPr>
                <w:widowControl w:val="0"/>
                <w:jc w:val="right"/>
                <w:rPr>
                  <w:rFonts w:ascii="Verdana" w:hAnsi="Verdana" w:cs="Arial"/>
                  <w:sz w:val="20"/>
                  <w:lang w:eastAsia="lt-LT"/>
                </w:rPr>
              </w:pPr>
            </w:p>
            <w:p w14:paraId="5B1F6736" w14:textId="77777777">
              <w:pPr>
                <w:widowControl w:val="0"/>
                <w:jc w:val="right"/>
                <w:rPr>
                  <w:rFonts w:ascii="Verdana" w:hAnsi="Verdana" w:cs="Arial"/>
                  <w:sz w:val="20"/>
                  <w:lang w:eastAsia="lt-LT"/>
                </w:rPr>
              </w:pPr>
            </w:p>
            <w:p w14:paraId="5EC75E1A" w14:textId="77777777">
              <w:pPr>
                <w:widowControl w:val="0"/>
                <w:jc w:val="right"/>
                <w:rPr>
                  <w:rFonts w:ascii="Verdana" w:hAnsi="Verdana" w:cs="Arial"/>
                  <w:sz w:val="20"/>
                  <w:lang w:eastAsia="lt-LT"/>
                </w:rPr>
              </w:pPr>
            </w:p>
            <w:p w14:paraId="21720355" w14:textId="77777777">
              <w:pPr>
                <w:widowControl w:val="0"/>
                <w:jc w:val="right"/>
                <w:rPr>
                  <w:rFonts w:ascii="Verdana" w:hAnsi="Verdana" w:cs="Arial"/>
                  <w:sz w:val="20"/>
                  <w:lang w:eastAsia="lt-LT"/>
                </w:rPr>
              </w:pPr>
            </w:p>
            <w:p w14:paraId="2DF69F55" w14:textId="77777777">
              <w:pPr>
                <w:widowControl w:val="0"/>
                <w:jc w:val="right"/>
                <w:rPr>
                  <w:rFonts w:ascii="Verdana" w:hAnsi="Verdana" w:cs="Arial"/>
                  <w:sz w:val="20"/>
                  <w:lang w:eastAsia="lt-LT"/>
                </w:rPr>
              </w:pPr>
            </w:p>
            <w:p w14:paraId="694B5658" w14:textId="77777777">
              <w:pPr>
                <w:widowControl w:val="0"/>
                <w:jc w:val="right"/>
                <w:rPr>
                  <w:rFonts w:ascii="Verdana" w:hAnsi="Verdana" w:cs="Arial"/>
                  <w:sz w:val="20"/>
                  <w:lang w:eastAsia="lt-LT"/>
                </w:rPr>
              </w:pPr>
            </w:p>
            <w:p w14:paraId="0A3C5F57" w14:textId="77777777">
              <w:pPr>
                <w:widowControl w:val="0"/>
                <w:jc w:val="right"/>
                <w:rPr>
                  <w:rFonts w:ascii="Verdana" w:hAnsi="Verdana" w:cs="Arial"/>
                  <w:sz w:val="20"/>
                  <w:lang w:eastAsia="lt-LT"/>
                </w:rPr>
              </w:pPr>
            </w:p>
            <w:p w14:paraId="49223943" w14:textId="77777777">
              <w:pPr>
                <w:widowControl w:val="0"/>
                <w:jc w:val="right"/>
                <w:rPr>
                  <w:rFonts w:ascii="Verdana" w:hAnsi="Verdana" w:cs="Arial"/>
                  <w:sz w:val="20"/>
                  <w:lang w:eastAsia="lt-LT"/>
                </w:rPr>
              </w:pPr>
            </w:p>
            <w:p w14:paraId="40FBA312" w14:textId="77777777">
              <w:pPr>
                <w:widowControl w:val="0"/>
                <w:jc w:val="right"/>
                <w:rPr>
                  <w:rFonts w:ascii="Verdana" w:hAnsi="Verdana" w:cs="Arial"/>
                  <w:sz w:val="20"/>
                  <w:lang w:eastAsia="lt-LT"/>
                </w:rPr>
              </w:pPr>
            </w:p>
            <w:p w14:paraId="10ABBA51" w14:textId="77777777">
              <w:pPr>
                <w:widowControl w:val="0"/>
                <w:jc w:val="right"/>
                <w:rPr>
                  <w:rFonts w:ascii="Verdana" w:hAnsi="Verdana" w:cs="Arial"/>
                  <w:sz w:val="20"/>
                  <w:lang w:eastAsia="lt-LT"/>
                </w:rPr>
              </w:pPr>
            </w:p>
            <w:p w14:paraId="2717618F" w14:textId="77777777">
              <w:pPr>
                <w:widowControl w:val="0"/>
                <w:jc w:val="right"/>
                <w:rPr>
                  <w:rFonts w:ascii="Verdana" w:hAnsi="Verdana" w:cs="Arial"/>
                  <w:sz w:val="20"/>
                  <w:lang w:eastAsia="lt-LT"/>
                </w:rPr>
              </w:pPr>
            </w:p>
            <w:p w14:paraId="47068443" w14:textId="77777777">
              <w:pPr>
                <w:widowControl w:val="0"/>
                <w:jc w:val="right"/>
                <w:rPr>
                  <w:rFonts w:ascii="Verdana" w:hAnsi="Verdana" w:cs="Arial"/>
                  <w:sz w:val="20"/>
                  <w:lang w:eastAsia="lt-LT"/>
                </w:rPr>
              </w:pPr>
            </w:p>
            <w:p w14:paraId="600CEBF5" w14:textId="77777777">
              <w:pPr>
                <w:widowControl w:val="0"/>
                <w:jc w:val="right"/>
                <w:rPr>
                  <w:rFonts w:ascii="Verdana" w:hAnsi="Verdana" w:cs="Arial"/>
                  <w:sz w:val="20"/>
                  <w:lang w:eastAsia="lt-LT"/>
                </w:rPr>
              </w:pPr>
            </w:p>
            <w:p w14:paraId="6AC50C3D" w14:textId="77777777">
              <w:pPr>
                <w:widowControl w:val="0"/>
                <w:jc w:val="right"/>
                <w:rPr>
                  <w:rFonts w:ascii="Verdana" w:hAnsi="Verdana" w:cs="Arial"/>
                  <w:sz w:val="20"/>
                  <w:lang w:eastAsia="lt-LT"/>
                </w:rPr>
              </w:pPr>
            </w:p>
            <w:p w14:paraId="24737221" w14:textId="77777777">
              <w:pPr>
                <w:widowControl w:val="0"/>
                <w:jc w:val="right"/>
                <w:rPr>
                  <w:rFonts w:ascii="Verdana" w:hAnsi="Verdana" w:cs="Arial"/>
                  <w:sz w:val="20"/>
                  <w:lang w:eastAsia="lt-LT"/>
                </w:rPr>
              </w:pPr>
            </w:p>
            <w:p w14:paraId="7BEE1A1A" w14:textId="77777777">
              <w:pPr>
                <w:widowControl w:val="0"/>
                <w:jc w:val="right"/>
                <w:rPr>
                  <w:rFonts w:ascii="Verdana" w:hAnsi="Verdana" w:cs="Arial"/>
                  <w:sz w:val="20"/>
                  <w:lang w:eastAsia="lt-LT"/>
                </w:rPr>
              </w:pPr>
            </w:p>
            <w:p w14:paraId="786C4789" w14:textId="77777777">
              <w:pPr>
                <w:widowControl w:val="0"/>
                <w:jc w:val="right"/>
                <w:rPr>
                  <w:rFonts w:ascii="Verdana" w:hAnsi="Verdana" w:cs="Arial"/>
                  <w:sz w:val="20"/>
                  <w:lang w:eastAsia="lt-LT"/>
                </w:rPr>
              </w:pPr>
            </w:p>
            <w:p w14:paraId="6D0148C7" w14:textId="77777777">
              <w:pPr>
                <w:widowControl w:val="0"/>
                <w:jc w:val="right"/>
                <w:rPr>
                  <w:rFonts w:ascii="Verdana" w:hAnsi="Verdana" w:cs="Arial"/>
                  <w:sz w:val="20"/>
                  <w:lang w:eastAsia="lt-LT"/>
                </w:rPr>
              </w:pPr>
            </w:p>
            <w:p w14:paraId="6551FDCA" w14:textId="77777777">
              <w:pPr>
                <w:widowControl w:val="0"/>
                <w:jc w:val="right"/>
                <w:rPr>
                  <w:rFonts w:ascii="Verdana" w:hAnsi="Verdana" w:cs="Arial"/>
                  <w:sz w:val="20"/>
                  <w:lang w:eastAsia="lt-LT"/>
                </w:rPr>
              </w:pPr>
            </w:p>
            <w:p w14:paraId="15822632" w14:textId="77777777">
              <w:pPr>
                <w:widowControl w:val="0"/>
                <w:jc w:val="right"/>
                <w:rPr>
                  <w:rFonts w:ascii="Verdana" w:hAnsi="Verdana" w:cs="Arial"/>
                  <w:sz w:val="20"/>
                  <w:lang w:eastAsia="lt-LT"/>
                </w:rPr>
              </w:pPr>
            </w:p>
            <w:p w14:paraId="3D0010A6" w14:textId="77777777">
              <w:pPr>
                <w:widowControl w:val="0"/>
                <w:jc w:val="right"/>
                <w:rPr>
                  <w:rFonts w:ascii="Verdana" w:hAnsi="Verdana" w:cs="Arial"/>
                  <w:sz w:val="20"/>
                  <w:lang w:eastAsia="lt-LT"/>
                </w:rPr>
              </w:pPr>
            </w:p>
            <w:p w14:paraId="468B8AE5" w14:textId="77777777">
              <w:pPr>
                <w:widowControl w:val="0"/>
                <w:jc w:val="right"/>
                <w:rPr>
                  <w:rFonts w:ascii="Verdana" w:hAnsi="Verdana" w:cs="Arial"/>
                  <w:sz w:val="20"/>
                  <w:lang w:eastAsia="lt-LT"/>
                </w:rPr>
              </w:pPr>
            </w:p>
            <w:p w14:paraId="725C3DD1" w14:textId="77777777">
              <w:pPr>
                <w:widowControl w:val="0"/>
                <w:jc w:val="right"/>
                <w:rPr>
                  <w:rFonts w:ascii="Verdana" w:hAnsi="Verdana" w:cs="Arial"/>
                  <w:sz w:val="20"/>
                  <w:lang w:eastAsia="lt-LT"/>
                </w:rPr>
              </w:pPr>
            </w:p>
            <w:p w14:paraId="57BC77D5" w14:textId="77777777">
              <w:pPr>
                <w:widowControl w:val="0"/>
                <w:jc w:val="right"/>
                <w:rPr>
                  <w:rFonts w:ascii="Verdana" w:hAnsi="Verdana" w:cs="Arial"/>
                  <w:sz w:val="20"/>
                  <w:lang w:eastAsia="lt-LT"/>
                </w:rPr>
              </w:pPr>
            </w:p>
            <w:p w14:paraId="35AE0D63" w14:textId="77777777">
              <w:pPr>
                <w:widowControl w:val="0"/>
                <w:jc w:val="right"/>
                <w:rPr>
                  <w:rFonts w:ascii="Verdana" w:hAnsi="Verdana" w:cs="Arial"/>
                  <w:sz w:val="20"/>
                  <w:lang w:eastAsia="lt-LT"/>
                </w:rPr>
              </w:pPr>
            </w:p>
            <w:p w14:paraId="6705890F" w14:textId="77777777">
              <w:pPr>
                <w:widowControl w:val="0"/>
                <w:jc w:val="right"/>
                <w:rPr>
                  <w:rFonts w:ascii="Verdana" w:hAnsi="Verdana" w:cs="Arial"/>
                  <w:sz w:val="20"/>
                  <w:lang w:eastAsia="lt-LT"/>
                </w:rPr>
              </w:pPr>
            </w:p>
            <w:p w14:paraId="744DF86C" w14:textId="77777777">
              <w:pPr>
                <w:widowControl w:val="0"/>
                <w:jc w:val="right"/>
                <w:rPr>
                  <w:rFonts w:ascii="Verdana" w:hAnsi="Verdana" w:cs="Arial"/>
                  <w:sz w:val="20"/>
                  <w:lang w:eastAsia="lt-LT"/>
                </w:rPr>
              </w:pPr>
            </w:p>
            <w:p w14:paraId="6E404377" w14:textId="77777777">
              <w:pPr>
                <w:widowControl w:val="0"/>
                <w:jc w:val="right"/>
                <w:rPr>
                  <w:rFonts w:ascii="Verdana" w:hAnsi="Verdana" w:cs="Arial"/>
                  <w:sz w:val="20"/>
                  <w:lang w:eastAsia="lt-LT"/>
                </w:rPr>
              </w:pPr>
            </w:p>
          </w:sdtContent>
        </w:sdt>
      </w:sdtContent>
    </w:sdt>
    <w:sdt>
      <w:sdtPr>
        <w:alias w:val="patvirtinta"/>
        <w:tag w:val="part_a618708b4db1430daaf2bd8c078439e9"/>
        <w:lock w:val="sdtLocked"/>
        <w:richText/>
      </w:sdtPr>
      <w:sdtContent>
        <w:p w14:paraId="32690C5D" w14:textId="77777777">
          <w:pPr>
            <w:widowControl w:val="0"/>
            <w:ind w:left="6480"/>
            <w:rPr>
              <w:rFonts w:ascii="Verdana" w:hAnsi="Verdana" w:cs="Arial"/>
              <w:sz w:val="20"/>
              <w:szCs w:val="24"/>
              <w:lang w:eastAsia="lt-LT"/>
            </w:rPr>
          </w:pPr>
          <w:r>
            <w:rPr>
              <w:rFonts w:ascii="Verdana" w:hAnsi="Verdana" w:cs="Arial"/>
              <w:sz w:val="20"/>
              <w:szCs w:val="24"/>
              <w:lang w:eastAsia="lt-LT"/>
            </w:rPr>
            <w:t>PATVIRTINTA</w:t>
          </w:r>
        </w:p>
        <w:p w14:paraId="030C276D" w14:textId="77777777">
          <w:pPr>
            <w:widowControl w:val="0"/>
            <w:ind w:left="6480"/>
            <w:rPr>
              <w:rFonts w:ascii="Verdana" w:hAnsi="Verdana" w:cs="Arial"/>
              <w:sz w:val="20"/>
              <w:szCs w:val="24"/>
              <w:lang w:eastAsia="lt-LT"/>
            </w:rPr>
          </w:pPr>
          <w:r>
            <w:rPr>
              <w:rFonts w:ascii="Verdana" w:hAnsi="Verdana" w:cs="Arial"/>
              <w:sz w:val="20"/>
              <w:szCs w:val="24"/>
              <w:lang w:eastAsia="lt-LT"/>
            </w:rPr>
            <w:t>Lietuvos banko valdybos</w:t>
          </w:r>
        </w:p>
        <w:p w14:paraId="61754825" w14:textId="0A138A49">
          <w:pPr>
            <w:widowControl w:val="0"/>
            <w:ind w:left="6480"/>
            <w:rPr>
              <w:rFonts w:ascii="Verdana" w:hAnsi="Verdana" w:cs="Arial"/>
              <w:sz w:val="20"/>
              <w:szCs w:val="24"/>
              <w:lang w:eastAsia="lt-LT"/>
            </w:rPr>
          </w:pPr>
          <w:r>
            <w:rPr>
              <w:rFonts w:ascii="Verdana" w:hAnsi="Verdana" w:cs="Arial"/>
              <w:sz w:val="20"/>
              <w:szCs w:val="24"/>
              <w:lang w:eastAsia="lt-LT"/>
            </w:rPr>
            <w:t xml:space="preserve">2024 m.  </w:t>
          </w:r>
        </w:p>
        <w:p w14:paraId="3B1F24E1" w14:textId="5C462ADA">
          <w:pPr>
            <w:widowControl w:val="0"/>
            <w:ind w:firstLine="4680"/>
            <w:jc w:val="center"/>
            <w:rPr>
              <w:rFonts w:ascii="Verdana" w:hAnsi="Verdana" w:cs="Arial"/>
              <w:sz w:val="20"/>
              <w:lang w:eastAsia="lt-LT"/>
            </w:rPr>
          </w:pPr>
          <w:r>
            <w:rPr>
              <w:rFonts w:ascii="Verdana" w:hAnsi="Verdana" w:cs="Arial"/>
              <w:sz w:val="20"/>
              <w:szCs w:val="24"/>
              <w:lang w:eastAsia="lt-LT"/>
            </w:rPr>
            <w:t xml:space="preserve">nutarimu Nr. </w:t>
          </w:r>
        </w:p>
        <w:p w14:paraId="34D69396" w14:textId="77777777">
          <w:pPr>
            <w:widowControl w:val="0"/>
            <w:ind w:firstLine="720"/>
            <w:jc w:val="both"/>
            <w:rPr>
              <w:rFonts w:ascii="Verdana" w:hAnsi="Verdana" w:cs="Arial"/>
              <w:sz w:val="20"/>
              <w:lang w:eastAsia="lt-LT"/>
            </w:rPr>
          </w:pPr>
        </w:p>
        <w:p w14:paraId="3A16E5D4" w14:textId="77777777">
          <w:pPr>
            <w:widowControl w:val="0"/>
            <w:ind w:firstLine="720"/>
            <w:jc w:val="both"/>
            <w:rPr>
              <w:rFonts w:ascii="Verdana" w:hAnsi="Verdana" w:cs="Arial"/>
              <w:sz w:val="20"/>
              <w:lang w:eastAsia="lt-LT"/>
            </w:rPr>
          </w:pPr>
        </w:p>
        <w:p w14:paraId="26E8B377" w14:textId="77777777">
          <w:pPr>
            <w:jc w:val="center"/>
            <w:rPr>
              <w:rFonts w:ascii="Verdana" w:hAnsi="Verdana" w:cs="Arial"/>
              <w:b/>
              <w:sz w:val="20"/>
              <w:lang w:eastAsia="lt-LT"/>
            </w:rPr>
          </w:pPr>
          <w:sdt>
            <w:sdtPr>
              <w:alias w:val="Pavadinimas"/>
              <w:tag w:val="title_a618708b4db1430daaf2bd8c078439e9"/>
              <w:lock w:val="sdtLocked"/>
              <w:richText/>
            </w:sdtPr>
            <w:sdtContent>
              <w:r>
                <w:rPr>
                  <w:rFonts w:ascii="Verdana" w:hAnsi="Verdana" w:cs="Arial"/>
                  <w:b/>
                  <w:sz w:val="20"/>
                  <w:lang w:eastAsia="lt-LT"/>
                </w:rPr>
                <w:t>KRIPTOTURTO PASLAUGŲ TEIKĖJŲ LICENCIJAVIMO TAISYKLĖS</w:t>
              </w:r>
            </w:sdtContent>
          </w:sdt>
        </w:p>
        <w:p w14:paraId="7AB75FB4" w14:textId="77777777">
          <w:pPr>
            <w:jc w:val="center"/>
            <w:rPr>
              <w:rFonts w:ascii="Verdana" w:hAnsi="Verdana" w:cs="Arial"/>
              <w:b/>
              <w:sz w:val="20"/>
              <w:lang w:eastAsia="lt-LT"/>
            </w:rPr>
          </w:pPr>
        </w:p>
        <w:p w14:paraId="25C1FA41" w14:textId="77777777">
          <w:pPr>
            <w:jc w:val="center"/>
            <w:rPr>
              <w:rFonts w:ascii="Verdana" w:hAnsi="Verdana" w:cs="Arial"/>
              <w:b/>
              <w:sz w:val="20"/>
              <w:lang w:eastAsia="lt-LT"/>
            </w:rPr>
          </w:pPr>
        </w:p>
        <w:sdt>
          <w:sdtPr>
            <w:alias w:val="skyrius"/>
            <w:tag w:val="part_f5c44ec182694121810a3be48644dd3f"/>
            <w:lock w:val="sdtLocked"/>
            <w:richText/>
          </w:sdtPr>
          <w:sdtContent>
            <w:p w14:paraId="6766F517" w14:textId="1B6E8147">
              <w:pPr>
                <w:tabs>
                  <w:tab w:val="left" w:pos="4111"/>
                </w:tabs>
                <w:ind w:firstLine="720"/>
                <w:jc w:val="center"/>
                <w:rPr>
                  <w:rFonts w:ascii="Verdana" w:hAnsi="Verdana" w:cs="Arial"/>
                  <w:b/>
                  <w:bCs/>
                  <w:sz w:val="20"/>
                  <w:szCs w:val="24"/>
                  <w:lang w:eastAsia="lt-LT"/>
                </w:rPr>
              </w:pPr>
              <w:sdt>
                <w:sdtPr>
                  <w:alias w:val="Numeris"/>
                  <w:tag w:val="nr_f5c44ec182694121810a3be48644dd3f"/>
                  <w:lock w:val="sdtLocked"/>
                  <w:richText/>
                </w:sdtPr>
                <w:sdtContent>
                  <w:r>
                    <w:rPr>
                      <w:rFonts w:ascii="Verdana" w:hAnsi="Verdana" w:cs="Arial"/>
                      <w:b/>
                      <w:bCs/>
                      <w:sz w:val="20"/>
                      <w:szCs w:val="24"/>
                      <w:lang w:eastAsia="lt-LT"/>
                    </w:rPr>
                    <w:t>I</w:t>
                  </w:r>
                </w:sdtContent>
              </w:sdt>
              <w:r>
                <w:rPr>
                  <w:rFonts w:ascii="Verdana" w:hAnsi="Verdana" w:cs="Arial"/>
                  <w:b/>
                  <w:bCs/>
                  <w:sz w:val="20"/>
                  <w:szCs w:val="24"/>
                  <w:lang w:eastAsia="lt-LT"/>
                </w:rPr>
                <w:t xml:space="preserve"> SKYRIUS</w:t>
              </w:r>
            </w:p>
            <w:p w14:paraId="73D566F8" w14:textId="77777777">
              <w:pPr>
                <w:jc w:val="center"/>
                <w:rPr>
                  <w:rFonts w:ascii="Verdana" w:hAnsi="Verdana" w:cs="Arial"/>
                  <w:b/>
                  <w:sz w:val="20"/>
                  <w:lang w:eastAsia="lt-LT"/>
                </w:rPr>
              </w:pPr>
              <w:sdt>
                <w:sdtPr>
                  <w:alias w:val="Pavadinimas"/>
                  <w:tag w:val="title_f5c44ec182694121810a3be48644dd3f"/>
                  <w:lock w:val="sdtLocked"/>
                  <w:richText/>
                </w:sdtPr>
                <w:sdtContent>
                  <w:r>
                    <w:rPr>
                      <w:rFonts w:ascii="Verdana" w:hAnsi="Verdana" w:cs="Arial"/>
                      <w:b/>
                      <w:sz w:val="20"/>
                      <w:lang w:eastAsia="lt-LT"/>
                    </w:rPr>
                    <w:t>BENDROSIOS NUOSTATOS</w:t>
                  </w:r>
                </w:sdtContent>
              </w:sdt>
            </w:p>
            <w:p w14:paraId="5CDC1C59" w14:textId="77777777">
              <w:pPr>
                <w:jc w:val="both"/>
                <w:rPr>
                  <w:rFonts w:ascii="Verdana" w:hAnsi="Verdana" w:cs="Arial"/>
                  <w:b/>
                  <w:sz w:val="20"/>
                  <w:highlight w:val="yellow"/>
                  <w:lang w:eastAsia="lt-LT"/>
                </w:rPr>
              </w:pPr>
            </w:p>
            <w:sdt>
              <w:sdtPr>
                <w:alias w:val="1 p."/>
                <w:tag w:val="part_76bef17211be45d3b1e595a574ff95b8"/>
                <w:lock w:val="sdtLocked"/>
                <w:richText/>
              </w:sdtPr>
              <w:sdtContent>
                <w:p w14:paraId="03385DAC" w14:textId="393FD544">
                  <w:pPr>
                    <w:tabs>
                      <w:tab w:val="left" w:pos="851"/>
                    </w:tabs>
                    <w:ind w:firstLine="567"/>
                    <w:jc w:val="both"/>
                    <w:rPr>
                      <w:rFonts w:ascii="Verdana" w:hAnsi="Verdana" w:cs="Arial"/>
                      <w:color w:val="000000"/>
                      <w:sz w:val="20"/>
                      <w:szCs w:val="24"/>
                      <w:lang w:eastAsia="lt-LT"/>
                    </w:rPr>
                  </w:pPr>
                  <w:sdt>
                    <w:sdtPr>
                      <w:alias w:val="Numeris"/>
                      <w:tag w:val="nr_76bef17211be45d3b1e595a574ff95b8"/>
                      <w:lock w:val="sdtLocked"/>
                      <w:richText/>
                    </w:sdtPr>
                    <w:sdtContent>
                      <w:r>
                        <w:rPr>
                          <w:rFonts w:ascii="Verdana" w:hAnsi="Verdana" w:cs="Arial"/>
                          <w:color w:val="000000"/>
                          <w:sz w:val="20"/>
                          <w:szCs w:val="24"/>
                          <w:lang w:eastAsia="lt-LT"/>
                        </w:rPr>
                        <w:t>1</w:t>
                      </w:r>
                    </w:sdtContent>
                  </w:sdt>
                  <w:r>
                    <w:rPr>
                      <w:rFonts w:ascii="Verdana" w:hAnsi="Verdana" w:cs="Arial"/>
                      <w:color w:val="000000"/>
                      <w:sz w:val="20"/>
                      <w:szCs w:val="24"/>
                      <w:lang w:eastAsia="lt-LT"/>
                    </w:rPr>
                    <w:t>.</w:t>
                    <w:tab/>
                    <w:t>Kriptoturto paslaugų teikėjų licencijavimo taisyklėse (toliau – Taisyklės) nustatoma prašymo išduoti kriptoturto paslaugų teikėjo licenciją pateikimo, nagrinėjimo tvarka, pateikiamų dokumentų turinio ir formos reikalavimai, licencijos išdavimo ir keitimo tvarka, pranešimo apie informacijos, kuri buvo pateikta norint gauti licenciją, pasikeitimus pateikimo tvarka.</w:t>
                  </w:r>
                </w:p>
              </w:sdtContent>
            </w:sdt>
            <w:sdt>
              <w:sdtPr>
                <w:alias w:val="2 p."/>
                <w:tag w:val="part_177bda24af74415e889c51e9ebed732e"/>
                <w:lock w:val="sdtLocked"/>
                <w:richText/>
              </w:sdtPr>
              <w:sdtContent>
                <w:p w14:paraId="246E5312" w14:textId="3CD101D3">
                  <w:pPr>
                    <w:tabs>
                      <w:tab w:val="left" w:pos="851"/>
                    </w:tabs>
                    <w:ind w:firstLine="567"/>
                    <w:jc w:val="both"/>
                    <w:rPr>
                      <w:rFonts w:ascii="Verdana" w:hAnsi="Verdana" w:cs="Arial"/>
                      <w:sz w:val="20"/>
                      <w:szCs w:val="24"/>
                      <w:lang w:eastAsia="lt-LT"/>
                    </w:rPr>
                  </w:pPr>
                  <w:sdt>
                    <w:sdtPr>
                      <w:alias w:val="Numeris"/>
                      <w:tag w:val="nr_177bda24af74415e889c51e9ebed732e"/>
                      <w:lock w:val="sdtLocked"/>
                      <w:richText/>
                    </w:sdtPr>
                    <w:sdtContent>
                      <w:r>
                        <w:rPr>
                          <w:rFonts w:ascii="Verdana" w:hAnsi="Verdana" w:cs="Arial"/>
                          <w:sz w:val="20"/>
                          <w:szCs w:val="24"/>
                          <w:lang w:eastAsia="lt-LT"/>
                        </w:rPr>
                        <w:t>2</w:t>
                      </w:r>
                    </w:sdtContent>
                  </w:sdt>
                  <w:r>
                    <w:rPr>
                      <w:rFonts w:ascii="Verdana" w:hAnsi="Verdana" w:cs="Arial"/>
                      <w:sz w:val="20"/>
                      <w:szCs w:val="24"/>
                      <w:lang w:eastAsia="lt-LT"/>
                    </w:rPr>
                    <w:t>.</w:t>
                    <w:tab/>
                  </w:r>
                  <w:r>
                    <w:rPr>
                      <w:rFonts w:ascii="Verdana" w:hAnsi="Verdana"/>
                      <w:color w:val="333333"/>
                      <w:sz w:val="20"/>
                      <w:szCs w:val="24"/>
                      <w:shd w:val="clear" w:color="auto" w:fill="FFFFFF"/>
                      <w:lang w:eastAsia="lt-LT"/>
                    </w:rPr>
                    <w:t xml:space="preserve">Taisyklėse vartojamos sąvokos suprantamos taip, kaip jos apibrėžtos </w:t>
                  </w:r>
                  <w:r>
                    <w:rPr>
                      <w:rFonts w:ascii="Verdana" w:hAnsi="Verdana" w:cs="Arial"/>
                      <w:sz w:val="20"/>
                      <w:szCs w:val="24"/>
                      <w:lang w:eastAsia="lt-LT"/>
                    </w:rPr>
                    <w:t xml:space="preserve">2023 m. gegužės 31 d. Europos Parlamento ir Tarybos reglamente </w:t>
                  </w:r>
                  <w:fldSimple w:instr="HYPERLINK http://eur-lex.europa.eu/legal-content/LIT/TXT/?uri=CELEX:32023R1114&amp;locale=lt \t _blank">
                    <w:r>
                      <w:rPr>
                        <w:rFonts w:ascii="Verdana" w:hAnsi="Verdana" w:cs="Arial"/>
                        <w:sz w:val="20"/>
                        <w:szCs w:val="24"/>
                        <w:lang w:eastAsia="lt-LT"/>
                        <w:u w:val="single"/>
                        <w:color w:val="0000FF" w:themeColor="hyperlink"/>
                      </w:rPr>
                      <w:t>(ES) 2023/1114</w:t>
                    </w:r>
                  </w:fldSimple>
                  <w:r>
                    <w:rPr>
                      <w:rFonts w:ascii="Verdana" w:hAnsi="Verdana" w:cs="Arial"/>
                      <w:sz w:val="20"/>
                      <w:szCs w:val="24"/>
                      <w:lang w:eastAsia="lt-LT"/>
                    </w:rPr>
                    <w:t xml:space="preserve"> dėl kriptoturto rinkų, kuriuo iš dalies keičiami reglamentai </w:t>
                  </w:r>
                  <w:fldSimple w:instr="HYPERLINK http://eur-lex.europa.eu/legal-content/LIT/TXT/?uri=CELEX:32010R1093&amp;locale=lt \t _blank">
                    <w:r>
                      <w:rPr>
                        <w:rFonts w:ascii="Verdana" w:hAnsi="Verdana" w:cs="Arial"/>
                        <w:sz w:val="20"/>
                        <w:szCs w:val="24"/>
                        <w:lang w:eastAsia="lt-LT"/>
                        <w:u w:val="single"/>
                        <w:color w:val="0000FF" w:themeColor="hyperlink"/>
                      </w:rPr>
                      <w:t>(ES) Nr. 1093/2010</w:t>
                    </w:r>
                  </w:fldSimple>
                  <w:r>
                    <w:rPr>
                      <w:rFonts w:ascii="Verdana" w:hAnsi="Verdana" w:cs="Arial"/>
                      <w:sz w:val="20"/>
                      <w:szCs w:val="24"/>
                      <w:lang w:eastAsia="lt-LT"/>
                    </w:rPr>
                    <w:t xml:space="preserve"> bei </w:t>
                  </w:r>
                  <w:fldSimple w:instr="HYPERLINK http://eur-lex.europa.eu/legal-content/LIT/TXT/?uri=CELEX:32010R1095&amp;locale=lt \t _blank">
                    <w:r>
                      <w:rPr>
                        <w:rFonts w:ascii="Verdana" w:hAnsi="Verdana" w:cs="Arial"/>
                        <w:sz w:val="20"/>
                        <w:szCs w:val="24"/>
                        <w:lang w:eastAsia="lt-LT"/>
                        <w:u w:val="single"/>
                        <w:color w:val="0000FF" w:themeColor="hyperlink"/>
                      </w:rPr>
                      <w:t>(ES) Nr. 1095/2010</w:t>
                    </w:r>
                  </w:fldSimple>
                  <w:r>
                    <w:rPr>
                      <w:rFonts w:ascii="Verdana" w:hAnsi="Verdana" w:cs="Arial"/>
                      <w:sz w:val="20"/>
                      <w:szCs w:val="24"/>
                      <w:lang w:eastAsia="lt-LT"/>
                    </w:rPr>
                    <w:t xml:space="preserve"> ir direktyvos </w:t>
                  </w:r>
                  <w:fldSimple w:instr="HYPERLINK http://eur-lex.europa.eu/legal-content/LIT/TXT/?uri=CELEX:32013L0036&amp;locale=lt \t _blank">
                    <w:r>
                      <w:rPr>
                        <w:rFonts w:ascii="Verdana" w:hAnsi="Verdana" w:cs="Arial"/>
                        <w:sz w:val="20"/>
                        <w:szCs w:val="24"/>
                        <w:lang w:eastAsia="lt-LT"/>
                        <w:u w:val="single"/>
                        <w:color w:val="0000FF" w:themeColor="hyperlink"/>
                      </w:rPr>
                      <w:t>2013/36/ES</w:t>
                    </w:r>
                  </w:fldSimple>
                  <w:r>
                    <w:rPr>
                      <w:rFonts w:ascii="Verdana" w:hAnsi="Verdana" w:cs="Arial"/>
                      <w:sz w:val="20"/>
                      <w:szCs w:val="24"/>
                      <w:lang w:eastAsia="lt-LT"/>
                    </w:rPr>
                    <w:t xml:space="preserve"> bei </w:t>
                  </w:r>
                  <w:fldSimple w:instr="HYPERLINK http://eur-lex.europa.eu/legal-content/LIT/TXT/?uri=CELEX:32019L1937&amp;locale=lt \t _blank">
                    <w:r>
                      <w:rPr>
                        <w:rFonts w:ascii="Verdana" w:hAnsi="Verdana" w:cs="Arial"/>
                        <w:sz w:val="20"/>
                        <w:szCs w:val="24"/>
                        <w:lang w:eastAsia="lt-LT"/>
                        <w:u w:val="single"/>
                        <w:color w:val="0000FF" w:themeColor="hyperlink"/>
                      </w:rPr>
                      <w:t>(ES) 2019/1937</w:t>
                    </w:r>
                  </w:fldSimple>
                  <w:r>
                    <w:rPr>
                      <w:rFonts w:ascii="Verdana" w:hAnsi="Verdana" w:cs="Arial"/>
                      <w:sz w:val="20"/>
                      <w:szCs w:val="24"/>
                      <w:lang w:eastAsia="lt-LT"/>
                    </w:rPr>
                    <w:t xml:space="preserve"> </w:t>
                  </w:r>
                  <w:r>
                    <w:rPr>
                      <w:rFonts w:ascii="Verdana" w:eastAsia="Verdana" w:hAnsi="Verdana" w:cs="Verdana"/>
                      <w:color w:val="000000"/>
                      <w:sz w:val="20"/>
                      <w:lang w:eastAsia="lt-LT"/>
                    </w:rPr>
                    <w:t xml:space="preserve">(toliau – Reglamentas </w:t>
                  </w:r>
                  <w:fldSimple w:instr="HYPERLINK http://eur-lex.europa.eu/legal-content/LIT/TXT/?uri=CELEX:32023R1114&amp;locale=lt \t _blank">
                    <w:r>
                      <w:rPr>
                        <w:rFonts w:ascii="Verdana" w:eastAsia="Verdana" w:hAnsi="Verdana" w:cs="Verdana"/>
                        <w:color w:val="0000FF" w:themeColor="hyperlink"/>
                        <w:sz w:val="20"/>
                        <w:lang w:eastAsia="lt-LT"/>
                        <w:u w:val="single"/>
                      </w:rPr>
                      <w:t>(ES) 2023/1114</w:t>
                    </w:r>
                  </w:fldSimple>
                  <w:r>
                    <w:rPr>
                      <w:rFonts w:ascii="Verdana" w:eastAsia="Verdana" w:hAnsi="Verdana" w:cs="Verdana"/>
                      <w:color w:val="000000"/>
                      <w:sz w:val="20"/>
                      <w:lang w:eastAsia="lt-LT"/>
                    </w:rPr>
                    <w:t>)</w:t>
                  </w:r>
                  <w:r>
                    <w:rPr>
                      <w:rFonts w:ascii="Verdana" w:hAnsi="Verdana" w:cs="Arial"/>
                      <w:sz w:val="20"/>
                      <w:szCs w:val="24"/>
                      <w:lang w:eastAsia="lt-LT"/>
                    </w:rPr>
                    <w:t>,</w:t>
                  </w:r>
                  <w:r>
                    <w:rPr>
                      <w:rFonts w:ascii="Verdana" w:hAnsi="Verdana" w:cs="Arial"/>
                      <w:color w:val="000000"/>
                      <w:sz w:val="20"/>
                      <w:szCs w:val="24"/>
                      <w:lang w:eastAsia="lt-LT"/>
                    </w:rPr>
                    <w:t xml:space="preserve"> </w:t>
                  </w:r>
                  <w:r>
                    <w:rPr>
                      <w:rFonts w:ascii="Verdana" w:hAnsi="Verdana"/>
                      <w:sz w:val="20"/>
                      <w:szCs w:val="24"/>
                      <w:shd w:val="clear" w:color="auto" w:fill="FFFFFF"/>
                      <w:lang w:eastAsia="lt-LT"/>
                    </w:rPr>
                    <w:t>Lietuvos Respublikos kriptoturto rinkų įstatyme, Lietuvos Respublikos finansų įstaigų įstatyme.</w:t>
                  </w:r>
                </w:p>
              </w:sdtContent>
            </w:sdt>
            <w:sdt>
              <w:sdtPr>
                <w:alias w:val="3 p."/>
                <w:tag w:val="part_26c1626ff97946beaafa912d8c9d3f82"/>
                <w:lock w:val="sdtLocked"/>
                <w:richText/>
              </w:sdtPr>
              <w:sdtContent>
                <w:p w14:paraId="6BC53A48" w14:textId="0F189321">
                  <w:pPr>
                    <w:tabs>
                      <w:tab w:val="left" w:pos="851"/>
                    </w:tabs>
                    <w:ind w:firstLine="567"/>
                    <w:jc w:val="both"/>
                    <w:rPr>
                      <w:rFonts w:ascii="Verdana" w:hAnsi="Verdana" w:cs="Arial"/>
                      <w:color w:val="000000"/>
                      <w:sz w:val="20"/>
                      <w:szCs w:val="24"/>
                      <w:lang w:eastAsia="lt-LT"/>
                    </w:rPr>
                  </w:pPr>
                  <w:sdt>
                    <w:sdtPr>
                      <w:alias w:val="Numeris"/>
                      <w:tag w:val="nr_26c1626ff97946beaafa912d8c9d3f82"/>
                      <w:lock w:val="sdtLocked"/>
                      <w:richText/>
                    </w:sdtPr>
                    <w:sdtContent>
                      <w:r>
                        <w:rPr>
                          <w:rFonts w:ascii="Verdana" w:hAnsi="Verdana" w:cs="Arial"/>
                          <w:color w:val="000000"/>
                          <w:sz w:val="20"/>
                          <w:szCs w:val="24"/>
                          <w:lang w:eastAsia="lt-LT"/>
                        </w:rPr>
                        <w:t>3</w:t>
                      </w:r>
                    </w:sdtContent>
                  </w:sdt>
                  <w:r>
                    <w:rPr>
                      <w:rFonts w:ascii="Verdana" w:hAnsi="Verdana" w:cs="Arial"/>
                      <w:color w:val="000000"/>
                      <w:sz w:val="20"/>
                      <w:szCs w:val="24"/>
                      <w:lang w:eastAsia="lt-LT"/>
                    </w:rPr>
                    <w:t>.</w:t>
                    <w:tab/>
                  </w:r>
                  <w:r>
                    <w:rPr>
                      <w:rFonts w:ascii="Verdana" w:hAnsi="Verdana" w:cs="Arial"/>
                      <w:color w:val="000000"/>
                      <w:sz w:val="20"/>
                      <w:szCs w:val="24"/>
                      <w:lang w:eastAsia="lt-LT"/>
                    </w:rPr>
                    <w:t xml:space="preserve">Taisyklės parengtos vadovaujantis Lietuvos Respublikos kriptoturto rinkų įstatymu, taip pat Reglamentu </w:t>
                  </w:r>
                  <w:fldSimple w:instr="HYPERLINK http://eur-lex.europa.eu/legal-content/LIT/TXT/?uri=CELEX:32023R1114&amp;locale=lt \t _blank">
                    <w:r>
                      <w:rPr>
                        <w:rFonts w:ascii="Verdana" w:hAnsi="Verdana" w:cs="Arial"/>
                        <w:color w:val="0000FF" w:themeColor="hyperlink"/>
                        <w:sz w:val="20"/>
                        <w:szCs w:val="24"/>
                        <w:lang w:eastAsia="lt-LT"/>
                        <w:u w:val="single"/>
                      </w:rPr>
                      <w:t>(ES) 2023/1114</w:t>
                    </w:r>
                  </w:fldSimple>
                  <w:r>
                    <w:rPr>
                      <w:rFonts w:ascii="Verdana" w:hAnsi="Verdana" w:cs="Arial"/>
                      <w:color w:val="000000"/>
                      <w:sz w:val="20"/>
                      <w:szCs w:val="24"/>
                      <w:lang w:eastAsia="lt-LT"/>
                    </w:rPr>
                    <w:t>), bei Europos vertybinių popierių ir rinkų institucijos (</w:t>
                  </w:r>
                  <w:r>
                    <w:rPr>
                      <w:rFonts w:ascii="Verdana" w:eastAsia="Verdana" w:hAnsi="Verdana" w:cs="Verdana"/>
                      <w:color w:val="000000"/>
                      <w:sz w:val="20"/>
                      <w:lang w:eastAsia="lt-LT"/>
                    </w:rPr>
                    <w:t xml:space="preserve">angl. </w:t>
                  </w:r>
                  <w:r>
                    <w:rPr>
                      <w:rFonts w:ascii="Verdana" w:eastAsia="Verdana" w:hAnsi="Verdana" w:cs="Verdana"/>
                      <w:i/>
                      <w:iCs/>
                      <w:color w:val="000000"/>
                      <w:sz w:val="20"/>
                      <w:lang w:eastAsia="lt-LT"/>
                    </w:rPr>
                    <w:t>European Securities and Markets Authority</w:t>
                  </w:r>
                  <w:r>
                    <w:rPr>
                      <w:rFonts w:ascii="Verdana" w:eastAsia="Verdana" w:hAnsi="Verdana" w:cs="Verdana"/>
                      <w:color w:val="000000"/>
                      <w:sz w:val="20"/>
                      <w:lang w:eastAsia="lt-LT"/>
                    </w:rPr>
                    <w:t xml:space="preserve">, </w:t>
                  </w:r>
                  <w:r>
                    <w:rPr>
                      <w:rFonts w:ascii="Verdana" w:hAnsi="Verdana" w:cs="Arial"/>
                      <w:color w:val="000000"/>
                      <w:sz w:val="20"/>
                      <w:szCs w:val="24"/>
                      <w:lang w:eastAsia="lt-LT"/>
                    </w:rPr>
                    <w:t xml:space="preserve">ESMA) parengtais techniniais standartais dėl informacijos, pateiktinos prašymuose išduoti leidimą teikti kriptoturto paslaugas pagal Reglamentą </w:t>
                  </w:r>
                  <w:fldSimple w:instr="HYPERLINK http://eur-lex.europa.eu/legal-content/LIT/TXT/?uri=CELEX:32023R1114&amp;locale=lt \t _blank">
                    <w:r>
                      <w:rPr>
                        <w:rFonts w:ascii="Verdana" w:hAnsi="Verdana" w:cs="Arial"/>
                        <w:color w:val="0000FF" w:themeColor="hyperlink"/>
                        <w:sz w:val="20"/>
                        <w:szCs w:val="24"/>
                        <w:lang w:eastAsia="lt-LT"/>
                        <w:u w:val="single"/>
                      </w:rPr>
                      <w:t>(ES) 2023/1114</w:t>
                    </w:r>
                  </w:fldSimple>
                  <w:r>
                    <w:rPr>
                      <w:rFonts w:ascii="Verdana" w:hAnsi="Verdana" w:cs="Arial"/>
                      <w:color w:val="000000"/>
                      <w:sz w:val="20"/>
                      <w:szCs w:val="24"/>
                      <w:lang w:eastAsia="lt-LT"/>
                    </w:rPr>
                    <w:t>.</w:t>
                  </w:r>
                </w:p>
              </w:sdtContent>
            </w:sdt>
            <w:sdt>
              <w:sdtPr>
                <w:alias w:val="4 p."/>
                <w:tag w:val="part_a55be85295e44bd4a4aa31f0fe68c25d"/>
                <w:lock w:val="sdtLocked"/>
                <w:richText/>
              </w:sdtPr>
              <w:sdtContent>
                <w:p w14:paraId="7BFAFA67" w14:textId="29ED490F">
                  <w:pPr>
                    <w:tabs>
                      <w:tab w:val="left" w:pos="851"/>
                    </w:tabs>
                    <w:ind w:firstLine="567"/>
                    <w:jc w:val="both"/>
                    <w:rPr>
                      <w:rFonts w:ascii="Verdana" w:hAnsi="Verdana" w:cs="Arial"/>
                      <w:color w:val="000000"/>
                      <w:sz w:val="20"/>
                      <w:lang w:eastAsia="lt-LT"/>
                    </w:rPr>
                  </w:pPr>
                  <w:sdt>
                    <w:sdtPr>
                      <w:alias w:val="Numeris"/>
                      <w:tag w:val="nr_a55be85295e44bd4a4aa31f0fe68c25d"/>
                      <w:lock w:val="sdtLocked"/>
                      <w:richText/>
                    </w:sdtPr>
                    <w:sdtContent>
                      <w:r>
                        <w:rPr>
                          <w:rFonts w:ascii="Verdana" w:hAnsi="Verdana" w:cs="Arial"/>
                          <w:color w:val="000000"/>
                          <w:sz w:val="20"/>
                          <w:lang w:eastAsia="lt-LT"/>
                        </w:rPr>
                        <w:t>4</w:t>
                      </w:r>
                    </w:sdtContent>
                  </w:sdt>
                  <w:r>
                    <w:rPr>
                      <w:rFonts w:ascii="Verdana" w:hAnsi="Verdana" w:cs="Arial"/>
                      <w:color w:val="000000"/>
                      <w:sz w:val="20"/>
                      <w:lang w:eastAsia="lt-LT"/>
                    </w:rPr>
                    <w:t>.</w:t>
                    <w:tab/>
                  </w:r>
                  <w:r>
                    <w:rPr>
                      <w:rFonts w:ascii="Verdana" w:hAnsi="Verdana"/>
                      <w:color w:val="333333"/>
                      <w:sz w:val="20"/>
                      <w:shd w:val="clear" w:color="auto" w:fill="FFFFFF"/>
                      <w:lang w:eastAsia="lt-LT"/>
                    </w:rPr>
                    <w:t>Pagal</w:t>
                  </w:r>
                  <w:r>
                    <w:rPr>
                      <w:rFonts w:ascii="Verdana" w:hAnsi="Verdana" w:cs="Arial"/>
                      <w:color w:val="000000"/>
                      <w:sz w:val="20"/>
                      <w:lang w:eastAsia="lt-LT"/>
                    </w:rPr>
                    <w:t xml:space="preserve"> šias Taisykles Lietuvos bankui pateikiamiems dokumentams ir Lietuvos banko atliekamiems veiksmams taikomi Bendrųjų Lietuvos banko prižiūrimų finansų rinkos dalyvių prašymų išduoti leidimus pateikimo, nagrinėjimo ir leidimų išdavimo taisyklių, patvirtintų Lietuvos banko valdybos 2004 m. gegužės 6 d. nutarimu Nr. 58 „Dėl Bendrųjų Lietuvos banko prižiūrimų finansų rinkos dalyvių prašymų išduoti leidimus pateikimo, nagrinėjimo ir leidimų išdavimo taisyklių patvirtinimo“ (toliau – Bendrosios dokumentų pateikimo taisyklės), reikalavimai.</w:t>
                  </w:r>
                </w:p>
                <w:p w14:paraId="60A53E59" w14:textId="77777777">
                  <w:pPr>
                    <w:tabs>
                      <w:tab w:val="left" w:pos="851"/>
                    </w:tabs>
                    <w:ind w:left="567"/>
                    <w:jc w:val="both"/>
                    <w:rPr>
                      <w:rFonts w:ascii="Verdana" w:hAnsi="Verdana" w:cs="Arial"/>
                      <w:color w:val="000000"/>
                      <w:sz w:val="20"/>
                      <w:lang w:eastAsia="lt-LT"/>
                    </w:rPr>
                  </w:pPr>
                </w:p>
              </w:sdtContent>
            </w:sdt>
          </w:sdtContent>
        </w:sdt>
        <w:sdt>
          <w:sdtPr>
            <w:alias w:val="skyrius"/>
            <w:tag w:val="part_3b3cae72178e4913bc2989fa487f4b4d"/>
            <w:lock w:val="sdtLocked"/>
            <w:richText/>
          </w:sdtPr>
          <w:sdtContent>
            <w:p w14:paraId="4C36F9E1" w14:textId="5CEE64BA">
              <w:pPr>
                <w:ind w:firstLine="720"/>
                <w:jc w:val="center"/>
                <w:rPr>
                  <w:rFonts w:ascii="Verdana" w:hAnsi="Verdana" w:cs="Arial"/>
                  <w:b/>
                  <w:bCs/>
                  <w:sz w:val="20"/>
                  <w:szCs w:val="24"/>
                  <w:lang w:eastAsia="lt-LT"/>
                </w:rPr>
              </w:pPr>
              <w:sdt>
                <w:sdtPr>
                  <w:alias w:val="Numeris"/>
                  <w:tag w:val="nr_3b3cae72178e4913bc2989fa487f4b4d"/>
                  <w:lock w:val="sdtLocked"/>
                  <w:richText/>
                </w:sdtPr>
                <w:sdtContent>
                  <w:r>
                    <w:rPr>
                      <w:rFonts w:ascii="Verdana" w:hAnsi="Verdana" w:cs="Arial"/>
                      <w:b/>
                      <w:bCs/>
                      <w:sz w:val="20"/>
                      <w:szCs w:val="24"/>
                      <w:lang w:eastAsia="lt-LT"/>
                    </w:rPr>
                    <w:t>II</w:t>
                  </w:r>
                </w:sdtContent>
              </w:sdt>
              <w:r>
                <w:rPr>
                  <w:rFonts w:ascii="Verdana" w:hAnsi="Verdana" w:cs="Arial"/>
                  <w:b/>
                  <w:bCs/>
                  <w:sz w:val="20"/>
                  <w:szCs w:val="24"/>
                  <w:lang w:eastAsia="lt-LT"/>
                </w:rPr>
                <w:t xml:space="preserve"> SKYRIUS</w:t>
              </w:r>
            </w:p>
            <w:p w14:paraId="741D19C2" w14:textId="7942DF93">
              <w:pPr>
                <w:jc w:val="center"/>
                <w:rPr>
                  <w:rFonts w:ascii="Verdana" w:hAnsi="Verdana" w:cs="Arial"/>
                  <w:b/>
                  <w:sz w:val="20"/>
                  <w:lang w:eastAsia="lt-LT"/>
                </w:rPr>
              </w:pPr>
              <w:sdt>
                <w:sdtPr>
                  <w:alias w:val="Pavadinimas"/>
                  <w:tag w:val="title_3b3cae72178e4913bc2989fa487f4b4d"/>
                  <w:lock w:val="sdtLocked"/>
                  <w:richText/>
                </w:sdtPr>
                <w:sdtContent>
                  <w:r>
                    <w:rPr>
                      <w:rFonts w:ascii="Verdana" w:hAnsi="Verdana" w:cs="Arial"/>
                      <w:b/>
                      <w:sz w:val="20"/>
                      <w:lang w:eastAsia="lt-LT"/>
                    </w:rPr>
                    <w:t>PRAŠYMAS IŠDUOTI LICENCIJĄ</w:t>
                  </w:r>
                </w:sdtContent>
              </w:sdt>
            </w:p>
            <w:p w14:paraId="1B720C55" w14:textId="77777777">
              <w:pPr>
                <w:tabs>
                  <w:tab w:val="left" w:pos="851"/>
                  <w:tab w:val="left" w:pos="993"/>
                </w:tabs>
                <w:ind w:firstLine="720"/>
                <w:jc w:val="both"/>
                <w:rPr>
                  <w:rFonts w:ascii="Verdana" w:hAnsi="Verdana" w:cs="Arial"/>
                  <w:color w:val="000000"/>
                  <w:sz w:val="20"/>
                  <w:lang w:eastAsia="lt-LT"/>
                </w:rPr>
              </w:pPr>
            </w:p>
            <w:sdt>
              <w:sdtPr>
                <w:alias w:val="5 p."/>
                <w:tag w:val="part_0a755bcf971b4837b8e086c1d1f87c1a"/>
                <w:lock w:val="sdtLocked"/>
                <w:richText/>
              </w:sdtPr>
              <w:sdtContent>
                <w:p w14:paraId="4386B792" w14:textId="66782340">
                  <w:pPr>
                    <w:tabs>
                      <w:tab w:val="left" w:pos="993"/>
                    </w:tabs>
                    <w:ind w:firstLine="567"/>
                    <w:jc w:val="both"/>
                    <w:rPr>
                      <w:rFonts w:ascii="Verdana" w:hAnsi="Verdana" w:cs="Arial"/>
                      <w:color w:val="000000"/>
                      <w:sz w:val="20"/>
                      <w:lang w:eastAsia="lt-LT"/>
                    </w:rPr>
                  </w:pPr>
                  <w:sdt>
                    <w:sdtPr>
                      <w:alias w:val="Numeris"/>
                      <w:tag w:val="nr_0a755bcf971b4837b8e086c1d1f87c1a"/>
                      <w:lock w:val="sdtLocked"/>
                      <w:richText/>
                    </w:sdtPr>
                    <w:sdtContent>
                      <w:r>
                        <w:rPr>
                          <w:rFonts w:ascii="Verdana" w:hAnsi="Verdana" w:cs="Arial"/>
                          <w:color w:val="000000"/>
                          <w:sz w:val="20"/>
                          <w:lang w:eastAsia="lt-LT"/>
                        </w:rPr>
                        <w:t>5</w:t>
                      </w:r>
                    </w:sdtContent>
                  </w:sdt>
                  <w:r>
                    <w:rPr>
                      <w:rFonts w:ascii="Verdana" w:hAnsi="Verdana" w:cs="Arial"/>
                      <w:color w:val="000000"/>
                      <w:sz w:val="20"/>
                      <w:lang w:eastAsia="lt-LT"/>
                    </w:rPr>
                    <w:t>.</w:t>
                    <w:tab/>
                    <w:t xml:space="preserve">Pareiškėjas, norėdamas gauti kriptoturto paslaugų teikėjo licenciją, Lietuvos bankui pateikia užpildytą Taisyklių 1 priede </w:t>
                  </w:r>
                  <w:r>
                    <w:rPr>
                      <w:rFonts w:ascii="Verdana" w:hAnsi="Verdana"/>
                      <w:color w:val="000000"/>
                      <w:sz w:val="20"/>
                      <w:lang w:eastAsia="lt-LT"/>
                    </w:rPr>
                    <w:t>nustatytos formos prašymą kartu su prašymo formoje nurodytais dokumentais, aktualius Taisyklių priedus.</w:t>
                  </w:r>
                </w:p>
              </w:sdtContent>
            </w:sdt>
            <w:sdt>
              <w:sdtPr>
                <w:alias w:val="6 p."/>
                <w:tag w:val="part_a7657ed800894f4eba0a4aa7f433e073"/>
                <w:lock w:val="sdtLocked"/>
                <w:richText/>
              </w:sdtPr>
              <w:sdtContent>
                <w:p w14:paraId="0DD1F344" w14:textId="19FBA866">
                  <w:pPr>
                    <w:tabs>
                      <w:tab w:val="left" w:pos="993"/>
                    </w:tabs>
                    <w:ind w:firstLine="567"/>
                    <w:jc w:val="both"/>
                    <w:rPr>
                      <w:rFonts w:ascii="Verdana" w:hAnsi="Verdana" w:cs="Arial"/>
                      <w:color w:val="000000"/>
                      <w:sz w:val="20"/>
                      <w:lang w:eastAsia="lt-LT"/>
                    </w:rPr>
                  </w:pPr>
                  <w:sdt>
                    <w:sdtPr>
                      <w:alias w:val="Numeris"/>
                      <w:tag w:val="nr_a7657ed800894f4eba0a4aa7f433e073"/>
                      <w:lock w:val="sdtLocked"/>
                      <w:richText/>
                    </w:sdtPr>
                    <w:sdtContent>
                      <w:r>
                        <w:rPr>
                          <w:rFonts w:ascii="Verdana" w:hAnsi="Verdana" w:cs="Arial"/>
                          <w:color w:val="000000"/>
                          <w:sz w:val="20"/>
                          <w:lang w:eastAsia="lt-LT"/>
                        </w:rPr>
                        <w:t>6</w:t>
                      </w:r>
                    </w:sdtContent>
                  </w:sdt>
                  <w:r>
                    <w:rPr>
                      <w:rFonts w:ascii="Verdana" w:hAnsi="Verdana" w:cs="Arial"/>
                      <w:color w:val="000000"/>
                      <w:sz w:val="20"/>
                      <w:lang w:eastAsia="lt-LT"/>
                    </w:rPr>
                    <w:t>.</w:t>
                    <w:tab/>
                  </w:r>
                  <w:r>
                    <w:rPr>
                      <w:rFonts w:ascii="Verdana" w:hAnsi="Verdana"/>
                      <w:color w:val="000000"/>
                      <w:sz w:val="20"/>
                      <w:shd w:val="clear" w:color="auto" w:fill="FFFFFF"/>
                      <w:lang w:eastAsia="lt-LT"/>
                    </w:rPr>
                    <w:t xml:space="preserve">Lietuvos bankui teikiami dokumentai turi atitikti šiems dokumentams nustatytus turinio ir formos reikalavimus, nurodytus Taisyklėse ir atitinkamuose prieduose: </w:t>
                  </w:r>
                </w:p>
                <w:sdt>
                  <w:sdtPr>
                    <w:alias w:val="6.1 pp."/>
                    <w:tag w:val="part_909ef7f46fe14554b5689e1df6983a99"/>
                    <w:lock w:val="sdtLocked"/>
                    <w:richText/>
                  </w:sdtPr>
                  <w:sdtContent>
                    <w:p w14:paraId="1809B277" w14:textId="01B1B865">
                      <w:pPr>
                        <w:tabs>
                          <w:tab w:val="left" w:pos="1276"/>
                        </w:tabs>
                        <w:ind w:left="1134" w:hanging="567"/>
                        <w:jc w:val="both"/>
                        <w:rPr>
                          <w:rFonts w:ascii="Verdana" w:hAnsi="Verdana" w:cs="Arial"/>
                          <w:color w:val="000000"/>
                          <w:sz w:val="20"/>
                          <w:lang w:eastAsia="lt-LT"/>
                        </w:rPr>
                      </w:pPr>
                      <w:sdt>
                        <w:sdtPr>
                          <w:alias w:val="Numeris"/>
                          <w:tag w:val="nr_909ef7f46fe14554b5689e1df6983a99"/>
                          <w:lock w:val="sdtLocked"/>
                          <w:richText/>
                        </w:sdtPr>
                        <w:sdtContent>
                          <w:r>
                            <w:rPr>
                              <w:rFonts w:ascii="Verdana" w:hAnsi="Verdana" w:cs="Arial"/>
                              <w:color w:val="000000"/>
                              <w:sz w:val="20"/>
                              <w:lang w:eastAsia="lt-LT"/>
                            </w:rPr>
                            <w:t>6.1</w:t>
                          </w:r>
                        </w:sdtContent>
                      </w:sdt>
                      <w:r>
                        <w:rPr>
                          <w:rFonts w:ascii="Verdana" w:hAnsi="Verdana" w:cs="Arial"/>
                          <w:color w:val="000000"/>
                          <w:sz w:val="20"/>
                          <w:lang w:eastAsia="lt-LT"/>
                        </w:rPr>
                        <w:t>.</w:t>
                        <w:tab/>
                        <w:t>Prašymas išduoti kriptoturto paslaugų teikėjo licenciją (Priedas Nr. 1);</w:t>
                      </w:r>
                    </w:p>
                  </w:sdtContent>
                </w:sdt>
                <w:sdt>
                  <w:sdtPr>
                    <w:alias w:val="6.2 pp."/>
                    <w:tag w:val="part_a0afb09a3d8b4f868e1522477e4004ac"/>
                    <w:lock w:val="sdtLocked"/>
                    <w:richText/>
                  </w:sdtPr>
                  <w:sdtContent>
                    <w:p w14:paraId="384753D8" w14:textId="4613D3D0">
                      <w:pPr>
                        <w:tabs>
                          <w:tab w:val="left" w:pos="1276"/>
                        </w:tabs>
                        <w:ind w:left="1134" w:hanging="567"/>
                        <w:jc w:val="both"/>
                        <w:rPr>
                          <w:rFonts w:ascii="Verdana" w:hAnsi="Verdana" w:cs="Arial"/>
                          <w:color w:val="000000"/>
                          <w:sz w:val="20"/>
                          <w:lang w:eastAsia="lt-LT"/>
                        </w:rPr>
                      </w:pPr>
                      <w:sdt>
                        <w:sdtPr>
                          <w:alias w:val="Numeris"/>
                          <w:tag w:val="nr_a0afb09a3d8b4f868e1522477e4004ac"/>
                          <w:lock w:val="sdtLocked"/>
                          <w:richText/>
                        </w:sdtPr>
                        <w:sdtContent>
                          <w:r>
                            <w:rPr>
                              <w:rFonts w:ascii="Verdana" w:hAnsi="Verdana" w:cs="Arial"/>
                              <w:color w:val="000000"/>
                              <w:sz w:val="20"/>
                              <w:lang w:eastAsia="lt-LT"/>
                            </w:rPr>
                            <w:t>6.2</w:t>
                          </w:r>
                        </w:sdtContent>
                      </w:sdt>
                      <w:r>
                        <w:rPr>
                          <w:rFonts w:ascii="Verdana" w:hAnsi="Verdana" w:cs="Arial"/>
                          <w:color w:val="000000"/>
                          <w:sz w:val="20"/>
                          <w:lang w:eastAsia="lt-LT"/>
                        </w:rPr>
                        <w:t>.</w:t>
                        <w:tab/>
                      </w:r>
                      <w:r>
                        <w:rPr>
                          <w:rFonts w:ascii="Verdana" w:hAnsi="Verdana"/>
                          <w:color w:val="000000"/>
                          <w:sz w:val="20"/>
                          <w:lang w:eastAsia="lt-LT"/>
                        </w:rPr>
                        <w:t>Veiklos programa (Priedas Nr. 2);</w:t>
                      </w:r>
                    </w:p>
                  </w:sdtContent>
                </w:sdt>
                <w:sdt>
                  <w:sdtPr>
                    <w:alias w:val="6.3 pp."/>
                    <w:tag w:val="part_451e07b9d1084488ba990858ad76e498"/>
                    <w:lock w:val="sdtLocked"/>
                    <w:richText/>
                  </w:sdtPr>
                  <w:sdtContent>
                    <w:p w14:paraId="673C97B9" w14:textId="15645B6B">
                      <w:pPr>
                        <w:tabs>
                          <w:tab w:val="left" w:pos="1276"/>
                        </w:tabs>
                        <w:ind w:left="1134" w:hanging="567"/>
                        <w:jc w:val="both"/>
                        <w:rPr>
                          <w:rFonts w:ascii="Verdana" w:hAnsi="Verdana" w:cs="Arial"/>
                          <w:color w:val="000000"/>
                          <w:sz w:val="20"/>
                          <w:lang w:eastAsia="lt-LT"/>
                        </w:rPr>
                      </w:pPr>
                      <w:sdt>
                        <w:sdtPr>
                          <w:alias w:val="Numeris"/>
                          <w:tag w:val="nr_451e07b9d1084488ba990858ad76e498"/>
                          <w:lock w:val="sdtLocked"/>
                          <w:richText/>
                        </w:sdtPr>
                        <w:sdtContent>
                          <w:r>
                            <w:rPr>
                              <w:rFonts w:ascii="Verdana" w:hAnsi="Verdana" w:cs="Arial"/>
                              <w:color w:val="000000"/>
                              <w:sz w:val="20"/>
                              <w:lang w:eastAsia="lt-LT"/>
                            </w:rPr>
                            <w:t>6.3</w:t>
                          </w:r>
                        </w:sdtContent>
                      </w:sdt>
                      <w:r>
                        <w:rPr>
                          <w:rFonts w:ascii="Verdana" w:hAnsi="Verdana" w:cs="Arial"/>
                          <w:color w:val="000000"/>
                          <w:sz w:val="20"/>
                          <w:lang w:eastAsia="lt-LT"/>
                        </w:rPr>
                        <w:t>.</w:t>
                        <w:tab/>
                      </w:r>
                      <w:r>
                        <w:rPr>
                          <w:rFonts w:ascii="Verdana" w:hAnsi="Verdana"/>
                          <w:color w:val="000000"/>
                          <w:sz w:val="20"/>
                          <w:lang w:eastAsia="lt-LT"/>
                        </w:rPr>
                        <w:t>Organizacinės struktūros ir vidaus kontrolės sistemos aprašymas (Priedas Nr. 3);</w:t>
                      </w:r>
                    </w:p>
                  </w:sdtContent>
                </w:sdt>
                <w:sdt>
                  <w:sdtPr>
                    <w:alias w:val="6.4 pp."/>
                    <w:tag w:val="part_e6da1360b2f8401185ee9db52fcb48d0"/>
                    <w:lock w:val="sdtLocked"/>
                    <w:richText/>
                  </w:sdtPr>
                  <w:sdtContent>
                    <w:p w14:paraId="204E35DF" w14:textId="2A2CD7ED">
                      <w:pPr>
                        <w:tabs>
                          <w:tab w:val="left" w:pos="1276"/>
                        </w:tabs>
                        <w:ind w:left="1134" w:hanging="567"/>
                        <w:jc w:val="both"/>
                        <w:rPr>
                          <w:rFonts w:ascii="Verdana" w:hAnsi="Verdana" w:cs="Arial"/>
                          <w:color w:val="000000"/>
                          <w:sz w:val="20"/>
                          <w:lang w:eastAsia="lt-LT"/>
                        </w:rPr>
                      </w:pPr>
                      <w:sdt>
                        <w:sdtPr>
                          <w:alias w:val="Numeris"/>
                          <w:tag w:val="nr_e6da1360b2f8401185ee9db52fcb48d0"/>
                          <w:lock w:val="sdtLocked"/>
                          <w:richText/>
                        </w:sdtPr>
                        <w:sdtContent>
                          <w:r>
                            <w:rPr>
                              <w:rFonts w:ascii="Verdana" w:hAnsi="Verdana" w:cs="Arial"/>
                              <w:color w:val="000000"/>
                              <w:sz w:val="20"/>
                              <w:lang w:eastAsia="lt-LT"/>
                            </w:rPr>
                            <w:t>6.4</w:t>
                          </w:r>
                        </w:sdtContent>
                      </w:sdt>
                      <w:r>
                        <w:rPr>
                          <w:rFonts w:ascii="Verdana" w:hAnsi="Verdana" w:cs="Arial"/>
                          <w:color w:val="000000"/>
                          <w:sz w:val="20"/>
                          <w:lang w:eastAsia="lt-LT"/>
                        </w:rPr>
                        <w:t>.</w:t>
                        <w:tab/>
                      </w:r>
                      <w:r>
                        <w:rPr>
                          <w:rFonts w:ascii="Verdana" w:hAnsi="Verdana"/>
                          <w:color w:val="000000"/>
                          <w:sz w:val="20"/>
                          <w:lang w:eastAsia="lt-LT"/>
                        </w:rPr>
                        <w:t>Vidaus procedūrų, siekiant įvykdyti pareigas, susijusias su pinigų plovimo ir teroristų finansavimo prevencija, aprašymas (Priedas Nr. 4);</w:t>
                      </w:r>
                    </w:p>
                  </w:sdtContent>
                </w:sdt>
                <w:sdt>
                  <w:sdtPr>
                    <w:alias w:val="6.5 pp."/>
                    <w:tag w:val="part_219c8b95fd6f49499b1b17448e8ccbf4"/>
                    <w:lock w:val="sdtLocked"/>
                    <w:richText/>
                  </w:sdtPr>
                  <w:sdtContent>
                    <w:p w14:paraId="10A3B2B5" w14:textId="659BEF01">
                      <w:pPr>
                        <w:tabs>
                          <w:tab w:val="left" w:pos="1276"/>
                        </w:tabs>
                        <w:ind w:left="1134" w:hanging="567"/>
                        <w:jc w:val="both"/>
                        <w:rPr>
                          <w:rFonts w:ascii="Verdana" w:hAnsi="Verdana" w:cs="Arial"/>
                          <w:color w:val="000000"/>
                          <w:sz w:val="20"/>
                          <w:lang w:eastAsia="lt-LT"/>
                        </w:rPr>
                      </w:pPr>
                      <w:sdt>
                        <w:sdtPr>
                          <w:alias w:val="Numeris"/>
                          <w:tag w:val="nr_219c8b95fd6f49499b1b17448e8ccbf4"/>
                          <w:lock w:val="sdtLocked"/>
                          <w:richText/>
                        </w:sdtPr>
                        <w:sdtContent>
                          <w:r>
                            <w:rPr>
                              <w:rFonts w:ascii="Verdana" w:hAnsi="Verdana" w:cs="Arial"/>
                              <w:color w:val="000000"/>
                              <w:sz w:val="20"/>
                              <w:lang w:eastAsia="lt-LT"/>
                            </w:rPr>
                            <w:t>6.5</w:t>
                          </w:r>
                        </w:sdtContent>
                      </w:sdt>
                      <w:r>
                        <w:rPr>
                          <w:rFonts w:ascii="Verdana" w:hAnsi="Verdana" w:cs="Arial"/>
                          <w:color w:val="000000"/>
                          <w:sz w:val="20"/>
                          <w:lang w:eastAsia="lt-LT"/>
                        </w:rPr>
                        <w:t>.</w:t>
                        <w:tab/>
                      </w:r>
                      <w:r>
                        <w:rPr>
                          <w:rFonts w:ascii="Verdana" w:hAnsi="Verdana"/>
                          <w:color w:val="000000"/>
                          <w:sz w:val="20"/>
                          <w:lang w:eastAsia="lt-LT"/>
                        </w:rPr>
                        <w:t>Informacinių ir ryšių technologijų (IRT) rizikų valdymo aprašymas (Priedas Nr. 5);</w:t>
                      </w:r>
                    </w:p>
                  </w:sdtContent>
                </w:sdt>
                <w:sdt>
                  <w:sdtPr>
                    <w:alias w:val="6.6 pp."/>
                    <w:tag w:val="part_c1762e088fa74f73aaf35a30dd41b3c2"/>
                    <w:lock w:val="sdtLocked"/>
                    <w:richText/>
                  </w:sdtPr>
                  <w:sdtContent>
                    <w:p w14:paraId="237C7A3C" w14:textId="384C63C3">
                      <w:pPr>
                        <w:tabs>
                          <w:tab w:val="left" w:pos="1276"/>
                        </w:tabs>
                        <w:ind w:left="1134" w:hanging="567"/>
                        <w:jc w:val="both"/>
                        <w:rPr>
                          <w:rFonts w:ascii="Verdana" w:hAnsi="Verdana" w:cs="Arial"/>
                          <w:color w:val="000000"/>
                          <w:sz w:val="20"/>
                          <w:lang w:eastAsia="lt-LT"/>
                        </w:rPr>
                      </w:pPr>
                      <w:sdt>
                        <w:sdtPr>
                          <w:alias w:val="Numeris"/>
                          <w:tag w:val="nr_c1762e088fa74f73aaf35a30dd41b3c2"/>
                          <w:lock w:val="sdtLocked"/>
                          <w:richText/>
                        </w:sdtPr>
                        <w:sdtContent>
                          <w:r>
                            <w:rPr>
                              <w:rFonts w:ascii="Verdana" w:hAnsi="Verdana" w:cs="Arial"/>
                              <w:color w:val="000000"/>
                              <w:sz w:val="20"/>
                              <w:lang w:eastAsia="lt-LT"/>
                            </w:rPr>
                            <w:t>6.6</w:t>
                          </w:r>
                        </w:sdtContent>
                      </w:sdt>
                      <w:r>
                        <w:rPr>
                          <w:rFonts w:ascii="Verdana" w:hAnsi="Verdana" w:cs="Arial"/>
                          <w:color w:val="000000"/>
                          <w:sz w:val="20"/>
                          <w:lang w:eastAsia="lt-LT"/>
                        </w:rPr>
                        <w:t>.</w:t>
                        <w:tab/>
                      </w:r>
                      <w:r>
                        <w:rPr>
                          <w:rFonts w:ascii="Verdana" w:hAnsi="Verdana"/>
                          <w:color w:val="000000"/>
                          <w:sz w:val="20"/>
                          <w:lang w:eastAsia="lt-LT"/>
                        </w:rPr>
                        <w:t>Veiklos funkcijų perdavimo ir susitarimų dėl informacinių ir ryšių technologijų (IRT) paslaugų rizikos valdymo aprašymas (Priedas Nr. 6);</w:t>
                      </w:r>
                    </w:p>
                  </w:sdtContent>
                </w:sdt>
                <w:sdt>
                  <w:sdtPr>
                    <w:alias w:val="6.7 pp."/>
                    <w:tag w:val="part_a84eaa9aefed4a8297e17b2bf94bef7d"/>
                    <w:lock w:val="sdtLocked"/>
                    <w:richText/>
                  </w:sdtPr>
                  <w:sdtContent>
                    <w:p w14:paraId="7033F023" w14:textId="26D44449">
                      <w:pPr>
                        <w:tabs>
                          <w:tab w:val="left" w:pos="1276"/>
                        </w:tabs>
                        <w:ind w:left="1134" w:hanging="567"/>
                        <w:jc w:val="both"/>
                        <w:rPr>
                          <w:rFonts w:ascii="Verdana" w:hAnsi="Verdana" w:cs="Arial"/>
                          <w:color w:val="000000"/>
                          <w:sz w:val="20"/>
                          <w:lang w:eastAsia="lt-LT"/>
                        </w:rPr>
                      </w:pPr>
                      <w:sdt>
                        <w:sdtPr>
                          <w:alias w:val="Numeris"/>
                          <w:tag w:val="nr_a84eaa9aefed4a8297e17b2bf94bef7d"/>
                          <w:lock w:val="sdtLocked"/>
                          <w:richText/>
                        </w:sdtPr>
                        <w:sdtContent>
                          <w:r>
                            <w:rPr>
                              <w:rFonts w:ascii="Verdana" w:hAnsi="Verdana" w:cs="Arial"/>
                              <w:color w:val="000000"/>
                              <w:sz w:val="20"/>
                              <w:lang w:eastAsia="lt-LT"/>
                            </w:rPr>
                            <w:t>6.7</w:t>
                          </w:r>
                        </w:sdtContent>
                      </w:sdt>
                      <w:r>
                        <w:rPr>
                          <w:rFonts w:ascii="Verdana" w:hAnsi="Verdana" w:cs="Arial"/>
                          <w:color w:val="000000"/>
                          <w:sz w:val="20"/>
                          <w:lang w:eastAsia="lt-LT"/>
                        </w:rPr>
                        <w:t>.</w:t>
                        <w:tab/>
                      </w:r>
                      <w:r>
                        <w:rPr>
                          <w:rFonts w:ascii="Verdana" w:hAnsi="Verdana"/>
                          <w:color w:val="000000"/>
                          <w:sz w:val="20"/>
                          <w:lang w:eastAsia="lt-LT"/>
                        </w:rPr>
                        <w:t>Prekybos kriptoturto platformos valdymo aprašymas (Priedas Nr. 7).</w:t>
                      </w:r>
                    </w:p>
                  </w:sdtContent>
                </w:sdt>
              </w:sdtContent>
            </w:sdt>
            <w:sdt>
              <w:sdtPr>
                <w:alias w:val="7 p."/>
                <w:tag w:val="part_b5eeab386ab74bc482d7e19e90a2feff"/>
                <w:lock w:val="sdtLocked"/>
                <w:richText/>
              </w:sdtPr>
              <w:sdtContent>
                <w:p w14:paraId="16A44EEF" w14:textId="26A1C376">
                  <w:pPr>
                    <w:tabs>
                      <w:tab w:val="left" w:pos="993"/>
                    </w:tabs>
                    <w:ind w:firstLine="567"/>
                    <w:jc w:val="both"/>
                    <w:rPr>
                      <w:rFonts w:ascii="Verdana" w:hAnsi="Verdana" w:cs="Arial"/>
                      <w:color w:val="000000"/>
                      <w:sz w:val="20"/>
                      <w:szCs w:val="24"/>
                      <w:lang w:eastAsia="lt-LT"/>
                    </w:rPr>
                  </w:pPr>
                  <w:sdt>
                    <w:sdtPr>
                      <w:alias w:val="Numeris"/>
                      <w:tag w:val="nr_b5eeab386ab74bc482d7e19e90a2feff"/>
                      <w:lock w:val="sdtLocked"/>
                      <w:richText/>
                    </w:sdtPr>
                    <w:sdtContent>
                      <w:r>
                        <w:rPr>
                          <w:rFonts w:ascii="Verdana" w:hAnsi="Verdana" w:cs="Arial"/>
                          <w:color w:val="000000"/>
                          <w:sz w:val="20"/>
                          <w:szCs w:val="24"/>
                          <w:lang w:eastAsia="lt-LT"/>
                        </w:rPr>
                        <w:t>7</w:t>
                      </w:r>
                    </w:sdtContent>
                  </w:sdt>
                  <w:r>
                    <w:rPr>
                      <w:rFonts w:ascii="Verdana" w:hAnsi="Verdana" w:cs="Arial"/>
                      <w:color w:val="000000"/>
                      <w:sz w:val="20"/>
                      <w:szCs w:val="24"/>
                      <w:lang w:eastAsia="lt-LT"/>
                    </w:rPr>
                    <w:t>.</w:t>
                    <w:tab/>
                  </w:r>
                  <w:r>
                    <w:rPr>
                      <w:rFonts w:ascii="Verdana" w:hAnsi="Verdana" w:cs="Arial"/>
                      <w:sz w:val="20"/>
                      <w:szCs w:val="24"/>
                      <w:lang w:eastAsia="lt-LT"/>
                    </w:rPr>
                    <w:t xml:space="preserve">Lietuvių kalba turi būti parengti dokumentai (procedūros), kurie nustatyta tvarka privalo būti pateikiami klientams prieš pradedant jiems teikti kriptoturto paslaugas. Lietuvos bankas turi teisę reikalauti pareiškėjo lietuvių kalba pateikti ir kitus pareiškėjo parengtus dokumentus. </w:t>
                  </w:r>
                </w:p>
                <w:p w14:paraId="77AC7C05" w14:textId="77777777">
                  <w:pPr>
                    <w:tabs>
                      <w:tab w:val="left" w:pos="993"/>
                    </w:tabs>
                    <w:ind w:left="567"/>
                    <w:jc w:val="both"/>
                    <w:rPr>
                      <w:rFonts w:ascii="Verdana" w:hAnsi="Verdana" w:cs="Arial"/>
                      <w:color w:val="000000"/>
                      <w:sz w:val="20"/>
                      <w:szCs w:val="24"/>
                      <w:lang w:eastAsia="lt-LT"/>
                    </w:rPr>
                  </w:pPr>
                </w:p>
                <w:p w14:paraId="243E3AB2" w14:textId="77777777">
                  <w:pPr>
                    <w:tabs>
                      <w:tab w:val="left" w:pos="993"/>
                    </w:tabs>
                    <w:ind w:left="567"/>
                    <w:jc w:val="both"/>
                    <w:rPr>
                      <w:rFonts w:ascii="Verdana" w:hAnsi="Verdana" w:cs="Arial"/>
                      <w:color w:val="000000"/>
                      <w:sz w:val="20"/>
                      <w:szCs w:val="24"/>
                      <w:lang w:eastAsia="lt-LT"/>
                    </w:rPr>
                  </w:pPr>
                </w:p>
                <w:p w14:paraId="2662D7F9" w14:textId="77777777">
                  <w:pPr>
                    <w:jc w:val="center"/>
                    <w:rPr>
                      <w:rFonts w:ascii="Verdana" w:hAnsi="Verdana" w:cs="Arial"/>
                      <w:b/>
                      <w:sz w:val="20"/>
                      <w:highlight w:val="yellow"/>
                      <w:lang w:eastAsia="lt-LT"/>
                    </w:rPr>
                  </w:pPr>
                </w:p>
              </w:sdtContent>
            </w:sdt>
          </w:sdtContent>
        </w:sdt>
        <w:sdt>
          <w:sdtPr>
            <w:alias w:val="skyrius"/>
            <w:tag w:val="part_0181b345090849cf9606a914564567df"/>
            <w:lock w:val="sdtLocked"/>
            <w:richText/>
          </w:sdtPr>
          <w:sdtContent>
            <w:p w14:paraId="7990A37B" w14:textId="1EC0E153">
              <w:pPr>
                <w:ind w:firstLine="720"/>
                <w:jc w:val="center"/>
                <w:rPr>
                  <w:rFonts w:ascii="Verdana" w:hAnsi="Verdana" w:cs="Arial"/>
                  <w:b/>
                  <w:bCs/>
                  <w:sz w:val="20"/>
                  <w:szCs w:val="24"/>
                  <w:lang w:eastAsia="lt-LT"/>
                </w:rPr>
              </w:pPr>
              <w:sdt>
                <w:sdtPr>
                  <w:alias w:val="Numeris"/>
                  <w:tag w:val="nr_0181b345090849cf9606a914564567df"/>
                  <w:lock w:val="sdtLocked"/>
                  <w:richText/>
                </w:sdtPr>
                <w:sdtContent>
                  <w:r>
                    <w:rPr>
                      <w:rFonts w:ascii="Verdana" w:hAnsi="Verdana" w:cs="Arial"/>
                      <w:b/>
                      <w:bCs/>
                      <w:sz w:val="20"/>
                      <w:szCs w:val="24"/>
                      <w:lang w:eastAsia="lt-LT"/>
                    </w:rPr>
                    <w:t>III</w:t>
                  </w:r>
                </w:sdtContent>
              </w:sdt>
              <w:r>
                <w:rPr>
                  <w:rFonts w:ascii="Verdana" w:hAnsi="Verdana" w:cs="Arial"/>
                  <w:b/>
                  <w:bCs/>
                  <w:sz w:val="20"/>
                  <w:szCs w:val="24"/>
                  <w:lang w:eastAsia="lt-LT"/>
                </w:rPr>
                <w:t xml:space="preserve"> SKYRIUS</w:t>
              </w:r>
            </w:p>
            <w:p w14:paraId="3CDCA4B0" w14:textId="0845FBB3">
              <w:pPr>
                <w:jc w:val="center"/>
                <w:rPr>
                  <w:rFonts w:ascii="Verdana" w:hAnsi="Verdana" w:cs="Arial"/>
                  <w:b/>
                  <w:sz w:val="20"/>
                  <w:lang w:eastAsia="lt-LT"/>
                </w:rPr>
              </w:pPr>
              <w:sdt>
                <w:sdtPr>
                  <w:alias w:val="Pavadinimas"/>
                  <w:tag w:val="title_0181b345090849cf9606a914564567df"/>
                  <w:lock w:val="sdtLocked"/>
                  <w:richText/>
                </w:sdtPr>
                <w:sdtContent>
                  <w:r>
                    <w:rPr>
                      <w:rFonts w:ascii="Verdana" w:hAnsi="Verdana" w:cs="Arial"/>
                      <w:b/>
                      <w:sz w:val="20"/>
                      <w:lang w:eastAsia="lt-LT"/>
                    </w:rPr>
                    <w:t xml:space="preserve">PRAŠYMO IŠDUOTI LICENCIJĄ VERTINIMAS IR SPRENDIMO PRIĖMIMAS </w:t>
                  </w:r>
                </w:sdtContent>
              </w:sdt>
            </w:p>
            <w:p w14:paraId="4FDD608C" w14:textId="77777777">
              <w:pPr>
                <w:jc w:val="both"/>
                <w:rPr>
                  <w:rFonts w:ascii="Verdana" w:hAnsi="Verdana" w:cs="Arial"/>
                  <w:b/>
                  <w:sz w:val="20"/>
                  <w:lang w:eastAsia="lt-LT"/>
                </w:rPr>
              </w:pPr>
            </w:p>
            <w:sdt>
              <w:sdtPr>
                <w:alias w:val="8 p."/>
                <w:tag w:val="part_1c34524ef8bb4c00b370eeff379f33e7"/>
                <w:lock w:val="sdtLocked"/>
                <w:richText/>
              </w:sdtPr>
              <w:sdtContent>
                <w:p w14:paraId="3B3C65F0" w14:textId="37D5F842">
                  <w:pPr>
                    <w:tabs>
                      <w:tab w:val="left" w:pos="993"/>
                    </w:tabs>
                    <w:ind w:firstLine="567"/>
                    <w:jc w:val="both"/>
                    <w:rPr>
                      <w:rFonts w:ascii="Arial" w:hAnsi="Arial" w:cs="Arial"/>
                      <w:color w:val="000000"/>
                      <w:sz w:val="20"/>
                      <w:szCs w:val="24"/>
                      <w:lang w:eastAsia="lt-LT"/>
                    </w:rPr>
                  </w:pPr>
                  <w:sdt>
                    <w:sdtPr>
                      <w:alias w:val="Numeris"/>
                      <w:tag w:val="nr_1c34524ef8bb4c00b370eeff379f33e7"/>
                      <w:lock w:val="sdtLocked"/>
                      <w:richText/>
                    </w:sdtPr>
                    <w:sdtContent>
                      <w:r>
                        <w:rPr>
                          <w:rFonts w:ascii="Verdana" w:hAnsi="Verdana"/>
                          <w:color w:val="000000"/>
                          <w:sz w:val="20"/>
                        </w:rPr>
                        <w:t>8</w:t>
                      </w:r>
                    </w:sdtContent>
                  </w:sdt>
                  <w:r>
                    <w:rPr>
                      <w:rFonts w:ascii="Verdana" w:hAnsi="Verdana"/>
                      <w:color w:val="000000"/>
                      <w:sz w:val="20"/>
                    </w:rPr>
                    <w:t>.</w:t>
                    <w:tab/>
                  </w:r>
                  <w:r>
                    <w:rPr>
                      <w:rFonts w:ascii="Arial" w:hAnsi="Arial" w:cs="Arial"/>
                      <w:color w:val="000000"/>
                      <w:sz w:val="20"/>
                      <w:szCs w:val="24"/>
                      <w:lang w:eastAsia="lt-LT"/>
                    </w:rPr>
                    <w:t xml:space="preserve">Pareiškėjų pateiktų prašymų išduoti kriptoturto paslaugų teikėjų licenciją nagrinėjimo procesas yra nurodytas </w:t>
                  </w:r>
                  <w:r>
                    <w:rPr>
                      <w:rFonts w:ascii="Arial" w:hAnsi="Arial" w:cs="Arial"/>
                      <w:i/>
                      <w:iCs/>
                      <w:color w:val="000000"/>
                      <w:sz w:val="20"/>
                      <w:szCs w:val="24"/>
                      <w:lang w:eastAsia="lt-LT"/>
                    </w:rPr>
                    <w:t xml:space="preserve">Reglamento </w:t>
                  </w:r>
                  <w:fldSimple w:instr="HYPERLINK http://eur-lex.europa.eu/legal-content/LIT/TXT/?uri=CELEX:32023R1114&amp;locale=lt \t _blank">
                    <w:r>
                      <w:rPr>
                        <w:rFonts w:ascii="Arial" w:hAnsi="Arial" w:cs="Arial"/>
                        <w:i/>
                        <w:iCs/>
                        <w:color w:val="0000FF" w:themeColor="hyperlink"/>
                        <w:sz w:val="20"/>
                        <w:szCs w:val="24"/>
                        <w:lang w:eastAsia="lt-LT"/>
                        <w:u w:val="single"/>
                      </w:rPr>
                      <w:t>(ES) 2023/1114</w:t>
                    </w:r>
                  </w:fldSimple>
                  <w:r>
                    <w:rPr>
                      <w:rFonts w:ascii="Arial" w:hAnsi="Arial" w:cs="Arial"/>
                      <w:b/>
                      <w:bCs/>
                      <w:color w:val="000000"/>
                      <w:sz w:val="20"/>
                      <w:szCs w:val="24"/>
                      <w:lang w:eastAsia="lt-LT"/>
                    </w:rPr>
                    <w:t xml:space="preserve"> </w:t>
                  </w:r>
                  <w:r>
                    <w:rPr>
                      <w:rFonts w:ascii="Arial" w:hAnsi="Arial" w:cs="Arial"/>
                      <w:color w:val="000000"/>
                      <w:sz w:val="20"/>
                      <w:szCs w:val="24"/>
                      <w:lang w:eastAsia="lt-LT"/>
                    </w:rPr>
                    <w:t>63 straipsnyje.</w:t>
                  </w:r>
                </w:p>
              </w:sdtContent>
            </w:sdt>
            <w:sdt>
              <w:sdtPr>
                <w:alias w:val="9 p."/>
                <w:tag w:val="part_63a1735a5d594a52abaeb32a8a4096bc"/>
                <w:lock w:val="sdtLocked"/>
                <w:richText/>
              </w:sdtPr>
              <w:sdtContent>
                <w:p w14:paraId="750B7E22" w14:textId="6EA706FA">
                  <w:pPr>
                    <w:tabs>
                      <w:tab w:val="left" w:pos="993"/>
                    </w:tabs>
                    <w:ind w:firstLine="567"/>
                    <w:jc w:val="both"/>
                    <w:rPr>
                      <w:rFonts w:ascii="Arial" w:hAnsi="Arial" w:cs="Arial"/>
                      <w:color w:val="000000"/>
                      <w:sz w:val="20"/>
                      <w:szCs w:val="24"/>
                      <w:lang w:eastAsia="lt-LT"/>
                    </w:rPr>
                  </w:pPr>
                  <w:sdt>
                    <w:sdtPr>
                      <w:alias w:val="Numeris"/>
                      <w:tag w:val="nr_63a1735a5d594a52abaeb32a8a4096bc"/>
                      <w:lock w:val="sdtLocked"/>
                      <w:richText/>
                    </w:sdtPr>
                    <w:sdtContent>
                      <w:r>
                        <w:rPr>
                          <w:rFonts w:ascii="Verdana" w:hAnsi="Verdana"/>
                          <w:color w:val="000000"/>
                          <w:sz w:val="20"/>
                        </w:rPr>
                        <w:t>9</w:t>
                      </w:r>
                    </w:sdtContent>
                  </w:sdt>
                  <w:r>
                    <w:rPr>
                      <w:rFonts w:ascii="Verdana" w:hAnsi="Verdana"/>
                      <w:color w:val="000000"/>
                      <w:sz w:val="20"/>
                    </w:rPr>
                    <w:t>.</w:t>
                    <w:tab/>
                  </w:r>
                  <w:r>
                    <w:rPr>
                      <w:rFonts w:ascii="Arial" w:hAnsi="Arial" w:cs="Arial"/>
                      <w:color w:val="000000"/>
                      <w:sz w:val="20"/>
                      <w:szCs w:val="24"/>
                      <w:lang w:eastAsia="lt-LT"/>
                    </w:rPr>
                    <w:t>Lietuvos bankas, gavęs pareiškėjo pateiktą prašymą išduoti kriptoturto paslaugų teikėjo licenciją, pirmiausiai įvertina pareiškėjo pateiktų dokumentų išsamumą. Pareiškėjo pateikto dokumentų paketo išsamumą Lietuvos bankas įvertina per 25 darbo dienas nuo prašymo išduoti kriptoturto paslaugų teikėjo licenciją gavimo dienos. Pareiškėjo pateiktas prašymas gali būti nenagrinėjamas ir pateikti dokumentai per 5 darbo dienas nuo jų gavimo dienos grąžinami (išsiunčiami) atgal pareiškėjui, jeigu kartu su prašymu yra pateikti ne visi teisės aktuose nurodyti dokumentai arba pateikti dokumentai parengti ir įforminti nesilaikant reikalavimų, nurodytų Bendrosiose dokumentų pateikimo taisyklėse.</w:t>
                  </w:r>
                </w:p>
              </w:sdtContent>
            </w:sdt>
            <w:sdt>
              <w:sdtPr>
                <w:alias w:val="10 p."/>
                <w:tag w:val="part_a0684f8ef5574d5dbf753e4cc78d039d"/>
                <w:lock w:val="sdtLocked"/>
                <w:richText/>
              </w:sdtPr>
              <w:sdtContent>
                <w:p w14:paraId="7FB037D4" w14:textId="0D151214">
                  <w:pPr>
                    <w:tabs>
                      <w:tab w:val="left" w:pos="993"/>
                    </w:tabs>
                    <w:ind w:firstLine="567"/>
                    <w:jc w:val="both"/>
                    <w:rPr>
                      <w:rFonts w:ascii="Arial" w:hAnsi="Arial" w:cs="Arial"/>
                      <w:color w:val="000000"/>
                      <w:sz w:val="20"/>
                      <w:szCs w:val="24"/>
                      <w:lang w:eastAsia="lt-LT"/>
                    </w:rPr>
                  </w:pPr>
                  <w:sdt>
                    <w:sdtPr>
                      <w:alias w:val="Numeris"/>
                      <w:tag w:val="nr_a0684f8ef5574d5dbf753e4cc78d039d"/>
                      <w:lock w:val="sdtLocked"/>
                      <w:richText/>
                    </w:sdtPr>
                    <w:sdtContent>
                      <w:r>
                        <w:rPr>
                          <w:rFonts w:ascii="Verdana" w:hAnsi="Verdana"/>
                          <w:color w:val="000000"/>
                          <w:sz w:val="20"/>
                        </w:rPr>
                        <w:t>10</w:t>
                      </w:r>
                    </w:sdtContent>
                  </w:sdt>
                  <w:r>
                    <w:rPr>
                      <w:rFonts w:ascii="Verdana" w:hAnsi="Verdana"/>
                      <w:color w:val="000000"/>
                      <w:sz w:val="20"/>
                    </w:rPr>
                    <w:t>.</w:t>
                    <w:tab/>
                  </w:r>
                  <w:r>
                    <w:rPr>
                      <w:rFonts w:ascii="Arial" w:hAnsi="Arial" w:cs="Arial"/>
                      <w:color w:val="000000"/>
                      <w:sz w:val="20"/>
                      <w:szCs w:val="24"/>
                      <w:lang w:eastAsia="lt-LT"/>
                    </w:rPr>
                    <w:t xml:space="preserve">Pareiškėjo pateiktų dokumentų išsamumo vertinimo metu, jeigu pateiktas prašymas yra laikytinas neišsamiu, Lietuvos bankas turi teisę prašyti pareiškėjo pateikti papildomus dokumentus arba jų patikslinimo, nustatant terminą, iki kurio prašymą teikiantis asmuo turi pateikti trūkstamą informaciją. </w:t>
                  </w:r>
                </w:p>
              </w:sdtContent>
            </w:sdt>
            <w:sdt>
              <w:sdtPr>
                <w:alias w:val="11 p."/>
                <w:tag w:val="part_307f2600262345f6985f3b73a28e761d"/>
                <w:lock w:val="sdtLocked"/>
                <w:richText/>
              </w:sdtPr>
              <w:sdtContent>
                <w:p w14:paraId="3E80DDAB" w14:textId="26B8BACE">
                  <w:pPr>
                    <w:tabs>
                      <w:tab w:val="left" w:pos="993"/>
                    </w:tabs>
                    <w:ind w:firstLine="567"/>
                    <w:jc w:val="both"/>
                    <w:rPr>
                      <w:rFonts w:ascii="Arial" w:hAnsi="Arial" w:cs="Arial"/>
                      <w:color w:val="000000"/>
                      <w:sz w:val="20"/>
                      <w:szCs w:val="24"/>
                      <w:lang w:eastAsia="lt-LT"/>
                    </w:rPr>
                  </w:pPr>
                  <w:sdt>
                    <w:sdtPr>
                      <w:alias w:val="Numeris"/>
                      <w:tag w:val="nr_307f2600262345f6985f3b73a28e761d"/>
                      <w:lock w:val="sdtLocked"/>
                      <w:richText/>
                    </w:sdtPr>
                    <w:sdtContent>
                      <w:r>
                        <w:rPr>
                          <w:rFonts w:ascii="Verdana" w:hAnsi="Verdana"/>
                          <w:color w:val="000000"/>
                          <w:sz w:val="20"/>
                        </w:rPr>
                        <w:t>11</w:t>
                      </w:r>
                    </w:sdtContent>
                  </w:sdt>
                  <w:r>
                    <w:rPr>
                      <w:rFonts w:ascii="Verdana" w:hAnsi="Verdana"/>
                      <w:color w:val="000000"/>
                      <w:sz w:val="20"/>
                    </w:rPr>
                    <w:t>.</w:t>
                    <w:tab/>
                  </w:r>
                  <w:r>
                    <w:rPr>
                      <w:rFonts w:ascii="Arial" w:hAnsi="Arial" w:cs="Arial"/>
                      <w:color w:val="000000"/>
                      <w:sz w:val="20"/>
                      <w:szCs w:val="24"/>
                      <w:lang w:eastAsia="lt-LT"/>
                    </w:rPr>
                    <w:t xml:space="preserve">Lietuvos bankas turi teisę atsisakyti nagrinėti pareiškėjo pateiktą prašymą išduoti kriptoturto paslaugų teikėjo licenciją </w:t>
                  </w:r>
                  <w:r>
                    <w:rPr>
                      <w:rFonts w:ascii="Arial" w:hAnsi="Arial" w:cs="Arial"/>
                      <w:i/>
                      <w:iCs/>
                      <w:color w:val="000000"/>
                      <w:sz w:val="20"/>
                      <w:szCs w:val="24"/>
                      <w:lang w:eastAsia="lt-LT"/>
                    </w:rPr>
                    <w:t>iš esmės</w:t>
                  </w:r>
                  <w:r>
                    <w:rPr>
                      <w:rFonts w:ascii="Arial" w:hAnsi="Arial" w:cs="Arial"/>
                      <w:color w:val="000000"/>
                      <w:sz w:val="20"/>
                      <w:szCs w:val="24"/>
                      <w:lang w:eastAsia="lt-LT"/>
                    </w:rPr>
                    <w:t xml:space="preserve">, jeigu pareiškėjo pateiktas dokumentų paketas, pasibaigus </w:t>
                  </w:r>
                  <w:r>
                    <w:rPr>
                      <w:rFonts w:ascii="Arial" w:hAnsi="Arial" w:cs="Arial"/>
                      <w:sz w:val="20"/>
                      <w:szCs w:val="24"/>
                      <w:lang w:eastAsia="lt-LT"/>
                    </w:rPr>
                    <w:t>Lietuvos banko nustatytam trūkstamų dokumentų ir informacijos pateikimo terminui, nurodytam Taisyklių 10 punkte</w:t>
                  </w:r>
                  <w:r>
                    <w:rPr>
                      <w:rFonts w:ascii="Arial" w:hAnsi="Arial" w:cs="Arial"/>
                      <w:color w:val="000000"/>
                      <w:sz w:val="20"/>
                      <w:szCs w:val="24"/>
                      <w:lang w:eastAsia="lt-LT"/>
                    </w:rPr>
                    <w:t>, lieka neišsamus.</w:t>
                  </w:r>
                </w:p>
              </w:sdtContent>
            </w:sdt>
            <w:sdt>
              <w:sdtPr>
                <w:alias w:val="12 p."/>
                <w:tag w:val="part_ef8758abfab947458fc176efb37292ae"/>
                <w:lock w:val="sdtLocked"/>
                <w:richText/>
              </w:sdtPr>
              <w:sdtContent>
                <w:p w14:paraId="3441985F" w14:textId="532C9719">
                  <w:pPr>
                    <w:tabs>
                      <w:tab w:val="left" w:pos="993"/>
                    </w:tabs>
                    <w:ind w:firstLine="567"/>
                    <w:jc w:val="both"/>
                    <w:rPr>
                      <w:rFonts w:ascii="Arial" w:hAnsi="Arial" w:cs="Arial"/>
                      <w:color w:val="000000"/>
                      <w:sz w:val="20"/>
                      <w:szCs w:val="24"/>
                      <w:lang w:eastAsia="lt-LT"/>
                    </w:rPr>
                  </w:pPr>
                  <w:sdt>
                    <w:sdtPr>
                      <w:alias w:val="Numeris"/>
                      <w:tag w:val="nr_ef8758abfab947458fc176efb37292ae"/>
                      <w:lock w:val="sdtLocked"/>
                      <w:richText/>
                    </w:sdtPr>
                    <w:sdtContent>
                      <w:r>
                        <w:rPr>
                          <w:rFonts w:ascii="Verdana" w:hAnsi="Verdana"/>
                          <w:color w:val="000000"/>
                          <w:sz w:val="20"/>
                        </w:rPr>
                        <w:t>12</w:t>
                      </w:r>
                    </w:sdtContent>
                  </w:sdt>
                  <w:r>
                    <w:rPr>
                      <w:rFonts w:ascii="Verdana" w:hAnsi="Verdana"/>
                      <w:color w:val="000000"/>
                      <w:sz w:val="20"/>
                    </w:rPr>
                    <w:t>.</w:t>
                    <w:tab/>
                  </w:r>
                  <w:r>
                    <w:rPr>
                      <w:rFonts w:ascii="Arial" w:hAnsi="Arial" w:cs="Arial"/>
                      <w:color w:val="000000"/>
                      <w:sz w:val="20"/>
                      <w:szCs w:val="24"/>
                      <w:lang w:eastAsia="lt-LT"/>
                    </w:rPr>
                    <w:t xml:space="preserve">Kai pareiškėjo pateiktas prašymas išduoti kriptoturto paslaugų teikėjo licenciją yra laikytinas </w:t>
                  </w:r>
                  <w:r>
                    <w:rPr>
                      <w:rFonts w:ascii="Arial" w:hAnsi="Arial" w:cs="Arial"/>
                      <w:i/>
                      <w:iCs/>
                      <w:color w:val="000000"/>
                      <w:sz w:val="20"/>
                      <w:szCs w:val="24"/>
                      <w:lang w:eastAsia="lt-LT"/>
                    </w:rPr>
                    <w:t>išsamiu</w:t>
                  </w:r>
                  <w:r>
                    <w:rPr>
                      <w:rFonts w:ascii="Arial" w:hAnsi="Arial" w:cs="Arial"/>
                      <w:color w:val="000000"/>
                      <w:sz w:val="20"/>
                      <w:szCs w:val="24"/>
                      <w:lang w:eastAsia="lt-LT"/>
                    </w:rPr>
                    <w:t>, Lietuvos bankas apie tai nedelsdamas praneša pareiškėjui raštu bei pradeda nagrinėti pareiškėjo pateiktą prašymą išduoti kriptoturto paslaugų teikėjo licenciją iš esmės.</w:t>
                  </w:r>
                </w:p>
              </w:sdtContent>
            </w:sdt>
            <w:sdt>
              <w:sdtPr>
                <w:alias w:val="13 p."/>
                <w:tag w:val="part_4397d72364604d1c8ec1e6c1f3058334"/>
                <w:lock w:val="sdtLocked"/>
                <w:richText/>
              </w:sdtPr>
              <w:sdtContent>
                <w:p w14:paraId="27C78C90" w14:textId="1E1E9179">
                  <w:pPr>
                    <w:tabs>
                      <w:tab w:val="left" w:pos="993"/>
                    </w:tabs>
                    <w:ind w:firstLine="567"/>
                    <w:jc w:val="both"/>
                    <w:rPr>
                      <w:rFonts w:ascii="Arial" w:hAnsi="Arial" w:cs="Arial"/>
                      <w:color w:val="000000"/>
                      <w:sz w:val="20"/>
                      <w:szCs w:val="24"/>
                      <w:lang w:eastAsia="lt-LT"/>
                    </w:rPr>
                  </w:pPr>
                  <w:sdt>
                    <w:sdtPr>
                      <w:alias w:val="Numeris"/>
                      <w:tag w:val="nr_4397d72364604d1c8ec1e6c1f3058334"/>
                      <w:lock w:val="sdtLocked"/>
                      <w:richText/>
                    </w:sdtPr>
                    <w:sdtContent>
                      <w:r>
                        <w:rPr>
                          <w:rFonts w:ascii="Verdana" w:hAnsi="Verdana"/>
                          <w:color w:val="000000"/>
                          <w:sz w:val="20"/>
                        </w:rPr>
                        <w:t>13</w:t>
                      </w:r>
                    </w:sdtContent>
                  </w:sdt>
                  <w:r>
                    <w:rPr>
                      <w:rFonts w:ascii="Verdana" w:hAnsi="Verdana"/>
                      <w:color w:val="000000"/>
                      <w:sz w:val="20"/>
                    </w:rPr>
                    <w:t>.</w:t>
                    <w:tab/>
                  </w:r>
                  <w:r>
                    <w:rPr>
                      <w:rFonts w:ascii="Arial" w:hAnsi="Arial" w:cs="Arial"/>
                      <w:color w:val="000000"/>
                      <w:sz w:val="20"/>
                      <w:szCs w:val="24"/>
                      <w:lang w:eastAsia="lt-LT"/>
                    </w:rPr>
                    <w:t xml:space="preserve">Lietuvos bankas išnagrinėja pareiškėjo pateiktą </w:t>
                  </w:r>
                  <w:r>
                    <w:rPr>
                      <w:rFonts w:ascii="Arial" w:hAnsi="Arial" w:cs="Arial"/>
                      <w:i/>
                      <w:iCs/>
                      <w:color w:val="000000"/>
                      <w:sz w:val="20"/>
                      <w:szCs w:val="24"/>
                      <w:lang w:eastAsia="lt-LT"/>
                    </w:rPr>
                    <w:t>išsamų</w:t>
                  </w:r>
                  <w:r>
                    <w:rPr>
                      <w:rFonts w:ascii="Arial" w:hAnsi="Arial" w:cs="Arial"/>
                      <w:color w:val="000000"/>
                      <w:sz w:val="20"/>
                      <w:szCs w:val="24"/>
                      <w:lang w:eastAsia="lt-LT"/>
                    </w:rPr>
                    <w:t xml:space="preserve"> prašymą suteikti kriptoturto paslaugų teikėjo licenciją iš esmės bei priima motyvuotą sprendimą išduoti ar neišduoti licenciją per </w:t>
                  </w:r>
                  <w:r>
                    <w:rPr>
                      <w:rFonts w:ascii="Arial" w:hAnsi="Arial" w:cs="Arial"/>
                      <w:i/>
                      <w:iCs/>
                      <w:sz w:val="20"/>
                      <w:szCs w:val="24"/>
                      <w:lang w:eastAsia="lt-LT"/>
                    </w:rPr>
                    <w:t xml:space="preserve">Reglamento </w:t>
                  </w:r>
                  <w:fldSimple w:instr="HYPERLINK http://eur-lex.europa.eu/legal-content/LIT/TXT/?uri=CELEX:32023R1114&amp;locale=lt \t _blank">
                    <w:r>
                      <w:rPr>
                        <w:rFonts w:ascii="Arial" w:hAnsi="Arial" w:cs="Arial"/>
                        <w:i/>
                        <w:iCs/>
                        <w:sz w:val="20"/>
                        <w:szCs w:val="24"/>
                        <w:lang w:eastAsia="lt-LT"/>
                        <w:u w:val="single"/>
                        <w:color w:val="0000FF" w:themeColor="hyperlink"/>
                      </w:rPr>
                      <w:t>(ES) 2023/1114</w:t>
                    </w:r>
                  </w:fldSimple>
                  <w:r>
                    <w:rPr>
                      <w:rFonts w:ascii="Arial" w:hAnsi="Arial" w:cs="Arial"/>
                      <w:sz w:val="20"/>
                      <w:szCs w:val="24"/>
                      <w:lang w:eastAsia="lt-LT"/>
                    </w:rPr>
                    <w:t xml:space="preserve"> 63 straipsnio 9 ir 12 dalyse </w:t>
                  </w:r>
                  <w:r>
                    <w:rPr>
                      <w:rFonts w:ascii="Arial" w:hAnsi="Arial" w:cs="Arial"/>
                      <w:color w:val="000000"/>
                      <w:sz w:val="20"/>
                      <w:szCs w:val="24"/>
                      <w:lang w:eastAsia="lt-LT"/>
                    </w:rPr>
                    <w:t>nustatytus terminus.</w:t>
                  </w:r>
                </w:p>
              </w:sdtContent>
            </w:sdt>
            <w:sdt>
              <w:sdtPr>
                <w:alias w:val="14 p."/>
                <w:tag w:val="part_4f6c2cb8f98a43148a5ba2ed278daa6a"/>
                <w:lock w:val="sdtLocked"/>
                <w:richText/>
              </w:sdtPr>
              <w:sdtContent>
                <w:p w14:paraId="7758CD66" w14:textId="29DB1BAC">
                  <w:pPr>
                    <w:tabs>
                      <w:tab w:val="left" w:pos="993"/>
                    </w:tabs>
                    <w:ind w:firstLine="567"/>
                    <w:jc w:val="both"/>
                    <w:rPr>
                      <w:rFonts w:ascii="Arial" w:hAnsi="Arial" w:cs="Arial"/>
                      <w:color w:val="000000"/>
                      <w:sz w:val="20"/>
                      <w:szCs w:val="24"/>
                      <w:lang w:eastAsia="lt-LT"/>
                    </w:rPr>
                  </w:pPr>
                  <w:sdt>
                    <w:sdtPr>
                      <w:alias w:val="Numeris"/>
                      <w:tag w:val="nr_4f6c2cb8f98a43148a5ba2ed278daa6a"/>
                      <w:lock w:val="sdtLocked"/>
                      <w:richText/>
                    </w:sdtPr>
                    <w:sdtContent>
                      <w:r>
                        <w:rPr>
                          <w:rFonts w:ascii="Verdana" w:hAnsi="Verdana"/>
                          <w:color w:val="000000"/>
                          <w:sz w:val="20"/>
                        </w:rPr>
                        <w:t>14</w:t>
                      </w:r>
                    </w:sdtContent>
                  </w:sdt>
                  <w:r>
                    <w:rPr>
                      <w:rFonts w:ascii="Verdana" w:hAnsi="Verdana"/>
                      <w:color w:val="000000"/>
                      <w:sz w:val="20"/>
                    </w:rPr>
                    <w:t>.</w:t>
                    <w:tab/>
                  </w:r>
                  <w:r>
                    <w:rPr>
                      <w:rFonts w:ascii="Arial" w:hAnsi="Arial" w:cs="Arial"/>
                      <w:color w:val="000000"/>
                      <w:sz w:val="20"/>
                      <w:szCs w:val="24"/>
                      <w:lang w:eastAsia="lt-LT"/>
                    </w:rPr>
                    <w:t xml:space="preserve">Kriptoturto paslaugų teikėjo licencijos neišdavimo pagrindai yra nurodyti </w:t>
                  </w:r>
                  <w:r>
                    <w:rPr>
                      <w:rFonts w:ascii="Arial" w:hAnsi="Arial" w:cs="Arial"/>
                      <w:i/>
                      <w:iCs/>
                      <w:sz w:val="20"/>
                      <w:szCs w:val="24"/>
                      <w:lang w:eastAsia="lt-LT"/>
                    </w:rPr>
                    <w:t xml:space="preserve">Reglamento </w:t>
                  </w:r>
                  <w:fldSimple w:instr="HYPERLINK http://eur-lex.europa.eu/legal-content/LIT/TXT/?uri=CELEX:32023R1114&amp;locale=lt \t _blank">
                    <w:r>
                      <w:rPr>
                        <w:rFonts w:ascii="Arial" w:hAnsi="Arial" w:cs="Arial"/>
                        <w:i/>
                        <w:iCs/>
                        <w:sz w:val="20"/>
                        <w:szCs w:val="24"/>
                        <w:lang w:eastAsia="lt-LT"/>
                        <w:u w:val="single"/>
                        <w:color w:val="0000FF" w:themeColor="hyperlink"/>
                      </w:rPr>
                      <w:t>(ES) 2023/1114</w:t>
                    </w:r>
                  </w:fldSimple>
                  <w:r>
                    <w:rPr>
                      <w:rFonts w:ascii="Arial" w:hAnsi="Arial" w:cs="Arial"/>
                      <w:i/>
                      <w:iCs/>
                      <w:sz w:val="20"/>
                      <w:szCs w:val="24"/>
                      <w:lang w:eastAsia="lt-LT"/>
                    </w:rPr>
                    <w:t xml:space="preserve"> </w:t>
                  </w:r>
                  <w:r>
                    <w:rPr>
                      <w:rFonts w:ascii="Arial" w:hAnsi="Arial" w:cs="Arial"/>
                      <w:sz w:val="20"/>
                      <w:szCs w:val="24"/>
                      <w:lang w:eastAsia="lt-LT"/>
                    </w:rPr>
                    <w:t>63 straipsnio 10 dalyje.</w:t>
                  </w:r>
                </w:p>
              </w:sdtContent>
            </w:sdt>
            <w:sdt>
              <w:sdtPr>
                <w:alias w:val="15 p."/>
                <w:tag w:val="part_545f1332b28d4d8ebad26ad828add903"/>
                <w:lock w:val="sdtLocked"/>
                <w:richText/>
              </w:sdtPr>
              <w:sdtContent>
                <w:p w14:paraId="14CF4C00" w14:textId="118F0630">
                  <w:pPr>
                    <w:tabs>
                      <w:tab w:val="left" w:pos="993"/>
                    </w:tabs>
                    <w:ind w:firstLine="567"/>
                    <w:jc w:val="both"/>
                    <w:rPr>
                      <w:rFonts w:ascii="Arial" w:hAnsi="Arial" w:cs="Arial"/>
                      <w:color w:val="000000"/>
                      <w:sz w:val="20"/>
                      <w:szCs w:val="24"/>
                      <w:lang w:eastAsia="lt-LT"/>
                    </w:rPr>
                  </w:pPr>
                  <w:sdt>
                    <w:sdtPr>
                      <w:alias w:val="Numeris"/>
                      <w:tag w:val="nr_545f1332b28d4d8ebad26ad828add903"/>
                      <w:lock w:val="sdtLocked"/>
                      <w:richText/>
                    </w:sdtPr>
                    <w:sdtContent>
                      <w:r>
                        <w:rPr>
                          <w:rFonts w:ascii="Verdana" w:hAnsi="Verdana"/>
                          <w:color w:val="000000"/>
                          <w:sz w:val="20"/>
                        </w:rPr>
                        <w:t>15</w:t>
                      </w:r>
                    </w:sdtContent>
                  </w:sdt>
                  <w:r>
                    <w:rPr>
                      <w:rFonts w:ascii="Verdana" w:hAnsi="Verdana"/>
                      <w:color w:val="000000"/>
                      <w:sz w:val="20"/>
                    </w:rPr>
                    <w:t>.</w:t>
                    <w:tab/>
                  </w:r>
                  <w:r>
                    <w:rPr>
                      <w:rFonts w:ascii="Arial" w:hAnsi="Arial" w:cs="Arial"/>
                      <w:color w:val="000000"/>
                      <w:sz w:val="20"/>
                      <w:szCs w:val="24"/>
                      <w:lang w:eastAsia="lt-LT"/>
                    </w:rPr>
                    <w:t xml:space="preserve">Licencijos išdavimo atveju kriptoturto paslaugų teikėjui išsiunčiamas Lietuvos banko  sprendimo išduoti licenciją nuorašas, kuriame yra nurodytos konkrečios kriptoturto paslaugos, kurias kriptoturto paslaugų teikėjui leidžiama teikti.</w:t>
                  </w:r>
                </w:p>
                <w:p w14:paraId="6FFDD328" w14:textId="77777777">
                  <w:pPr>
                    <w:rPr>
                      <w:rFonts w:ascii="Verdana" w:hAnsi="Verdana" w:cs="Arial"/>
                      <w:b/>
                      <w:sz w:val="20"/>
                      <w:lang w:eastAsia="lt-LT"/>
                    </w:rPr>
                  </w:pPr>
                </w:p>
              </w:sdtContent>
            </w:sdt>
          </w:sdtContent>
        </w:sdt>
        <w:sdt>
          <w:sdtPr>
            <w:alias w:val="skyrius"/>
            <w:tag w:val="part_eb9c43ce72254e32940dcb5b8370157d"/>
            <w:lock w:val="sdtLocked"/>
            <w:richText/>
          </w:sdtPr>
          <w:sdtContent>
            <w:p w14:paraId="1FA98EBE" w14:textId="4B3C59E6">
              <w:pPr>
                <w:ind w:firstLine="720"/>
                <w:jc w:val="center"/>
                <w:rPr>
                  <w:rFonts w:ascii="Verdana" w:hAnsi="Verdana" w:cs="Arial"/>
                  <w:b/>
                  <w:bCs/>
                  <w:sz w:val="20"/>
                  <w:szCs w:val="24"/>
                  <w:lang w:eastAsia="lt-LT"/>
                </w:rPr>
              </w:pPr>
              <w:sdt>
                <w:sdtPr>
                  <w:alias w:val="Numeris"/>
                  <w:tag w:val="nr_eb9c43ce72254e32940dcb5b8370157d"/>
                  <w:lock w:val="sdtLocked"/>
                  <w:richText/>
                </w:sdtPr>
                <w:sdtContent>
                  <w:r>
                    <w:rPr>
                      <w:rFonts w:ascii="Verdana" w:hAnsi="Verdana" w:cs="Arial"/>
                      <w:b/>
                      <w:bCs/>
                      <w:sz w:val="20"/>
                      <w:szCs w:val="24"/>
                      <w:lang w:eastAsia="lt-LT"/>
                    </w:rPr>
                    <w:t>IV</w:t>
                  </w:r>
                </w:sdtContent>
              </w:sdt>
              <w:r>
                <w:rPr>
                  <w:rFonts w:ascii="Verdana" w:hAnsi="Verdana" w:cs="Arial"/>
                  <w:b/>
                  <w:bCs/>
                  <w:sz w:val="20"/>
                  <w:szCs w:val="24"/>
                  <w:lang w:eastAsia="lt-LT"/>
                </w:rPr>
                <w:t xml:space="preserve"> SKYRIUS</w:t>
              </w:r>
            </w:p>
            <w:p w14:paraId="38F33DB0" w14:textId="69364C17">
              <w:pPr>
                <w:jc w:val="center"/>
                <w:rPr>
                  <w:rFonts w:ascii="Verdana" w:hAnsi="Verdana" w:cs="Arial"/>
                  <w:b/>
                  <w:sz w:val="20"/>
                  <w:lang w:eastAsia="lt-LT"/>
                </w:rPr>
              </w:pPr>
              <w:sdt>
                <w:sdtPr>
                  <w:alias w:val="Pavadinimas"/>
                  <w:tag w:val="title_eb9c43ce72254e32940dcb5b8370157d"/>
                  <w:lock w:val="sdtLocked"/>
                  <w:richText/>
                </w:sdtPr>
                <w:sdtContent>
                  <w:r>
                    <w:rPr>
                      <w:rFonts w:ascii="Verdana" w:hAnsi="Verdana" w:cs="Arial"/>
                      <w:b/>
                      <w:sz w:val="20"/>
                      <w:lang w:eastAsia="lt-LT"/>
                    </w:rPr>
                    <w:t>LICENCIJOS PAKEITIMAS AR PAPILDYMAS</w:t>
                  </w:r>
                </w:sdtContent>
              </w:sdt>
            </w:p>
            <w:p w14:paraId="66924A20" w14:textId="77777777">
              <w:pPr>
                <w:ind w:firstLine="720"/>
                <w:jc w:val="both"/>
                <w:rPr>
                  <w:rFonts w:ascii="Verdana" w:hAnsi="Verdana" w:cs="Arial"/>
                  <w:b/>
                  <w:sz w:val="20"/>
                  <w:lang w:eastAsia="lt-LT"/>
                </w:rPr>
              </w:pPr>
            </w:p>
            <w:sdt>
              <w:sdtPr>
                <w:alias w:val="16 p."/>
                <w:tag w:val="part_21feacdac4aa40209ce0ab01b3d30a13"/>
                <w:lock w:val="sdtLocked"/>
                <w:richText/>
              </w:sdtPr>
              <w:sdtContent>
                <w:p w14:paraId="15328884" w14:textId="3A5F5A59">
                  <w:pPr>
                    <w:widowControl w:val="0"/>
                    <w:tabs>
                      <w:tab w:val="left" w:pos="993"/>
                    </w:tabs>
                    <w:ind w:firstLine="567"/>
                    <w:jc w:val="both"/>
                    <w:rPr>
                      <w:rFonts w:ascii="Arial" w:hAnsi="Arial" w:cs="Arial"/>
                      <w:color w:val="000000"/>
                      <w:sz w:val="20"/>
                      <w:szCs w:val="24"/>
                      <w:lang w:eastAsia="lt-LT"/>
                    </w:rPr>
                  </w:pPr>
                  <w:sdt>
                    <w:sdtPr>
                      <w:alias w:val="Numeris"/>
                      <w:tag w:val="nr_21feacdac4aa40209ce0ab01b3d30a13"/>
                      <w:lock w:val="sdtLocked"/>
                      <w:richText/>
                    </w:sdtPr>
                    <w:sdtContent>
                      <w:r>
                        <w:rPr>
                          <w:rFonts w:ascii="Verdana" w:hAnsi="Verdana"/>
                          <w:color w:val="000000"/>
                          <w:sz w:val="20"/>
                        </w:rPr>
                        <w:t>16</w:t>
                      </w:r>
                    </w:sdtContent>
                  </w:sdt>
                  <w:r>
                    <w:rPr>
                      <w:rFonts w:ascii="Verdana" w:hAnsi="Verdana"/>
                      <w:color w:val="000000"/>
                      <w:sz w:val="20"/>
                    </w:rPr>
                    <w:t>.</w:t>
                    <w:tab/>
                  </w:r>
                  <w:r>
                    <w:rPr>
                      <w:rFonts w:ascii="Arial" w:hAnsi="Arial" w:cs="Arial"/>
                      <w:sz w:val="20"/>
                      <w:szCs w:val="24"/>
                      <w:lang w:eastAsia="lt-LT"/>
                    </w:rPr>
                    <w:t>Kriptoturto paslaugų teikėjas, ketinantis teikti kriptoturto paslaugas, kurios nėra nurodytos jam išduotoje licencijoje, privalo kreiptis į Lietuvos banką su prašymu pakeisti ir (ar) papildyti galiojančią licenciją. Kartu su šiuo prašymu turi būti pateikti ir kiti šiose Taisyklėse nurodyti dokumentai ir duomenys, kurie keičiasi dėl ketinamų teikti papildomų kriptoturto paslaugų.</w:t>
                  </w:r>
                </w:p>
              </w:sdtContent>
            </w:sdt>
            <w:sdt>
              <w:sdtPr>
                <w:alias w:val="17 p."/>
                <w:tag w:val="part_b82c07882eb74e7291dfa37d52fdc22e"/>
                <w:lock w:val="sdtLocked"/>
                <w:richText/>
              </w:sdtPr>
              <w:sdtContent>
                <w:p w14:paraId="4EABF017" w14:textId="51AEE514">
                  <w:pPr>
                    <w:widowControl w:val="0"/>
                    <w:tabs>
                      <w:tab w:val="left" w:pos="993"/>
                    </w:tabs>
                    <w:ind w:firstLine="567"/>
                    <w:jc w:val="both"/>
                    <w:rPr>
                      <w:rFonts w:ascii="Verdana" w:hAnsi="Verdana" w:cs="Arial"/>
                      <w:color w:val="000000"/>
                      <w:sz w:val="20"/>
                      <w:lang w:eastAsia="lt-LT"/>
                    </w:rPr>
                  </w:pPr>
                  <w:sdt>
                    <w:sdtPr>
                      <w:alias w:val="Numeris"/>
                      <w:tag w:val="nr_b82c07882eb74e7291dfa37d52fdc22e"/>
                      <w:lock w:val="sdtLocked"/>
                      <w:richText/>
                    </w:sdtPr>
                    <w:sdtContent>
                      <w:r>
                        <w:rPr>
                          <w:rFonts w:ascii="Verdana" w:hAnsi="Verdana" w:cs="Arial"/>
                          <w:color w:val="000000"/>
                          <w:sz w:val="20"/>
                          <w:lang w:eastAsia="lt-LT"/>
                        </w:rPr>
                        <w:t>17</w:t>
                      </w:r>
                    </w:sdtContent>
                  </w:sdt>
                  <w:r>
                    <w:rPr>
                      <w:rFonts w:ascii="Verdana" w:hAnsi="Verdana" w:cs="Arial"/>
                      <w:color w:val="000000"/>
                      <w:sz w:val="20"/>
                      <w:lang w:eastAsia="lt-LT"/>
                    </w:rPr>
                    <w:t>.</w:t>
                    <w:tab/>
                    <w:t xml:space="preserve">Prašymas pakeisti </w:t>
                  </w:r>
                  <w:r>
                    <w:rPr>
                      <w:rFonts w:ascii="Verdana" w:hAnsi="Verdana" w:cs="Arial"/>
                      <w:sz w:val="20"/>
                      <w:szCs w:val="24"/>
                      <w:lang w:eastAsia="lt-LT"/>
                    </w:rPr>
                    <w:t>ir (ar) papildyti</w:t>
                  </w:r>
                  <w:r>
                    <w:rPr>
                      <w:rFonts w:ascii="Verdana" w:hAnsi="Verdana" w:cs="Arial"/>
                      <w:color w:val="000000"/>
                      <w:sz w:val="20"/>
                      <w:lang w:eastAsia="lt-LT"/>
                    </w:rPr>
                    <w:t xml:space="preserve"> kriptoturto paslaugų teikėjo licenciją pateikiamas, nagrinėjamas ir sprendimas dėl licencijos pakeitimo ir (ar) papildymo priimamas vadovaujantis </w:t>
                  </w:r>
                  <w:r>
                    <w:rPr>
                      <w:rFonts w:ascii="Verdana" w:hAnsi="Verdana" w:cs="Arial"/>
                      <w:i/>
                      <w:iCs/>
                      <w:sz w:val="20"/>
                      <w:szCs w:val="24"/>
                      <w:lang w:eastAsia="lt-LT"/>
                    </w:rPr>
                    <w:t xml:space="preserve">Reglamento </w:t>
                  </w:r>
                  <w:fldSimple w:instr="HYPERLINK http://eur-lex.europa.eu/legal-content/LIT/TXT/?uri=CELEX:32023R1114&amp;locale=lt \t _blank">
                    <w:r>
                      <w:rPr>
                        <w:rFonts w:ascii="Verdana" w:hAnsi="Verdana" w:cs="Arial"/>
                        <w:i/>
                        <w:iCs/>
                        <w:sz w:val="20"/>
                        <w:szCs w:val="24"/>
                        <w:lang w:eastAsia="lt-LT"/>
                        <w:u w:val="single"/>
                        <w:color w:val="0000FF" w:themeColor="hyperlink"/>
                      </w:rPr>
                      <w:t>(ES) 2023/1114</w:t>
                    </w:r>
                  </w:fldSimple>
                  <w:r>
                    <w:rPr>
                      <w:rFonts w:ascii="Verdana" w:hAnsi="Verdana" w:cs="Arial"/>
                      <w:sz w:val="20"/>
                      <w:szCs w:val="24"/>
                      <w:lang w:eastAsia="lt-LT"/>
                    </w:rPr>
                    <w:t xml:space="preserve"> 63 straipsnio nuostatomis, </w:t>
                  </w:r>
                  <w:r>
                    <w:rPr>
                      <w:rFonts w:ascii="Verdana" w:hAnsi="Verdana" w:cs="Arial"/>
                      <w:color w:val="000000"/>
                      <w:sz w:val="20"/>
                      <w:lang w:eastAsia="lt-LT"/>
                    </w:rPr>
                    <w:t>šiomis Taisyklėms bei teisės aktų nuostatomis, reglamentuojančiomis kriptoturto paslaugų teikėjų licencijų išdavimą.</w:t>
                  </w:r>
                </w:p>
              </w:sdtContent>
            </w:sdt>
            <w:sdt>
              <w:sdtPr>
                <w:alias w:val="18 p."/>
                <w:tag w:val="part_ad989b2cdf4e419db36f8e86dcec79e6"/>
                <w:lock w:val="sdtLocked"/>
                <w:richText/>
              </w:sdtPr>
              <w:sdtContent>
                <w:p w14:paraId="401434D0" w14:textId="3D6E75ED">
                  <w:pPr>
                    <w:widowControl w:val="0"/>
                    <w:tabs>
                      <w:tab w:val="left" w:pos="993"/>
                    </w:tabs>
                    <w:ind w:firstLine="567"/>
                    <w:jc w:val="both"/>
                    <w:rPr>
                      <w:rFonts w:ascii="Verdana" w:hAnsi="Verdana" w:cs="Arial"/>
                      <w:color w:val="000000"/>
                      <w:sz w:val="20"/>
                      <w:lang w:eastAsia="lt-LT"/>
                    </w:rPr>
                  </w:pPr>
                  <w:sdt>
                    <w:sdtPr>
                      <w:alias w:val="Numeris"/>
                      <w:tag w:val="nr_ad989b2cdf4e419db36f8e86dcec79e6"/>
                      <w:lock w:val="sdtLocked"/>
                      <w:richText/>
                    </w:sdtPr>
                    <w:sdtContent>
                      <w:r>
                        <w:rPr>
                          <w:rFonts w:ascii="Verdana" w:hAnsi="Verdana" w:cs="Arial"/>
                          <w:color w:val="000000"/>
                          <w:sz w:val="20"/>
                          <w:lang w:eastAsia="lt-LT"/>
                        </w:rPr>
                        <w:t>18</w:t>
                      </w:r>
                    </w:sdtContent>
                  </w:sdt>
                  <w:r>
                    <w:rPr>
                      <w:rFonts w:ascii="Verdana" w:hAnsi="Verdana" w:cs="Arial"/>
                      <w:color w:val="000000"/>
                      <w:sz w:val="20"/>
                      <w:lang w:eastAsia="lt-LT"/>
                    </w:rPr>
                    <w:t>.</w:t>
                    <w:tab/>
                  </w:r>
                  <w:r>
                    <w:rPr>
                      <w:rFonts w:ascii="Verdana" w:hAnsi="Verdana" w:cs="Arial"/>
                      <w:sz w:val="20"/>
                      <w:szCs w:val="24"/>
                      <w:lang w:eastAsia="lt-LT"/>
                    </w:rPr>
                    <w:t>Kriptoturto paslaugų teikėjas, ketinantis teikti kriptoturto paslaugas, kurios nėra nurodytos jam išduotoje licencijoje, negali pradėti teikti šių papildomų kriptoturto paslaugų tol, kol Lietuvos bankas nėra išdavęs licencijos šių papildomų kriptoturto paslaugų teikimui.</w:t>
                  </w:r>
                </w:p>
                <w:p w14:paraId="7E993FDF" w14:textId="77777777">
                  <w:pPr>
                    <w:jc w:val="center"/>
                    <w:rPr>
                      <w:rFonts w:ascii="Verdana" w:hAnsi="Verdana" w:cs="Arial"/>
                      <w:b/>
                      <w:sz w:val="20"/>
                      <w:lang w:eastAsia="lt-LT"/>
                    </w:rPr>
                  </w:pPr>
                </w:p>
              </w:sdtContent>
            </w:sdt>
          </w:sdtContent>
        </w:sdt>
        <w:sdt>
          <w:sdtPr>
            <w:alias w:val="skyrius"/>
            <w:tag w:val="part_b6b6be700f51488583da701aadf4e5ed"/>
            <w:lock w:val="sdtLocked"/>
            <w:richText/>
          </w:sdtPr>
          <w:sdtContent>
            <w:p w14:paraId="26BDEADF" w14:textId="684F4739">
              <w:pPr>
                <w:ind w:firstLine="720"/>
                <w:jc w:val="center"/>
                <w:rPr>
                  <w:rFonts w:ascii="Verdana" w:hAnsi="Verdana" w:cs="Arial"/>
                  <w:b/>
                  <w:bCs/>
                  <w:sz w:val="20"/>
                  <w:szCs w:val="24"/>
                  <w:lang w:eastAsia="lt-LT"/>
                </w:rPr>
              </w:pPr>
              <w:sdt>
                <w:sdtPr>
                  <w:alias w:val="Numeris"/>
                  <w:tag w:val="nr_b6b6be700f51488583da701aadf4e5ed"/>
                  <w:lock w:val="sdtLocked"/>
                  <w:richText/>
                </w:sdtPr>
                <w:sdtContent>
                  <w:r>
                    <w:rPr>
                      <w:rFonts w:ascii="Verdana" w:hAnsi="Verdana" w:cs="Arial"/>
                      <w:b/>
                      <w:bCs/>
                      <w:sz w:val="20"/>
                      <w:szCs w:val="24"/>
                      <w:lang w:eastAsia="lt-LT"/>
                    </w:rPr>
                    <w:t>V</w:t>
                  </w:r>
                </w:sdtContent>
              </w:sdt>
              <w:r>
                <w:rPr>
                  <w:rFonts w:ascii="Verdana" w:hAnsi="Verdana" w:cs="Arial"/>
                  <w:b/>
                  <w:bCs/>
                  <w:sz w:val="20"/>
                  <w:szCs w:val="24"/>
                  <w:lang w:eastAsia="lt-LT"/>
                </w:rPr>
                <w:t xml:space="preserve"> SKYRIUS</w:t>
              </w:r>
            </w:p>
            <w:p w14:paraId="5EE82342" w14:textId="77777777">
              <w:pPr>
                <w:jc w:val="center"/>
                <w:rPr>
                  <w:rFonts w:ascii="Verdana" w:hAnsi="Verdana" w:cs="Arial"/>
                  <w:b/>
                  <w:bCs/>
                  <w:sz w:val="20"/>
                  <w:szCs w:val="24"/>
                  <w:lang w:eastAsia="lt-LT"/>
                </w:rPr>
              </w:pPr>
              <w:sdt>
                <w:sdtPr>
                  <w:alias w:val="Pavadinimas"/>
                  <w:tag w:val="title_b6b6be700f51488583da701aadf4e5ed"/>
                  <w:lock w:val="sdtLocked"/>
                  <w:richText/>
                </w:sdtPr>
                <w:sdtContent>
                  <w:r>
                    <w:rPr>
                      <w:rFonts w:ascii="Verdana" w:hAnsi="Verdana" w:cs="Arial"/>
                      <w:b/>
                      <w:bCs/>
                      <w:sz w:val="20"/>
                      <w:szCs w:val="24"/>
                      <w:lang w:eastAsia="lt-LT"/>
                    </w:rPr>
                    <w:t>PRANEŠIMAS APIE PASIKEITUSIUS DUOMENIS IR DOKUMENTUS</w:t>
                  </w:r>
                </w:sdtContent>
              </w:sdt>
            </w:p>
            <w:p w14:paraId="0A9D884D" w14:textId="77777777">
              <w:pPr>
                <w:tabs>
                  <w:tab w:val="left" w:pos="851"/>
                  <w:tab w:val="left" w:pos="993"/>
                </w:tabs>
                <w:jc w:val="both"/>
                <w:rPr>
                  <w:rFonts w:ascii="Verdana" w:hAnsi="Verdana" w:cs="Arial"/>
                  <w:color w:val="000000"/>
                  <w:sz w:val="20"/>
                  <w:lang w:eastAsia="lt-LT"/>
                </w:rPr>
              </w:pPr>
            </w:p>
            <w:sdt>
              <w:sdtPr>
                <w:alias w:val="19 p."/>
                <w:tag w:val="part_f50352f8d70c4254ac8692b07a405737"/>
                <w:lock w:val="sdtLocked"/>
                <w:richText/>
              </w:sdtPr>
              <w:sdtContent>
                <w:p w14:paraId="662D796F" w14:textId="38CA215B">
                  <w:pPr>
                    <w:tabs>
                      <w:tab w:val="left" w:pos="993"/>
                    </w:tabs>
                    <w:ind w:firstLine="567"/>
                    <w:jc w:val="both"/>
                    <w:rPr>
                      <w:rFonts w:ascii="Verdana" w:hAnsi="Verdana" w:cs="Arial"/>
                      <w:color w:val="000000"/>
                      <w:sz w:val="20"/>
                      <w:szCs w:val="24"/>
                      <w:lang w:eastAsia="lt-LT"/>
                    </w:rPr>
                  </w:pPr>
                  <w:sdt>
                    <w:sdtPr>
                      <w:alias w:val="Numeris"/>
                      <w:tag w:val="nr_f50352f8d70c4254ac8692b07a405737"/>
                      <w:lock w:val="sdtLocked"/>
                      <w:richText/>
                    </w:sdtPr>
                    <w:sdtContent>
                      <w:r>
                        <w:rPr>
                          <w:rFonts w:ascii="Verdana" w:hAnsi="Verdana" w:cs="Arial"/>
                          <w:color w:val="000000"/>
                          <w:sz w:val="20"/>
                          <w:szCs w:val="24"/>
                          <w:lang w:eastAsia="lt-LT"/>
                        </w:rPr>
                        <w:t>19</w:t>
                      </w:r>
                    </w:sdtContent>
                  </w:sdt>
                  <w:r>
                    <w:rPr>
                      <w:rFonts w:ascii="Verdana" w:hAnsi="Verdana" w:cs="Arial"/>
                      <w:color w:val="000000"/>
                      <w:sz w:val="20"/>
                      <w:szCs w:val="24"/>
                      <w:lang w:eastAsia="lt-LT"/>
                    </w:rPr>
                    <w:t>.</w:t>
                    <w:tab/>
                    <w:t xml:space="preserve">Apie kriptoturto paslaugų teikėjo duomenų ir (arba) dokumentų, kurie buvo pateikti Lietuvos bankui licencijos išdavimo metu, pasikeitimus licenciją gavęs kriptoturto paslaugų teikėjas privalo pranešti Lietuvos bankui ne vėliau kaip per </w:t>
                  </w:r>
                  <w:r>
                    <w:rPr>
                      <w:rFonts w:ascii="Verdana" w:hAnsi="Verdana" w:cs="Arial"/>
                      <w:sz w:val="20"/>
                      <w:szCs w:val="24"/>
                      <w:lang w:eastAsia="lt-LT"/>
                    </w:rPr>
                    <w:t>15 kalendorinių dienų</w:t>
                  </w:r>
                  <w:r>
                    <w:rPr>
                      <w:rFonts w:ascii="Verdana" w:hAnsi="Verdana" w:cs="Arial"/>
                      <w:color w:val="000000"/>
                      <w:sz w:val="20"/>
                      <w:szCs w:val="24"/>
                      <w:lang w:eastAsia="lt-LT"/>
                    </w:rPr>
                    <w:t xml:space="preserve"> po jų pasikeitimo dienos, jeigu kituose kriptoturto paslaugų teikėjo veiklą reglamentuojančiuose teisės aktuose nenustatyti kitokie informavimo apie pasikeitusią informaciją terminai.</w:t>
                  </w:r>
                </w:p>
              </w:sdtContent>
            </w:sdt>
            <w:sdt>
              <w:sdtPr>
                <w:alias w:val="20 p."/>
                <w:tag w:val="part_6c233e6de4eb45b8880d2134017b535c"/>
                <w:lock w:val="sdtLocked"/>
                <w:richText/>
              </w:sdtPr>
              <w:sdtContent>
                <w:p w14:paraId="2EBFE36F" w14:textId="3513199B">
                  <w:pPr>
                    <w:tabs>
                      <w:tab w:val="left" w:pos="993"/>
                    </w:tabs>
                    <w:ind w:firstLine="567"/>
                    <w:jc w:val="both"/>
                    <w:rPr>
                      <w:rFonts w:ascii="Verdana" w:hAnsi="Verdana" w:cs="Arial"/>
                      <w:color w:val="000000"/>
                      <w:sz w:val="20"/>
                      <w:szCs w:val="24"/>
                      <w:lang w:eastAsia="lt-LT"/>
                    </w:rPr>
                  </w:pPr>
                  <w:sdt>
                    <w:sdtPr>
                      <w:alias w:val="Numeris"/>
                      <w:tag w:val="nr_6c233e6de4eb45b8880d2134017b535c"/>
                      <w:lock w:val="sdtLocked"/>
                      <w:richText/>
                    </w:sdtPr>
                    <w:sdtContent>
                      <w:r>
                        <w:rPr>
                          <w:rFonts w:ascii="Verdana" w:hAnsi="Verdana" w:cs="Arial"/>
                          <w:color w:val="000000"/>
                          <w:sz w:val="20"/>
                          <w:szCs w:val="24"/>
                          <w:lang w:eastAsia="lt-LT"/>
                        </w:rPr>
                        <w:t>20</w:t>
                      </w:r>
                    </w:sdtContent>
                  </w:sdt>
                  <w:r>
                    <w:rPr>
                      <w:rFonts w:ascii="Verdana" w:hAnsi="Verdana" w:cs="Arial"/>
                      <w:color w:val="000000"/>
                      <w:sz w:val="20"/>
                      <w:szCs w:val="24"/>
                      <w:lang w:eastAsia="lt-LT"/>
                    </w:rPr>
                    <w:t>.</w:t>
                    <w:tab/>
                    <w:t xml:space="preserve">Pasikeitus kriptoturto paslaugų teikėjo duomenims (įmonės pavadinimui, juridinio asmens teisinei formai, kodui) ir kriptoturto paslaugų teikėjui pateikus prašymą pakeisti duomenis ir duomenų pasikeitimą patvirtinančius dokumentus, atitinkami duomenys išduotoje licencijoje pakeičiami per </w:t>
                  </w:r>
                  <w:r>
                    <w:rPr>
                      <w:rFonts w:ascii="Verdana" w:hAnsi="Verdana" w:cs="Arial"/>
                      <w:sz w:val="20"/>
                      <w:szCs w:val="24"/>
                      <w:lang w:eastAsia="lt-LT"/>
                    </w:rPr>
                    <w:t>15 kalendorinių dienų</w:t>
                  </w:r>
                  <w:r>
                    <w:rPr>
                      <w:rFonts w:ascii="Verdana" w:hAnsi="Verdana" w:cs="Arial"/>
                      <w:color w:val="000000"/>
                      <w:sz w:val="20"/>
                      <w:szCs w:val="24"/>
                      <w:lang w:eastAsia="lt-LT"/>
                    </w:rPr>
                    <w:t>.</w:t>
                  </w:r>
                </w:p>
                <w:p w14:paraId="68CEEF8E" w14:textId="77777777">
                  <w:pPr>
                    <w:rPr>
                      <w:rFonts w:ascii="Verdana" w:hAnsi="Verdana" w:cs="Arial"/>
                      <w:b/>
                      <w:sz w:val="20"/>
                      <w:highlight w:val="yellow"/>
                      <w:lang w:eastAsia="lt-LT"/>
                    </w:rPr>
                  </w:pPr>
                </w:p>
              </w:sdtContent>
            </w:sdt>
          </w:sdtContent>
        </w:sdt>
        <w:sdt>
          <w:sdtPr>
            <w:alias w:val="skyrius"/>
            <w:tag w:val="part_0717c8d947724b32997e2d01866a4be9"/>
            <w:lock w:val="sdtLocked"/>
            <w:richText/>
          </w:sdtPr>
          <w:sdtContent>
            <w:p w14:paraId="746FC22E" w14:textId="44541687">
              <w:pPr>
                <w:ind w:firstLine="720"/>
                <w:jc w:val="center"/>
                <w:rPr>
                  <w:rFonts w:ascii="Verdana" w:hAnsi="Verdana" w:cs="Arial"/>
                  <w:b/>
                  <w:bCs/>
                  <w:sz w:val="20"/>
                  <w:szCs w:val="24"/>
                  <w:lang w:eastAsia="lt-LT"/>
                </w:rPr>
              </w:pPr>
              <w:sdt>
                <w:sdtPr>
                  <w:alias w:val="Numeris"/>
                  <w:tag w:val="nr_0717c8d947724b32997e2d01866a4be9"/>
                  <w:lock w:val="sdtLocked"/>
                  <w:richText/>
                </w:sdtPr>
                <w:sdtContent>
                  <w:r>
                    <w:rPr>
                      <w:rFonts w:ascii="Verdana" w:hAnsi="Verdana" w:cs="Arial"/>
                      <w:b/>
                      <w:bCs/>
                      <w:sz w:val="20"/>
                      <w:szCs w:val="24"/>
                      <w:lang w:eastAsia="lt-LT"/>
                    </w:rPr>
                    <w:t>VI</w:t>
                  </w:r>
                </w:sdtContent>
              </w:sdt>
              <w:r>
                <w:rPr>
                  <w:rFonts w:ascii="Verdana" w:hAnsi="Verdana" w:cs="Arial"/>
                  <w:b/>
                  <w:bCs/>
                  <w:sz w:val="20"/>
                  <w:szCs w:val="24"/>
                  <w:lang w:eastAsia="lt-LT"/>
                </w:rPr>
                <w:t xml:space="preserve"> SKYRIUS</w:t>
              </w:r>
            </w:p>
            <w:p w14:paraId="7E795C23" w14:textId="77777777">
              <w:pPr>
                <w:jc w:val="center"/>
                <w:rPr>
                  <w:rFonts w:ascii="Verdana" w:hAnsi="Verdana" w:cs="Arial"/>
                  <w:b/>
                  <w:sz w:val="20"/>
                  <w:lang w:eastAsia="lt-LT"/>
                </w:rPr>
              </w:pPr>
              <w:sdt>
                <w:sdtPr>
                  <w:alias w:val="Pavadinimas"/>
                  <w:tag w:val="title_0717c8d947724b32997e2d01866a4be9"/>
                  <w:lock w:val="sdtLocked"/>
                  <w:richText/>
                </w:sdtPr>
                <w:sdtContent>
                  <w:r>
                    <w:rPr>
                      <w:rFonts w:ascii="Verdana" w:hAnsi="Verdana" w:cs="Arial"/>
                      <w:b/>
                      <w:sz w:val="20"/>
                      <w:lang w:eastAsia="lt-LT"/>
                    </w:rPr>
                    <w:t>BAIGIAMOSIOS NUOSTATOS</w:t>
                  </w:r>
                </w:sdtContent>
              </w:sdt>
            </w:p>
            <w:p w14:paraId="10D0AD9E" w14:textId="77777777">
              <w:pPr>
                <w:tabs>
                  <w:tab w:val="left" w:pos="851"/>
                  <w:tab w:val="left" w:pos="993"/>
                </w:tabs>
                <w:ind w:firstLine="720"/>
                <w:jc w:val="both"/>
                <w:rPr>
                  <w:rFonts w:ascii="Verdana" w:hAnsi="Verdana" w:cs="Arial"/>
                  <w:color w:val="000000"/>
                  <w:sz w:val="20"/>
                  <w:lang w:eastAsia="lt-LT"/>
                </w:rPr>
              </w:pPr>
            </w:p>
            <w:sdt>
              <w:sdtPr>
                <w:alias w:val="21 p."/>
                <w:tag w:val="part_a2d4762460f14201a75f7e4c5f3c6aac"/>
                <w:lock w:val="sdtLocked"/>
                <w:richText/>
              </w:sdtPr>
              <w:sdtContent>
                <w:p w14:paraId="30A14677" w14:textId="70F2FE4F">
                  <w:pPr>
                    <w:tabs>
                      <w:tab w:val="left" w:pos="993"/>
                    </w:tabs>
                    <w:ind w:firstLine="567"/>
                    <w:jc w:val="both"/>
                    <w:rPr>
                      <w:rFonts w:ascii="Arial" w:hAnsi="Arial" w:cs="Arial"/>
                      <w:color w:val="000000"/>
                      <w:sz w:val="20"/>
                      <w:szCs w:val="24"/>
                      <w:lang w:eastAsia="lt-LT"/>
                    </w:rPr>
                  </w:pPr>
                  <w:sdt>
                    <w:sdtPr>
                      <w:alias w:val="Numeris"/>
                      <w:tag w:val="nr_a2d4762460f14201a75f7e4c5f3c6aac"/>
                      <w:lock w:val="sdtLocked"/>
                      <w:richText/>
                    </w:sdtPr>
                    <w:sdtContent>
                      <w:r>
                        <w:rPr>
                          <w:rFonts w:ascii="Verdana" w:hAnsi="Verdana"/>
                          <w:color w:val="000000"/>
                          <w:sz w:val="20"/>
                        </w:rPr>
                        <w:t>21</w:t>
                      </w:r>
                    </w:sdtContent>
                  </w:sdt>
                  <w:r>
                    <w:rPr>
                      <w:rFonts w:ascii="Verdana" w:hAnsi="Verdana"/>
                      <w:color w:val="000000"/>
                      <w:sz w:val="20"/>
                    </w:rPr>
                    <w:t>.</w:t>
                    <w:tab/>
                  </w:r>
                  <w:r>
                    <w:rPr>
                      <w:rFonts w:ascii="Arial" w:hAnsi="Arial" w:cs="Arial"/>
                      <w:color w:val="000000"/>
                      <w:sz w:val="20"/>
                      <w:szCs w:val="24"/>
                      <w:lang w:eastAsia="lt-LT"/>
                    </w:rPr>
                    <w:t xml:space="preserve">Licencijuojama veikla, pateiktų dokumentų nagrinėjimo tvarka ir terminai, licencijos išdavimo sąlygos, atsisakymo išduoti licenciją teisinis pagrindas, licencijuojamos veiklos sąlygos, įskaitant licencijos turėtojų teises ir pareigas, licencijos sąlygų laikymosi priežiūros tvarka, licencijos galiojimo panaikinimo, galiojimo sustabdymo ir sustabdymo panaikinimo atvejai ir tvarka nustatyti šiose Taisyklėse, Lietuvos Respublikos kriptoturto rinkų įstatyme bei </w:t>
                  </w:r>
                  <w:r>
                    <w:rPr>
                      <w:rFonts w:ascii="Arial" w:hAnsi="Arial" w:cs="Arial"/>
                      <w:sz w:val="20"/>
                      <w:szCs w:val="24"/>
                      <w:lang w:eastAsia="lt-LT"/>
                    </w:rPr>
                    <w:t xml:space="preserve">Reglamente </w:t>
                  </w:r>
                  <w:fldSimple w:instr="HYPERLINK http://eur-lex.europa.eu/legal-content/LIT/TXT/?uri=CELEX:32023R1114&amp;locale=lt \t _blank">
                    <w:r>
                      <w:rPr>
                        <w:rFonts w:ascii="Arial" w:hAnsi="Arial" w:cs="Arial"/>
                        <w:sz w:val="20"/>
                        <w:szCs w:val="24"/>
                        <w:lang w:eastAsia="lt-LT"/>
                        <w:u w:val="single"/>
                        <w:color w:val="0000FF" w:themeColor="hyperlink"/>
                      </w:rPr>
                      <w:t>(ES) 2023/1114</w:t>
                    </w:r>
                  </w:fldSimple>
                  <w:r>
                    <w:rPr>
                      <w:rFonts w:ascii="Arial" w:hAnsi="Arial" w:cs="Arial"/>
                      <w:sz w:val="20"/>
                      <w:szCs w:val="24"/>
                      <w:lang w:eastAsia="lt-LT"/>
                    </w:rPr>
                    <w:t>.</w:t>
                  </w:r>
                </w:p>
              </w:sdtContent>
            </w:sdt>
            <w:sdt>
              <w:sdtPr>
                <w:alias w:val="22 p."/>
                <w:tag w:val="part_f8f9f69d401a47cb810fc92cd9e8c6f4"/>
                <w:lock w:val="sdtLocked"/>
                <w:richText/>
              </w:sdtPr>
              <w:sdtContent>
                <w:p w14:paraId="36190252" w14:textId="7FE412C8">
                  <w:pPr>
                    <w:tabs>
                      <w:tab w:val="left" w:pos="993"/>
                    </w:tabs>
                    <w:ind w:firstLine="567"/>
                    <w:jc w:val="both"/>
                    <w:rPr>
                      <w:rFonts w:ascii="Verdana" w:hAnsi="Verdana" w:cs="Arial"/>
                      <w:color w:val="000000"/>
                      <w:sz w:val="20"/>
                      <w:lang w:eastAsia="lt-LT"/>
                    </w:rPr>
                  </w:pPr>
                  <w:sdt>
                    <w:sdtPr>
                      <w:alias w:val="Numeris"/>
                      <w:tag w:val="nr_f8f9f69d401a47cb810fc92cd9e8c6f4"/>
                      <w:lock w:val="sdtLocked"/>
                      <w:richText/>
                    </w:sdtPr>
                    <w:sdtContent>
                      <w:r>
                        <w:rPr>
                          <w:rFonts w:ascii="Verdana" w:hAnsi="Verdana" w:cs="Arial"/>
                          <w:color w:val="000000"/>
                          <w:sz w:val="20"/>
                          <w:lang w:eastAsia="lt-LT"/>
                        </w:rPr>
                        <w:t>22</w:t>
                      </w:r>
                    </w:sdtContent>
                  </w:sdt>
                  <w:r>
                    <w:rPr>
                      <w:rFonts w:ascii="Verdana" w:hAnsi="Verdana" w:cs="Arial"/>
                      <w:color w:val="000000"/>
                      <w:sz w:val="20"/>
                      <w:lang w:eastAsia="lt-LT"/>
                    </w:rPr>
                    <w:t>.</w:t>
                    <w:tab/>
                    <w:t>Informacija apie licencijos išdavimą, licencijos galiojimo sustabdymą, licencijos galiojimo sustabdymo panaikinimą ar licencijos atšaukimą, licencijos duomenų ar informacijos pasikeitimą skelbiama Lietuvos banko interneto svetainėje teisės aktų nustatyta tvarka.</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39"/>
      <w:pgMar w:top="1134" w:right="567" w:bottom="1134" w:left="1701" w:header="567" w:footer="567" w:gutter="0"/>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249EB" w14:textId="7777777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778575D4"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46CF85F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Verdana">
    <w:panose1 w:val="020B0604030504040204"/>
    <w:charset w:val="BA"/>
    <w:family w:val="swiss"/>
    <w:pitch w:val="variable"/>
    <w:sig w:usb0="A10006FF" w:usb1="4000205B" w:usb2="00000010"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FF521" w14:textId="77777777">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4C675" w14:textId="77777777">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F6703" w14:textId="77777777">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8B3F0" w14:textId="7777777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3C779EB2"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7FB4DC44"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6F974" w14:textId="77777777">
    <w:pPr>
      <w:framePr w:wrap="auto" w:vAnchor="text" w:hAnchor="margin" w:xAlign="center" w:y="1"/>
      <w:tabs>
        <w:tab w:val="center" w:pos="4153"/>
        <w:tab w:val="right" w:pos="8306"/>
      </w:tabs>
      <w:ind w:firstLine="720"/>
      <w:rPr>
        <w:rFonts w:ascii="Arial" w:hAnsi="Arial" w:cs="Arial"/>
        <w:sz w:val="20"/>
        <w:szCs w:val="24"/>
        <w:lang w:val="en-GB"/>
      </w:rPr>
    </w:pPr>
    <w:r>
      <w:rPr>
        <w:rFonts w:ascii="Arial" w:hAnsi="Arial" w:cs="Arial"/>
        <w:sz w:val="20"/>
        <w:szCs w:val="24"/>
        <w:lang w:val="en-GB"/>
      </w:rPr>
      <w:fldChar w:fldCharType="begin"/>
    </w:r>
    <w:r>
      <w:rPr>
        <w:rFonts w:ascii="Arial" w:hAnsi="Arial" w:cs="Arial"/>
        <w:sz w:val="20"/>
        <w:szCs w:val="24"/>
        <w:lang w:val="en-GB"/>
      </w:rPr>
      <w:instrText xml:space="preserve">PAGE  </w:instrText>
    </w:r>
    <w:r>
      <w:rPr>
        <w:rFonts w:ascii="Arial" w:hAnsi="Arial" w:cs="Arial"/>
        <w:sz w:val="20"/>
        <w:szCs w:val="24"/>
        <w:lang w:val="en-GB"/>
      </w:rPr>
      <w:fldChar w:fldCharType="separate"/>
    </w:r>
    <w:r>
      <w:rPr>
        <w:rFonts w:ascii="Arial" w:hAnsi="Arial" w:cs="Arial"/>
        <w:sz w:val="20"/>
        <w:szCs w:val="24"/>
        <w:lang w:val="en-GB"/>
      </w:rPr>
      <w:t>2</w:t>
    </w:r>
    <w:r>
      <w:rPr>
        <w:rFonts w:ascii="Arial" w:hAnsi="Arial" w:cs="Arial"/>
        <w:sz w:val="20"/>
        <w:szCs w:val="24"/>
        <w:lang w:val="en-GB"/>
      </w:rPr>
      <w:fldChar w:fldCharType="end"/>
    </w:r>
  </w:p>
  <w:p w14:paraId="297CABE3" w14:textId="77777777">
    <w:pPr>
      <w:tabs>
        <w:tab w:val="center" w:pos="4153"/>
        <w:tab w:val="right" w:pos="8306"/>
      </w:tabs>
      <w:ind w:firstLine="720"/>
      <w:rPr>
        <w:rFonts w:ascii="Arial" w:hAnsi="Arial" w:cs="Arial"/>
        <w:sz w:val="20"/>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5B063" w14:textId="77777777">
    <w:pPr>
      <w:framePr w:wrap="auto" w:vAnchor="text" w:hAnchor="margin" w:xAlign="center" w:y="1"/>
      <w:tabs>
        <w:tab w:val="center" w:pos="4153"/>
        <w:tab w:val="right" w:pos="8306"/>
      </w:tabs>
      <w:rPr>
        <w:rFonts w:ascii="Arial" w:hAnsi="Arial" w:cs="Arial"/>
        <w:sz w:val="20"/>
        <w:szCs w:val="24"/>
        <w:lang w:val="en-GB"/>
      </w:rPr>
    </w:pPr>
    <w:r>
      <w:rPr>
        <w:rFonts w:ascii="Arial" w:hAnsi="Arial" w:cs="Arial"/>
        <w:sz w:val="20"/>
        <w:szCs w:val="24"/>
        <w:lang w:val="en-GB"/>
      </w:rPr>
      <w:fldChar w:fldCharType="begin"/>
    </w:r>
    <w:r>
      <w:rPr>
        <w:rFonts w:ascii="Arial" w:hAnsi="Arial" w:cs="Arial"/>
        <w:sz w:val="20"/>
        <w:szCs w:val="24"/>
        <w:lang w:val="en-GB"/>
      </w:rPr>
      <w:instrText xml:space="preserve">PAGE  </w:instrText>
    </w:r>
    <w:r>
      <w:rPr>
        <w:rFonts w:ascii="Arial" w:hAnsi="Arial" w:cs="Arial"/>
        <w:sz w:val="20"/>
        <w:szCs w:val="24"/>
        <w:lang w:val="en-GB"/>
      </w:rPr>
      <w:fldChar w:fldCharType="separate"/>
    </w:r>
    <w:r>
      <w:rPr>
        <w:rFonts w:ascii="Arial" w:hAnsi="Arial" w:cs="Arial"/>
        <w:sz w:val="20"/>
        <w:szCs w:val="24"/>
        <w:lang w:val="en-GB"/>
      </w:rPr>
      <w:t>33</w:t>
    </w:r>
    <w:r>
      <w:rPr>
        <w:rFonts w:ascii="Arial" w:hAnsi="Arial" w:cs="Arial"/>
        <w:sz w:val="20"/>
        <w:szCs w:val="24"/>
        <w:lang w:val="en-GB"/>
      </w:rPr>
      <w:fldChar w:fldCharType="end"/>
    </w:r>
  </w:p>
  <w:p w14:paraId="527C7AB7" w14:textId="77777777">
    <w:pPr>
      <w:tabs>
        <w:tab w:val="center" w:pos="4153"/>
        <w:tab w:val="right" w:pos="8306"/>
      </w:tabs>
      <w:rPr>
        <w:rFonts w:ascii="Arial" w:hAnsi="Arial" w:cs="Arial"/>
        <w:sz w:val="20"/>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D0117" w14:textId="77777777">
    <w:pPr>
      <w:tabs>
        <w:tab w:val="center" w:pos="4153"/>
        <w:tab w:val="right" w:pos="8306"/>
      </w:tabs>
      <w:ind w:firstLine="720"/>
      <w:rPr>
        <w:rFonts w:ascii="Arial" w:hAnsi="Arial" w:cs="Arial"/>
        <w:sz w:val="20"/>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evenAndOddHeader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0241"/>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55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96B88D4"/>
  <w15:chartTrackingRefBas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7347">
      <w:bodyDiv w:val="1"/>
      <w:marLeft w:val="0"/>
      <w:marRight w:val="0"/>
      <w:marTop w:val="0"/>
      <w:marBottom w:val="0"/>
      <w:divBdr>
        <w:top w:val="none" w:sz="0" w:space="0" w:color="auto"/>
        <w:left w:val="none" w:sz="0" w:space="0" w:color="auto"/>
        <w:bottom w:val="none" w:sz="0" w:space="0" w:color="auto"/>
        <w:right w:val="none" w:sz="0" w:space="0" w:color="auto"/>
      </w:divBdr>
    </w:div>
    <w:div w:id="3554814">
      <w:bodyDiv w:val="1"/>
      <w:marLeft w:val="0"/>
      <w:marRight w:val="0"/>
      <w:marTop w:val="0"/>
      <w:marBottom w:val="0"/>
      <w:divBdr>
        <w:top w:val="none" w:sz="0" w:space="0" w:color="auto"/>
        <w:left w:val="none" w:sz="0" w:space="0" w:color="auto"/>
        <w:bottom w:val="none" w:sz="0" w:space="0" w:color="auto"/>
        <w:right w:val="none" w:sz="0" w:space="0" w:color="auto"/>
      </w:divBdr>
    </w:div>
    <w:div w:id="39865220">
      <w:bodyDiv w:val="1"/>
      <w:marLeft w:val="0"/>
      <w:marRight w:val="0"/>
      <w:marTop w:val="0"/>
      <w:marBottom w:val="0"/>
      <w:divBdr>
        <w:top w:val="none" w:sz="0" w:space="0" w:color="auto"/>
        <w:left w:val="none" w:sz="0" w:space="0" w:color="auto"/>
        <w:bottom w:val="none" w:sz="0" w:space="0" w:color="auto"/>
        <w:right w:val="none" w:sz="0" w:space="0" w:color="auto"/>
      </w:divBdr>
    </w:div>
    <w:div w:id="88085945">
      <w:bodyDiv w:val="1"/>
      <w:marLeft w:val="0"/>
      <w:marRight w:val="0"/>
      <w:marTop w:val="0"/>
      <w:marBottom w:val="0"/>
      <w:divBdr>
        <w:top w:val="none" w:sz="0" w:space="0" w:color="auto"/>
        <w:left w:val="none" w:sz="0" w:space="0" w:color="auto"/>
        <w:bottom w:val="none" w:sz="0" w:space="0" w:color="auto"/>
        <w:right w:val="none" w:sz="0" w:space="0" w:color="auto"/>
      </w:divBdr>
    </w:div>
    <w:div w:id="105658924">
      <w:bodyDiv w:val="1"/>
      <w:marLeft w:val="0"/>
      <w:marRight w:val="0"/>
      <w:marTop w:val="0"/>
      <w:marBottom w:val="0"/>
      <w:divBdr>
        <w:top w:val="none" w:sz="0" w:space="0" w:color="auto"/>
        <w:left w:val="none" w:sz="0" w:space="0" w:color="auto"/>
        <w:bottom w:val="none" w:sz="0" w:space="0" w:color="auto"/>
        <w:right w:val="none" w:sz="0" w:space="0" w:color="auto"/>
      </w:divBdr>
    </w:div>
    <w:div w:id="114756591">
      <w:bodyDiv w:val="1"/>
      <w:marLeft w:val="0"/>
      <w:marRight w:val="0"/>
      <w:marTop w:val="0"/>
      <w:marBottom w:val="0"/>
      <w:divBdr>
        <w:top w:val="none" w:sz="0" w:space="0" w:color="auto"/>
        <w:left w:val="none" w:sz="0" w:space="0" w:color="auto"/>
        <w:bottom w:val="none" w:sz="0" w:space="0" w:color="auto"/>
        <w:right w:val="none" w:sz="0" w:space="0" w:color="auto"/>
      </w:divBdr>
    </w:div>
    <w:div w:id="119686633">
      <w:bodyDiv w:val="1"/>
      <w:marLeft w:val="0"/>
      <w:marRight w:val="0"/>
      <w:marTop w:val="0"/>
      <w:marBottom w:val="0"/>
      <w:divBdr>
        <w:top w:val="none" w:sz="0" w:space="0" w:color="auto"/>
        <w:left w:val="none" w:sz="0" w:space="0" w:color="auto"/>
        <w:bottom w:val="none" w:sz="0" w:space="0" w:color="auto"/>
        <w:right w:val="none" w:sz="0" w:space="0" w:color="auto"/>
      </w:divBdr>
    </w:div>
    <w:div w:id="169100618">
      <w:bodyDiv w:val="1"/>
      <w:marLeft w:val="0"/>
      <w:marRight w:val="0"/>
      <w:marTop w:val="0"/>
      <w:marBottom w:val="0"/>
      <w:divBdr>
        <w:top w:val="none" w:sz="0" w:space="0" w:color="auto"/>
        <w:left w:val="none" w:sz="0" w:space="0" w:color="auto"/>
        <w:bottom w:val="none" w:sz="0" w:space="0" w:color="auto"/>
        <w:right w:val="none" w:sz="0" w:space="0" w:color="auto"/>
      </w:divBdr>
    </w:div>
    <w:div w:id="186843551">
      <w:bodyDiv w:val="1"/>
      <w:marLeft w:val="0"/>
      <w:marRight w:val="0"/>
      <w:marTop w:val="0"/>
      <w:marBottom w:val="0"/>
      <w:divBdr>
        <w:top w:val="none" w:sz="0" w:space="0" w:color="auto"/>
        <w:left w:val="none" w:sz="0" w:space="0" w:color="auto"/>
        <w:bottom w:val="none" w:sz="0" w:space="0" w:color="auto"/>
        <w:right w:val="none" w:sz="0" w:space="0" w:color="auto"/>
      </w:divBdr>
    </w:div>
    <w:div w:id="195508981">
      <w:bodyDiv w:val="1"/>
      <w:marLeft w:val="0"/>
      <w:marRight w:val="0"/>
      <w:marTop w:val="0"/>
      <w:marBottom w:val="0"/>
      <w:divBdr>
        <w:top w:val="none" w:sz="0" w:space="0" w:color="auto"/>
        <w:left w:val="none" w:sz="0" w:space="0" w:color="auto"/>
        <w:bottom w:val="none" w:sz="0" w:space="0" w:color="auto"/>
        <w:right w:val="none" w:sz="0" w:space="0" w:color="auto"/>
      </w:divBdr>
    </w:div>
    <w:div w:id="204682980">
      <w:bodyDiv w:val="1"/>
      <w:marLeft w:val="0"/>
      <w:marRight w:val="0"/>
      <w:marTop w:val="0"/>
      <w:marBottom w:val="0"/>
      <w:divBdr>
        <w:top w:val="none" w:sz="0" w:space="0" w:color="auto"/>
        <w:left w:val="none" w:sz="0" w:space="0" w:color="auto"/>
        <w:bottom w:val="none" w:sz="0" w:space="0" w:color="auto"/>
        <w:right w:val="none" w:sz="0" w:space="0" w:color="auto"/>
      </w:divBdr>
    </w:div>
    <w:div w:id="238905230">
      <w:bodyDiv w:val="1"/>
      <w:marLeft w:val="0"/>
      <w:marRight w:val="0"/>
      <w:marTop w:val="0"/>
      <w:marBottom w:val="0"/>
      <w:divBdr>
        <w:top w:val="none" w:sz="0" w:space="0" w:color="auto"/>
        <w:left w:val="none" w:sz="0" w:space="0" w:color="auto"/>
        <w:bottom w:val="none" w:sz="0" w:space="0" w:color="auto"/>
        <w:right w:val="none" w:sz="0" w:space="0" w:color="auto"/>
      </w:divBdr>
    </w:div>
    <w:div w:id="251208589">
      <w:bodyDiv w:val="1"/>
      <w:marLeft w:val="0"/>
      <w:marRight w:val="0"/>
      <w:marTop w:val="0"/>
      <w:marBottom w:val="0"/>
      <w:divBdr>
        <w:top w:val="none" w:sz="0" w:space="0" w:color="auto"/>
        <w:left w:val="none" w:sz="0" w:space="0" w:color="auto"/>
        <w:bottom w:val="none" w:sz="0" w:space="0" w:color="auto"/>
        <w:right w:val="none" w:sz="0" w:space="0" w:color="auto"/>
      </w:divBdr>
    </w:div>
    <w:div w:id="271328245">
      <w:bodyDiv w:val="1"/>
      <w:marLeft w:val="0"/>
      <w:marRight w:val="0"/>
      <w:marTop w:val="0"/>
      <w:marBottom w:val="0"/>
      <w:divBdr>
        <w:top w:val="none" w:sz="0" w:space="0" w:color="auto"/>
        <w:left w:val="none" w:sz="0" w:space="0" w:color="auto"/>
        <w:bottom w:val="none" w:sz="0" w:space="0" w:color="auto"/>
        <w:right w:val="none" w:sz="0" w:space="0" w:color="auto"/>
      </w:divBdr>
    </w:div>
    <w:div w:id="273905507">
      <w:bodyDiv w:val="1"/>
      <w:marLeft w:val="0"/>
      <w:marRight w:val="0"/>
      <w:marTop w:val="0"/>
      <w:marBottom w:val="0"/>
      <w:divBdr>
        <w:top w:val="none" w:sz="0" w:space="0" w:color="auto"/>
        <w:left w:val="none" w:sz="0" w:space="0" w:color="auto"/>
        <w:bottom w:val="none" w:sz="0" w:space="0" w:color="auto"/>
        <w:right w:val="none" w:sz="0" w:space="0" w:color="auto"/>
      </w:divBdr>
    </w:div>
    <w:div w:id="316151646">
      <w:bodyDiv w:val="1"/>
      <w:marLeft w:val="0"/>
      <w:marRight w:val="0"/>
      <w:marTop w:val="0"/>
      <w:marBottom w:val="0"/>
      <w:divBdr>
        <w:top w:val="none" w:sz="0" w:space="0" w:color="auto"/>
        <w:left w:val="none" w:sz="0" w:space="0" w:color="auto"/>
        <w:bottom w:val="none" w:sz="0" w:space="0" w:color="auto"/>
        <w:right w:val="none" w:sz="0" w:space="0" w:color="auto"/>
      </w:divBdr>
    </w:div>
    <w:div w:id="345601211">
      <w:bodyDiv w:val="1"/>
      <w:marLeft w:val="0"/>
      <w:marRight w:val="0"/>
      <w:marTop w:val="0"/>
      <w:marBottom w:val="0"/>
      <w:divBdr>
        <w:top w:val="none" w:sz="0" w:space="0" w:color="auto"/>
        <w:left w:val="none" w:sz="0" w:space="0" w:color="auto"/>
        <w:bottom w:val="none" w:sz="0" w:space="0" w:color="auto"/>
        <w:right w:val="none" w:sz="0" w:space="0" w:color="auto"/>
      </w:divBdr>
    </w:div>
    <w:div w:id="370502401">
      <w:bodyDiv w:val="1"/>
      <w:marLeft w:val="0"/>
      <w:marRight w:val="0"/>
      <w:marTop w:val="0"/>
      <w:marBottom w:val="0"/>
      <w:divBdr>
        <w:top w:val="none" w:sz="0" w:space="0" w:color="auto"/>
        <w:left w:val="none" w:sz="0" w:space="0" w:color="auto"/>
        <w:bottom w:val="none" w:sz="0" w:space="0" w:color="auto"/>
        <w:right w:val="none" w:sz="0" w:space="0" w:color="auto"/>
      </w:divBdr>
    </w:div>
    <w:div w:id="371544410">
      <w:bodyDiv w:val="1"/>
      <w:marLeft w:val="0"/>
      <w:marRight w:val="0"/>
      <w:marTop w:val="0"/>
      <w:marBottom w:val="0"/>
      <w:divBdr>
        <w:top w:val="none" w:sz="0" w:space="0" w:color="auto"/>
        <w:left w:val="none" w:sz="0" w:space="0" w:color="auto"/>
        <w:bottom w:val="none" w:sz="0" w:space="0" w:color="auto"/>
        <w:right w:val="none" w:sz="0" w:space="0" w:color="auto"/>
      </w:divBdr>
    </w:div>
    <w:div w:id="374041936">
      <w:bodyDiv w:val="1"/>
      <w:marLeft w:val="0"/>
      <w:marRight w:val="0"/>
      <w:marTop w:val="0"/>
      <w:marBottom w:val="0"/>
      <w:divBdr>
        <w:top w:val="none" w:sz="0" w:space="0" w:color="auto"/>
        <w:left w:val="none" w:sz="0" w:space="0" w:color="auto"/>
        <w:bottom w:val="none" w:sz="0" w:space="0" w:color="auto"/>
        <w:right w:val="none" w:sz="0" w:space="0" w:color="auto"/>
      </w:divBdr>
    </w:div>
    <w:div w:id="392629130">
      <w:bodyDiv w:val="1"/>
      <w:marLeft w:val="0"/>
      <w:marRight w:val="0"/>
      <w:marTop w:val="0"/>
      <w:marBottom w:val="0"/>
      <w:divBdr>
        <w:top w:val="none" w:sz="0" w:space="0" w:color="auto"/>
        <w:left w:val="none" w:sz="0" w:space="0" w:color="auto"/>
        <w:bottom w:val="none" w:sz="0" w:space="0" w:color="auto"/>
        <w:right w:val="none" w:sz="0" w:space="0" w:color="auto"/>
      </w:divBdr>
    </w:div>
    <w:div w:id="436802637">
      <w:bodyDiv w:val="1"/>
      <w:marLeft w:val="0"/>
      <w:marRight w:val="0"/>
      <w:marTop w:val="0"/>
      <w:marBottom w:val="0"/>
      <w:divBdr>
        <w:top w:val="none" w:sz="0" w:space="0" w:color="auto"/>
        <w:left w:val="none" w:sz="0" w:space="0" w:color="auto"/>
        <w:bottom w:val="none" w:sz="0" w:space="0" w:color="auto"/>
        <w:right w:val="none" w:sz="0" w:space="0" w:color="auto"/>
      </w:divBdr>
    </w:div>
    <w:div w:id="438374833">
      <w:bodyDiv w:val="1"/>
      <w:marLeft w:val="0"/>
      <w:marRight w:val="0"/>
      <w:marTop w:val="0"/>
      <w:marBottom w:val="0"/>
      <w:divBdr>
        <w:top w:val="none" w:sz="0" w:space="0" w:color="auto"/>
        <w:left w:val="none" w:sz="0" w:space="0" w:color="auto"/>
        <w:bottom w:val="none" w:sz="0" w:space="0" w:color="auto"/>
        <w:right w:val="none" w:sz="0" w:space="0" w:color="auto"/>
      </w:divBdr>
    </w:div>
    <w:div w:id="443619057">
      <w:bodyDiv w:val="1"/>
      <w:marLeft w:val="0"/>
      <w:marRight w:val="0"/>
      <w:marTop w:val="0"/>
      <w:marBottom w:val="0"/>
      <w:divBdr>
        <w:top w:val="none" w:sz="0" w:space="0" w:color="auto"/>
        <w:left w:val="none" w:sz="0" w:space="0" w:color="auto"/>
        <w:bottom w:val="none" w:sz="0" w:space="0" w:color="auto"/>
        <w:right w:val="none" w:sz="0" w:space="0" w:color="auto"/>
      </w:divBdr>
    </w:div>
    <w:div w:id="456874361">
      <w:bodyDiv w:val="1"/>
      <w:marLeft w:val="0"/>
      <w:marRight w:val="0"/>
      <w:marTop w:val="0"/>
      <w:marBottom w:val="0"/>
      <w:divBdr>
        <w:top w:val="none" w:sz="0" w:space="0" w:color="auto"/>
        <w:left w:val="none" w:sz="0" w:space="0" w:color="auto"/>
        <w:bottom w:val="none" w:sz="0" w:space="0" w:color="auto"/>
        <w:right w:val="none" w:sz="0" w:space="0" w:color="auto"/>
      </w:divBdr>
    </w:div>
    <w:div w:id="471562095">
      <w:bodyDiv w:val="1"/>
      <w:marLeft w:val="0"/>
      <w:marRight w:val="0"/>
      <w:marTop w:val="0"/>
      <w:marBottom w:val="0"/>
      <w:divBdr>
        <w:top w:val="none" w:sz="0" w:space="0" w:color="auto"/>
        <w:left w:val="none" w:sz="0" w:space="0" w:color="auto"/>
        <w:bottom w:val="none" w:sz="0" w:space="0" w:color="auto"/>
        <w:right w:val="none" w:sz="0" w:space="0" w:color="auto"/>
      </w:divBdr>
    </w:div>
    <w:div w:id="512302872">
      <w:bodyDiv w:val="1"/>
      <w:marLeft w:val="0"/>
      <w:marRight w:val="0"/>
      <w:marTop w:val="0"/>
      <w:marBottom w:val="0"/>
      <w:divBdr>
        <w:top w:val="none" w:sz="0" w:space="0" w:color="auto"/>
        <w:left w:val="none" w:sz="0" w:space="0" w:color="auto"/>
        <w:bottom w:val="none" w:sz="0" w:space="0" w:color="auto"/>
        <w:right w:val="none" w:sz="0" w:space="0" w:color="auto"/>
      </w:divBdr>
    </w:div>
    <w:div w:id="556939188">
      <w:bodyDiv w:val="1"/>
      <w:marLeft w:val="0"/>
      <w:marRight w:val="0"/>
      <w:marTop w:val="0"/>
      <w:marBottom w:val="0"/>
      <w:divBdr>
        <w:top w:val="none" w:sz="0" w:space="0" w:color="auto"/>
        <w:left w:val="none" w:sz="0" w:space="0" w:color="auto"/>
        <w:bottom w:val="none" w:sz="0" w:space="0" w:color="auto"/>
        <w:right w:val="none" w:sz="0" w:space="0" w:color="auto"/>
      </w:divBdr>
    </w:div>
    <w:div w:id="557790247">
      <w:bodyDiv w:val="1"/>
      <w:marLeft w:val="0"/>
      <w:marRight w:val="0"/>
      <w:marTop w:val="0"/>
      <w:marBottom w:val="0"/>
      <w:divBdr>
        <w:top w:val="none" w:sz="0" w:space="0" w:color="auto"/>
        <w:left w:val="none" w:sz="0" w:space="0" w:color="auto"/>
        <w:bottom w:val="none" w:sz="0" w:space="0" w:color="auto"/>
        <w:right w:val="none" w:sz="0" w:space="0" w:color="auto"/>
      </w:divBdr>
    </w:div>
    <w:div w:id="576522863">
      <w:bodyDiv w:val="1"/>
      <w:marLeft w:val="0"/>
      <w:marRight w:val="0"/>
      <w:marTop w:val="0"/>
      <w:marBottom w:val="0"/>
      <w:divBdr>
        <w:top w:val="none" w:sz="0" w:space="0" w:color="auto"/>
        <w:left w:val="none" w:sz="0" w:space="0" w:color="auto"/>
        <w:bottom w:val="none" w:sz="0" w:space="0" w:color="auto"/>
        <w:right w:val="none" w:sz="0" w:space="0" w:color="auto"/>
      </w:divBdr>
    </w:div>
    <w:div w:id="586428163">
      <w:bodyDiv w:val="1"/>
      <w:marLeft w:val="0"/>
      <w:marRight w:val="0"/>
      <w:marTop w:val="0"/>
      <w:marBottom w:val="0"/>
      <w:divBdr>
        <w:top w:val="none" w:sz="0" w:space="0" w:color="auto"/>
        <w:left w:val="none" w:sz="0" w:space="0" w:color="auto"/>
        <w:bottom w:val="none" w:sz="0" w:space="0" w:color="auto"/>
        <w:right w:val="none" w:sz="0" w:space="0" w:color="auto"/>
      </w:divBdr>
    </w:div>
    <w:div w:id="598761248">
      <w:bodyDiv w:val="1"/>
      <w:marLeft w:val="0"/>
      <w:marRight w:val="0"/>
      <w:marTop w:val="0"/>
      <w:marBottom w:val="0"/>
      <w:divBdr>
        <w:top w:val="none" w:sz="0" w:space="0" w:color="auto"/>
        <w:left w:val="none" w:sz="0" w:space="0" w:color="auto"/>
        <w:bottom w:val="none" w:sz="0" w:space="0" w:color="auto"/>
        <w:right w:val="none" w:sz="0" w:space="0" w:color="auto"/>
      </w:divBdr>
    </w:div>
    <w:div w:id="620382161">
      <w:bodyDiv w:val="1"/>
      <w:marLeft w:val="0"/>
      <w:marRight w:val="0"/>
      <w:marTop w:val="0"/>
      <w:marBottom w:val="0"/>
      <w:divBdr>
        <w:top w:val="none" w:sz="0" w:space="0" w:color="auto"/>
        <w:left w:val="none" w:sz="0" w:space="0" w:color="auto"/>
        <w:bottom w:val="none" w:sz="0" w:space="0" w:color="auto"/>
        <w:right w:val="none" w:sz="0" w:space="0" w:color="auto"/>
      </w:divBdr>
    </w:div>
    <w:div w:id="675038300">
      <w:bodyDiv w:val="1"/>
      <w:marLeft w:val="0"/>
      <w:marRight w:val="0"/>
      <w:marTop w:val="0"/>
      <w:marBottom w:val="0"/>
      <w:divBdr>
        <w:top w:val="none" w:sz="0" w:space="0" w:color="auto"/>
        <w:left w:val="none" w:sz="0" w:space="0" w:color="auto"/>
        <w:bottom w:val="none" w:sz="0" w:space="0" w:color="auto"/>
        <w:right w:val="none" w:sz="0" w:space="0" w:color="auto"/>
      </w:divBdr>
    </w:div>
    <w:div w:id="689644885">
      <w:bodyDiv w:val="1"/>
      <w:marLeft w:val="0"/>
      <w:marRight w:val="0"/>
      <w:marTop w:val="0"/>
      <w:marBottom w:val="0"/>
      <w:divBdr>
        <w:top w:val="none" w:sz="0" w:space="0" w:color="auto"/>
        <w:left w:val="none" w:sz="0" w:space="0" w:color="auto"/>
        <w:bottom w:val="none" w:sz="0" w:space="0" w:color="auto"/>
        <w:right w:val="none" w:sz="0" w:space="0" w:color="auto"/>
      </w:divBdr>
    </w:div>
    <w:div w:id="706298618">
      <w:bodyDiv w:val="1"/>
      <w:marLeft w:val="0"/>
      <w:marRight w:val="0"/>
      <w:marTop w:val="0"/>
      <w:marBottom w:val="0"/>
      <w:divBdr>
        <w:top w:val="none" w:sz="0" w:space="0" w:color="auto"/>
        <w:left w:val="none" w:sz="0" w:space="0" w:color="auto"/>
        <w:bottom w:val="none" w:sz="0" w:space="0" w:color="auto"/>
        <w:right w:val="none" w:sz="0" w:space="0" w:color="auto"/>
      </w:divBdr>
    </w:div>
    <w:div w:id="803930939">
      <w:bodyDiv w:val="1"/>
      <w:marLeft w:val="0"/>
      <w:marRight w:val="0"/>
      <w:marTop w:val="0"/>
      <w:marBottom w:val="0"/>
      <w:divBdr>
        <w:top w:val="none" w:sz="0" w:space="0" w:color="auto"/>
        <w:left w:val="none" w:sz="0" w:space="0" w:color="auto"/>
        <w:bottom w:val="none" w:sz="0" w:space="0" w:color="auto"/>
        <w:right w:val="none" w:sz="0" w:space="0" w:color="auto"/>
      </w:divBdr>
    </w:div>
    <w:div w:id="827012669">
      <w:bodyDiv w:val="1"/>
      <w:marLeft w:val="0"/>
      <w:marRight w:val="0"/>
      <w:marTop w:val="0"/>
      <w:marBottom w:val="0"/>
      <w:divBdr>
        <w:top w:val="none" w:sz="0" w:space="0" w:color="auto"/>
        <w:left w:val="none" w:sz="0" w:space="0" w:color="auto"/>
        <w:bottom w:val="none" w:sz="0" w:space="0" w:color="auto"/>
        <w:right w:val="none" w:sz="0" w:space="0" w:color="auto"/>
      </w:divBdr>
    </w:div>
    <w:div w:id="835455648">
      <w:bodyDiv w:val="1"/>
      <w:marLeft w:val="0"/>
      <w:marRight w:val="0"/>
      <w:marTop w:val="0"/>
      <w:marBottom w:val="0"/>
      <w:divBdr>
        <w:top w:val="none" w:sz="0" w:space="0" w:color="auto"/>
        <w:left w:val="none" w:sz="0" w:space="0" w:color="auto"/>
        <w:bottom w:val="none" w:sz="0" w:space="0" w:color="auto"/>
        <w:right w:val="none" w:sz="0" w:space="0" w:color="auto"/>
      </w:divBdr>
    </w:div>
    <w:div w:id="842666007">
      <w:bodyDiv w:val="1"/>
      <w:marLeft w:val="0"/>
      <w:marRight w:val="0"/>
      <w:marTop w:val="0"/>
      <w:marBottom w:val="0"/>
      <w:divBdr>
        <w:top w:val="none" w:sz="0" w:space="0" w:color="auto"/>
        <w:left w:val="none" w:sz="0" w:space="0" w:color="auto"/>
        <w:bottom w:val="none" w:sz="0" w:space="0" w:color="auto"/>
        <w:right w:val="none" w:sz="0" w:space="0" w:color="auto"/>
      </w:divBdr>
    </w:div>
    <w:div w:id="851067784">
      <w:bodyDiv w:val="1"/>
      <w:marLeft w:val="0"/>
      <w:marRight w:val="0"/>
      <w:marTop w:val="0"/>
      <w:marBottom w:val="0"/>
      <w:divBdr>
        <w:top w:val="none" w:sz="0" w:space="0" w:color="auto"/>
        <w:left w:val="none" w:sz="0" w:space="0" w:color="auto"/>
        <w:bottom w:val="none" w:sz="0" w:space="0" w:color="auto"/>
        <w:right w:val="none" w:sz="0" w:space="0" w:color="auto"/>
      </w:divBdr>
    </w:div>
    <w:div w:id="855391691">
      <w:bodyDiv w:val="1"/>
      <w:marLeft w:val="0"/>
      <w:marRight w:val="0"/>
      <w:marTop w:val="0"/>
      <w:marBottom w:val="0"/>
      <w:divBdr>
        <w:top w:val="none" w:sz="0" w:space="0" w:color="auto"/>
        <w:left w:val="none" w:sz="0" w:space="0" w:color="auto"/>
        <w:bottom w:val="none" w:sz="0" w:space="0" w:color="auto"/>
        <w:right w:val="none" w:sz="0" w:space="0" w:color="auto"/>
      </w:divBdr>
    </w:div>
    <w:div w:id="863322336">
      <w:bodyDiv w:val="1"/>
      <w:marLeft w:val="0"/>
      <w:marRight w:val="0"/>
      <w:marTop w:val="0"/>
      <w:marBottom w:val="0"/>
      <w:divBdr>
        <w:top w:val="none" w:sz="0" w:space="0" w:color="auto"/>
        <w:left w:val="none" w:sz="0" w:space="0" w:color="auto"/>
        <w:bottom w:val="none" w:sz="0" w:space="0" w:color="auto"/>
        <w:right w:val="none" w:sz="0" w:space="0" w:color="auto"/>
      </w:divBdr>
    </w:div>
    <w:div w:id="885095993">
      <w:bodyDiv w:val="1"/>
      <w:marLeft w:val="0"/>
      <w:marRight w:val="0"/>
      <w:marTop w:val="0"/>
      <w:marBottom w:val="0"/>
      <w:divBdr>
        <w:top w:val="none" w:sz="0" w:space="0" w:color="auto"/>
        <w:left w:val="none" w:sz="0" w:space="0" w:color="auto"/>
        <w:bottom w:val="none" w:sz="0" w:space="0" w:color="auto"/>
        <w:right w:val="none" w:sz="0" w:space="0" w:color="auto"/>
      </w:divBdr>
    </w:div>
    <w:div w:id="929581955">
      <w:bodyDiv w:val="1"/>
      <w:marLeft w:val="0"/>
      <w:marRight w:val="0"/>
      <w:marTop w:val="0"/>
      <w:marBottom w:val="0"/>
      <w:divBdr>
        <w:top w:val="none" w:sz="0" w:space="0" w:color="auto"/>
        <w:left w:val="none" w:sz="0" w:space="0" w:color="auto"/>
        <w:bottom w:val="none" w:sz="0" w:space="0" w:color="auto"/>
        <w:right w:val="none" w:sz="0" w:space="0" w:color="auto"/>
      </w:divBdr>
    </w:div>
    <w:div w:id="939872712">
      <w:bodyDiv w:val="1"/>
      <w:marLeft w:val="0"/>
      <w:marRight w:val="0"/>
      <w:marTop w:val="0"/>
      <w:marBottom w:val="0"/>
      <w:divBdr>
        <w:top w:val="none" w:sz="0" w:space="0" w:color="auto"/>
        <w:left w:val="none" w:sz="0" w:space="0" w:color="auto"/>
        <w:bottom w:val="none" w:sz="0" w:space="0" w:color="auto"/>
        <w:right w:val="none" w:sz="0" w:space="0" w:color="auto"/>
      </w:divBdr>
    </w:div>
    <w:div w:id="963654389">
      <w:bodyDiv w:val="1"/>
      <w:marLeft w:val="0"/>
      <w:marRight w:val="0"/>
      <w:marTop w:val="0"/>
      <w:marBottom w:val="0"/>
      <w:divBdr>
        <w:top w:val="none" w:sz="0" w:space="0" w:color="auto"/>
        <w:left w:val="none" w:sz="0" w:space="0" w:color="auto"/>
        <w:bottom w:val="none" w:sz="0" w:space="0" w:color="auto"/>
        <w:right w:val="none" w:sz="0" w:space="0" w:color="auto"/>
      </w:divBdr>
    </w:div>
    <w:div w:id="976448839">
      <w:bodyDiv w:val="1"/>
      <w:marLeft w:val="0"/>
      <w:marRight w:val="0"/>
      <w:marTop w:val="0"/>
      <w:marBottom w:val="0"/>
      <w:divBdr>
        <w:top w:val="none" w:sz="0" w:space="0" w:color="auto"/>
        <w:left w:val="none" w:sz="0" w:space="0" w:color="auto"/>
        <w:bottom w:val="none" w:sz="0" w:space="0" w:color="auto"/>
        <w:right w:val="none" w:sz="0" w:space="0" w:color="auto"/>
      </w:divBdr>
    </w:div>
    <w:div w:id="980574951">
      <w:bodyDiv w:val="1"/>
      <w:marLeft w:val="0"/>
      <w:marRight w:val="0"/>
      <w:marTop w:val="0"/>
      <w:marBottom w:val="0"/>
      <w:divBdr>
        <w:top w:val="none" w:sz="0" w:space="0" w:color="auto"/>
        <w:left w:val="none" w:sz="0" w:space="0" w:color="auto"/>
        <w:bottom w:val="none" w:sz="0" w:space="0" w:color="auto"/>
        <w:right w:val="none" w:sz="0" w:space="0" w:color="auto"/>
      </w:divBdr>
    </w:div>
    <w:div w:id="1034768572">
      <w:bodyDiv w:val="1"/>
      <w:marLeft w:val="0"/>
      <w:marRight w:val="0"/>
      <w:marTop w:val="0"/>
      <w:marBottom w:val="0"/>
      <w:divBdr>
        <w:top w:val="none" w:sz="0" w:space="0" w:color="auto"/>
        <w:left w:val="none" w:sz="0" w:space="0" w:color="auto"/>
        <w:bottom w:val="none" w:sz="0" w:space="0" w:color="auto"/>
        <w:right w:val="none" w:sz="0" w:space="0" w:color="auto"/>
      </w:divBdr>
    </w:div>
    <w:div w:id="1040933912">
      <w:bodyDiv w:val="1"/>
      <w:marLeft w:val="0"/>
      <w:marRight w:val="0"/>
      <w:marTop w:val="0"/>
      <w:marBottom w:val="0"/>
      <w:divBdr>
        <w:top w:val="none" w:sz="0" w:space="0" w:color="auto"/>
        <w:left w:val="none" w:sz="0" w:space="0" w:color="auto"/>
        <w:bottom w:val="none" w:sz="0" w:space="0" w:color="auto"/>
        <w:right w:val="none" w:sz="0" w:space="0" w:color="auto"/>
      </w:divBdr>
    </w:div>
    <w:div w:id="1059786314">
      <w:bodyDiv w:val="1"/>
      <w:marLeft w:val="0"/>
      <w:marRight w:val="0"/>
      <w:marTop w:val="0"/>
      <w:marBottom w:val="0"/>
      <w:divBdr>
        <w:top w:val="none" w:sz="0" w:space="0" w:color="auto"/>
        <w:left w:val="none" w:sz="0" w:space="0" w:color="auto"/>
        <w:bottom w:val="none" w:sz="0" w:space="0" w:color="auto"/>
        <w:right w:val="none" w:sz="0" w:space="0" w:color="auto"/>
      </w:divBdr>
    </w:div>
    <w:div w:id="1155144710">
      <w:bodyDiv w:val="1"/>
      <w:marLeft w:val="0"/>
      <w:marRight w:val="0"/>
      <w:marTop w:val="0"/>
      <w:marBottom w:val="0"/>
      <w:divBdr>
        <w:top w:val="none" w:sz="0" w:space="0" w:color="auto"/>
        <w:left w:val="none" w:sz="0" w:space="0" w:color="auto"/>
        <w:bottom w:val="none" w:sz="0" w:space="0" w:color="auto"/>
        <w:right w:val="none" w:sz="0" w:space="0" w:color="auto"/>
      </w:divBdr>
    </w:div>
    <w:div w:id="1156922894">
      <w:bodyDiv w:val="1"/>
      <w:marLeft w:val="0"/>
      <w:marRight w:val="0"/>
      <w:marTop w:val="0"/>
      <w:marBottom w:val="0"/>
      <w:divBdr>
        <w:top w:val="none" w:sz="0" w:space="0" w:color="auto"/>
        <w:left w:val="none" w:sz="0" w:space="0" w:color="auto"/>
        <w:bottom w:val="none" w:sz="0" w:space="0" w:color="auto"/>
        <w:right w:val="none" w:sz="0" w:space="0" w:color="auto"/>
      </w:divBdr>
    </w:div>
    <w:div w:id="1182473627">
      <w:bodyDiv w:val="1"/>
      <w:marLeft w:val="0"/>
      <w:marRight w:val="0"/>
      <w:marTop w:val="0"/>
      <w:marBottom w:val="0"/>
      <w:divBdr>
        <w:top w:val="none" w:sz="0" w:space="0" w:color="auto"/>
        <w:left w:val="none" w:sz="0" w:space="0" w:color="auto"/>
        <w:bottom w:val="none" w:sz="0" w:space="0" w:color="auto"/>
        <w:right w:val="none" w:sz="0" w:space="0" w:color="auto"/>
      </w:divBdr>
    </w:div>
    <w:div w:id="1207139061">
      <w:bodyDiv w:val="1"/>
      <w:marLeft w:val="0"/>
      <w:marRight w:val="0"/>
      <w:marTop w:val="0"/>
      <w:marBottom w:val="0"/>
      <w:divBdr>
        <w:top w:val="none" w:sz="0" w:space="0" w:color="auto"/>
        <w:left w:val="none" w:sz="0" w:space="0" w:color="auto"/>
        <w:bottom w:val="none" w:sz="0" w:space="0" w:color="auto"/>
        <w:right w:val="none" w:sz="0" w:space="0" w:color="auto"/>
      </w:divBdr>
    </w:div>
    <w:div w:id="1222444175">
      <w:bodyDiv w:val="1"/>
      <w:marLeft w:val="0"/>
      <w:marRight w:val="0"/>
      <w:marTop w:val="0"/>
      <w:marBottom w:val="0"/>
      <w:divBdr>
        <w:top w:val="none" w:sz="0" w:space="0" w:color="auto"/>
        <w:left w:val="none" w:sz="0" w:space="0" w:color="auto"/>
        <w:bottom w:val="none" w:sz="0" w:space="0" w:color="auto"/>
        <w:right w:val="none" w:sz="0" w:space="0" w:color="auto"/>
      </w:divBdr>
    </w:div>
    <w:div w:id="1269772570">
      <w:bodyDiv w:val="1"/>
      <w:marLeft w:val="0"/>
      <w:marRight w:val="0"/>
      <w:marTop w:val="0"/>
      <w:marBottom w:val="0"/>
      <w:divBdr>
        <w:top w:val="none" w:sz="0" w:space="0" w:color="auto"/>
        <w:left w:val="none" w:sz="0" w:space="0" w:color="auto"/>
        <w:bottom w:val="none" w:sz="0" w:space="0" w:color="auto"/>
        <w:right w:val="none" w:sz="0" w:space="0" w:color="auto"/>
      </w:divBdr>
    </w:div>
    <w:div w:id="1279797647">
      <w:bodyDiv w:val="1"/>
      <w:marLeft w:val="0"/>
      <w:marRight w:val="0"/>
      <w:marTop w:val="0"/>
      <w:marBottom w:val="0"/>
      <w:divBdr>
        <w:top w:val="none" w:sz="0" w:space="0" w:color="auto"/>
        <w:left w:val="none" w:sz="0" w:space="0" w:color="auto"/>
        <w:bottom w:val="none" w:sz="0" w:space="0" w:color="auto"/>
        <w:right w:val="none" w:sz="0" w:space="0" w:color="auto"/>
      </w:divBdr>
    </w:div>
    <w:div w:id="1298803039">
      <w:bodyDiv w:val="1"/>
      <w:marLeft w:val="0"/>
      <w:marRight w:val="0"/>
      <w:marTop w:val="0"/>
      <w:marBottom w:val="0"/>
      <w:divBdr>
        <w:top w:val="none" w:sz="0" w:space="0" w:color="auto"/>
        <w:left w:val="none" w:sz="0" w:space="0" w:color="auto"/>
        <w:bottom w:val="none" w:sz="0" w:space="0" w:color="auto"/>
        <w:right w:val="none" w:sz="0" w:space="0" w:color="auto"/>
      </w:divBdr>
    </w:div>
    <w:div w:id="1319772170">
      <w:bodyDiv w:val="1"/>
      <w:marLeft w:val="0"/>
      <w:marRight w:val="0"/>
      <w:marTop w:val="0"/>
      <w:marBottom w:val="0"/>
      <w:divBdr>
        <w:top w:val="none" w:sz="0" w:space="0" w:color="auto"/>
        <w:left w:val="none" w:sz="0" w:space="0" w:color="auto"/>
        <w:bottom w:val="none" w:sz="0" w:space="0" w:color="auto"/>
        <w:right w:val="none" w:sz="0" w:space="0" w:color="auto"/>
      </w:divBdr>
    </w:div>
    <w:div w:id="1349913834">
      <w:bodyDiv w:val="1"/>
      <w:marLeft w:val="0"/>
      <w:marRight w:val="0"/>
      <w:marTop w:val="0"/>
      <w:marBottom w:val="0"/>
      <w:divBdr>
        <w:top w:val="none" w:sz="0" w:space="0" w:color="auto"/>
        <w:left w:val="none" w:sz="0" w:space="0" w:color="auto"/>
        <w:bottom w:val="none" w:sz="0" w:space="0" w:color="auto"/>
        <w:right w:val="none" w:sz="0" w:space="0" w:color="auto"/>
      </w:divBdr>
    </w:div>
    <w:div w:id="1382317590">
      <w:bodyDiv w:val="1"/>
      <w:marLeft w:val="0"/>
      <w:marRight w:val="0"/>
      <w:marTop w:val="0"/>
      <w:marBottom w:val="0"/>
      <w:divBdr>
        <w:top w:val="none" w:sz="0" w:space="0" w:color="auto"/>
        <w:left w:val="none" w:sz="0" w:space="0" w:color="auto"/>
        <w:bottom w:val="none" w:sz="0" w:space="0" w:color="auto"/>
        <w:right w:val="none" w:sz="0" w:space="0" w:color="auto"/>
      </w:divBdr>
    </w:div>
    <w:div w:id="1407995861">
      <w:bodyDiv w:val="1"/>
      <w:marLeft w:val="0"/>
      <w:marRight w:val="0"/>
      <w:marTop w:val="0"/>
      <w:marBottom w:val="0"/>
      <w:divBdr>
        <w:top w:val="none" w:sz="0" w:space="0" w:color="auto"/>
        <w:left w:val="none" w:sz="0" w:space="0" w:color="auto"/>
        <w:bottom w:val="none" w:sz="0" w:space="0" w:color="auto"/>
        <w:right w:val="none" w:sz="0" w:space="0" w:color="auto"/>
      </w:divBdr>
    </w:div>
    <w:div w:id="1408455213">
      <w:bodyDiv w:val="1"/>
      <w:marLeft w:val="0"/>
      <w:marRight w:val="0"/>
      <w:marTop w:val="0"/>
      <w:marBottom w:val="0"/>
      <w:divBdr>
        <w:top w:val="none" w:sz="0" w:space="0" w:color="auto"/>
        <w:left w:val="none" w:sz="0" w:space="0" w:color="auto"/>
        <w:bottom w:val="none" w:sz="0" w:space="0" w:color="auto"/>
        <w:right w:val="none" w:sz="0" w:space="0" w:color="auto"/>
      </w:divBdr>
    </w:div>
    <w:div w:id="1417050868">
      <w:bodyDiv w:val="1"/>
      <w:marLeft w:val="0"/>
      <w:marRight w:val="0"/>
      <w:marTop w:val="0"/>
      <w:marBottom w:val="0"/>
      <w:divBdr>
        <w:top w:val="none" w:sz="0" w:space="0" w:color="auto"/>
        <w:left w:val="none" w:sz="0" w:space="0" w:color="auto"/>
        <w:bottom w:val="none" w:sz="0" w:space="0" w:color="auto"/>
        <w:right w:val="none" w:sz="0" w:space="0" w:color="auto"/>
      </w:divBdr>
    </w:div>
    <w:div w:id="1464889230">
      <w:bodyDiv w:val="1"/>
      <w:marLeft w:val="0"/>
      <w:marRight w:val="0"/>
      <w:marTop w:val="0"/>
      <w:marBottom w:val="0"/>
      <w:divBdr>
        <w:top w:val="none" w:sz="0" w:space="0" w:color="auto"/>
        <w:left w:val="none" w:sz="0" w:space="0" w:color="auto"/>
        <w:bottom w:val="none" w:sz="0" w:space="0" w:color="auto"/>
        <w:right w:val="none" w:sz="0" w:space="0" w:color="auto"/>
      </w:divBdr>
    </w:div>
    <w:div w:id="1473013086">
      <w:bodyDiv w:val="1"/>
      <w:marLeft w:val="0"/>
      <w:marRight w:val="0"/>
      <w:marTop w:val="0"/>
      <w:marBottom w:val="0"/>
      <w:divBdr>
        <w:top w:val="none" w:sz="0" w:space="0" w:color="auto"/>
        <w:left w:val="none" w:sz="0" w:space="0" w:color="auto"/>
        <w:bottom w:val="none" w:sz="0" w:space="0" w:color="auto"/>
        <w:right w:val="none" w:sz="0" w:space="0" w:color="auto"/>
      </w:divBdr>
    </w:div>
    <w:div w:id="1482307133">
      <w:bodyDiv w:val="1"/>
      <w:marLeft w:val="0"/>
      <w:marRight w:val="0"/>
      <w:marTop w:val="0"/>
      <w:marBottom w:val="0"/>
      <w:divBdr>
        <w:top w:val="none" w:sz="0" w:space="0" w:color="auto"/>
        <w:left w:val="none" w:sz="0" w:space="0" w:color="auto"/>
        <w:bottom w:val="none" w:sz="0" w:space="0" w:color="auto"/>
        <w:right w:val="none" w:sz="0" w:space="0" w:color="auto"/>
      </w:divBdr>
    </w:div>
    <w:div w:id="1510101953">
      <w:bodyDiv w:val="1"/>
      <w:marLeft w:val="0"/>
      <w:marRight w:val="0"/>
      <w:marTop w:val="0"/>
      <w:marBottom w:val="0"/>
      <w:divBdr>
        <w:top w:val="none" w:sz="0" w:space="0" w:color="auto"/>
        <w:left w:val="none" w:sz="0" w:space="0" w:color="auto"/>
        <w:bottom w:val="none" w:sz="0" w:space="0" w:color="auto"/>
        <w:right w:val="none" w:sz="0" w:space="0" w:color="auto"/>
      </w:divBdr>
    </w:div>
    <w:div w:id="1555703091">
      <w:bodyDiv w:val="1"/>
      <w:marLeft w:val="0"/>
      <w:marRight w:val="0"/>
      <w:marTop w:val="0"/>
      <w:marBottom w:val="0"/>
      <w:divBdr>
        <w:top w:val="none" w:sz="0" w:space="0" w:color="auto"/>
        <w:left w:val="none" w:sz="0" w:space="0" w:color="auto"/>
        <w:bottom w:val="none" w:sz="0" w:space="0" w:color="auto"/>
        <w:right w:val="none" w:sz="0" w:space="0" w:color="auto"/>
      </w:divBdr>
    </w:div>
    <w:div w:id="1563129268">
      <w:bodyDiv w:val="1"/>
      <w:marLeft w:val="0"/>
      <w:marRight w:val="0"/>
      <w:marTop w:val="0"/>
      <w:marBottom w:val="0"/>
      <w:divBdr>
        <w:top w:val="none" w:sz="0" w:space="0" w:color="auto"/>
        <w:left w:val="none" w:sz="0" w:space="0" w:color="auto"/>
        <w:bottom w:val="none" w:sz="0" w:space="0" w:color="auto"/>
        <w:right w:val="none" w:sz="0" w:space="0" w:color="auto"/>
      </w:divBdr>
    </w:div>
    <w:div w:id="1597861136">
      <w:bodyDiv w:val="1"/>
      <w:marLeft w:val="0"/>
      <w:marRight w:val="0"/>
      <w:marTop w:val="0"/>
      <w:marBottom w:val="0"/>
      <w:divBdr>
        <w:top w:val="none" w:sz="0" w:space="0" w:color="auto"/>
        <w:left w:val="none" w:sz="0" w:space="0" w:color="auto"/>
        <w:bottom w:val="none" w:sz="0" w:space="0" w:color="auto"/>
        <w:right w:val="none" w:sz="0" w:space="0" w:color="auto"/>
      </w:divBdr>
    </w:div>
    <w:div w:id="1629041967">
      <w:bodyDiv w:val="1"/>
      <w:marLeft w:val="0"/>
      <w:marRight w:val="0"/>
      <w:marTop w:val="0"/>
      <w:marBottom w:val="0"/>
      <w:divBdr>
        <w:top w:val="none" w:sz="0" w:space="0" w:color="auto"/>
        <w:left w:val="none" w:sz="0" w:space="0" w:color="auto"/>
        <w:bottom w:val="none" w:sz="0" w:space="0" w:color="auto"/>
        <w:right w:val="none" w:sz="0" w:space="0" w:color="auto"/>
      </w:divBdr>
    </w:div>
    <w:div w:id="1656252783">
      <w:bodyDiv w:val="1"/>
      <w:marLeft w:val="0"/>
      <w:marRight w:val="0"/>
      <w:marTop w:val="0"/>
      <w:marBottom w:val="0"/>
      <w:divBdr>
        <w:top w:val="none" w:sz="0" w:space="0" w:color="auto"/>
        <w:left w:val="none" w:sz="0" w:space="0" w:color="auto"/>
        <w:bottom w:val="none" w:sz="0" w:space="0" w:color="auto"/>
        <w:right w:val="none" w:sz="0" w:space="0" w:color="auto"/>
      </w:divBdr>
    </w:div>
    <w:div w:id="1675642366">
      <w:bodyDiv w:val="1"/>
      <w:marLeft w:val="0"/>
      <w:marRight w:val="0"/>
      <w:marTop w:val="0"/>
      <w:marBottom w:val="0"/>
      <w:divBdr>
        <w:top w:val="none" w:sz="0" w:space="0" w:color="auto"/>
        <w:left w:val="none" w:sz="0" w:space="0" w:color="auto"/>
        <w:bottom w:val="none" w:sz="0" w:space="0" w:color="auto"/>
        <w:right w:val="none" w:sz="0" w:space="0" w:color="auto"/>
      </w:divBdr>
    </w:div>
    <w:div w:id="1775974475">
      <w:bodyDiv w:val="1"/>
      <w:marLeft w:val="0"/>
      <w:marRight w:val="0"/>
      <w:marTop w:val="0"/>
      <w:marBottom w:val="0"/>
      <w:divBdr>
        <w:top w:val="none" w:sz="0" w:space="0" w:color="auto"/>
        <w:left w:val="none" w:sz="0" w:space="0" w:color="auto"/>
        <w:bottom w:val="none" w:sz="0" w:space="0" w:color="auto"/>
        <w:right w:val="none" w:sz="0" w:space="0" w:color="auto"/>
      </w:divBdr>
    </w:div>
    <w:div w:id="1782340904">
      <w:bodyDiv w:val="1"/>
      <w:marLeft w:val="0"/>
      <w:marRight w:val="0"/>
      <w:marTop w:val="0"/>
      <w:marBottom w:val="0"/>
      <w:divBdr>
        <w:top w:val="none" w:sz="0" w:space="0" w:color="auto"/>
        <w:left w:val="none" w:sz="0" w:space="0" w:color="auto"/>
        <w:bottom w:val="none" w:sz="0" w:space="0" w:color="auto"/>
        <w:right w:val="none" w:sz="0" w:space="0" w:color="auto"/>
      </w:divBdr>
    </w:div>
    <w:div w:id="1795706228">
      <w:bodyDiv w:val="1"/>
      <w:marLeft w:val="0"/>
      <w:marRight w:val="0"/>
      <w:marTop w:val="0"/>
      <w:marBottom w:val="0"/>
      <w:divBdr>
        <w:top w:val="none" w:sz="0" w:space="0" w:color="auto"/>
        <w:left w:val="none" w:sz="0" w:space="0" w:color="auto"/>
        <w:bottom w:val="none" w:sz="0" w:space="0" w:color="auto"/>
        <w:right w:val="none" w:sz="0" w:space="0" w:color="auto"/>
      </w:divBdr>
    </w:div>
    <w:div w:id="1803035750">
      <w:bodyDiv w:val="1"/>
      <w:marLeft w:val="0"/>
      <w:marRight w:val="0"/>
      <w:marTop w:val="0"/>
      <w:marBottom w:val="0"/>
      <w:divBdr>
        <w:top w:val="none" w:sz="0" w:space="0" w:color="auto"/>
        <w:left w:val="none" w:sz="0" w:space="0" w:color="auto"/>
        <w:bottom w:val="none" w:sz="0" w:space="0" w:color="auto"/>
        <w:right w:val="none" w:sz="0" w:space="0" w:color="auto"/>
      </w:divBdr>
    </w:div>
    <w:div w:id="1855220229">
      <w:bodyDiv w:val="1"/>
      <w:marLeft w:val="0"/>
      <w:marRight w:val="0"/>
      <w:marTop w:val="0"/>
      <w:marBottom w:val="0"/>
      <w:divBdr>
        <w:top w:val="none" w:sz="0" w:space="0" w:color="auto"/>
        <w:left w:val="none" w:sz="0" w:space="0" w:color="auto"/>
        <w:bottom w:val="none" w:sz="0" w:space="0" w:color="auto"/>
        <w:right w:val="none" w:sz="0" w:space="0" w:color="auto"/>
      </w:divBdr>
    </w:div>
    <w:div w:id="1862234534">
      <w:bodyDiv w:val="1"/>
      <w:marLeft w:val="0"/>
      <w:marRight w:val="0"/>
      <w:marTop w:val="0"/>
      <w:marBottom w:val="0"/>
      <w:divBdr>
        <w:top w:val="none" w:sz="0" w:space="0" w:color="auto"/>
        <w:left w:val="none" w:sz="0" w:space="0" w:color="auto"/>
        <w:bottom w:val="none" w:sz="0" w:space="0" w:color="auto"/>
        <w:right w:val="none" w:sz="0" w:space="0" w:color="auto"/>
      </w:divBdr>
    </w:div>
    <w:div w:id="1928422627">
      <w:bodyDiv w:val="1"/>
      <w:marLeft w:val="0"/>
      <w:marRight w:val="0"/>
      <w:marTop w:val="0"/>
      <w:marBottom w:val="0"/>
      <w:divBdr>
        <w:top w:val="none" w:sz="0" w:space="0" w:color="auto"/>
        <w:left w:val="none" w:sz="0" w:space="0" w:color="auto"/>
        <w:bottom w:val="none" w:sz="0" w:space="0" w:color="auto"/>
        <w:right w:val="none" w:sz="0" w:space="0" w:color="auto"/>
      </w:divBdr>
    </w:div>
    <w:div w:id="1935042961">
      <w:bodyDiv w:val="1"/>
      <w:marLeft w:val="0"/>
      <w:marRight w:val="0"/>
      <w:marTop w:val="0"/>
      <w:marBottom w:val="0"/>
      <w:divBdr>
        <w:top w:val="none" w:sz="0" w:space="0" w:color="auto"/>
        <w:left w:val="none" w:sz="0" w:space="0" w:color="auto"/>
        <w:bottom w:val="none" w:sz="0" w:space="0" w:color="auto"/>
        <w:right w:val="none" w:sz="0" w:space="0" w:color="auto"/>
      </w:divBdr>
    </w:div>
    <w:div w:id="1967005624">
      <w:bodyDiv w:val="1"/>
      <w:marLeft w:val="0"/>
      <w:marRight w:val="0"/>
      <w:marTop w:val="0"/>
      <w:marBottom w:val="0"/>
      <w:divBdr>
        <w:top w:val="none" w:sz="0" w:space="0" w:color="auto"/>
        <w:left w:val="none" w:sz="0" w:space="0" w:color="auto"/>
        <w:bottom w:val="none" w:sz="0" w:space="0" w:color="auto"/>
        <w:right w:val="none" w:sz="0" w:space="0" w:color="auto"/>
      </w:divBdr>
    </w:div>
    <w:div w:id="1969236297">
      <w:bodyDiv w:val="1"/>
      <w:marLeft w:val="0"/>
      <w:marRight w:val="0"/>
      <w:marTop w:val="0"/>
      <w:marBottom w:val="0"/>
      <w:divBdr>
        <w:top w:val="none" w:sz="0" w:space="0" w:color="auto"/>
        <w:left w:val="none" w:sz="0" w:space="0" w:color="auto"/>
        <w:bottom w:val="none" w:sz="0" w:space="0" w:color="auto"/>
        <w:right w:val="none" w:sz="0" w:space="0" w:color="auto"/>
      </w:divBdr>
    </w:div>
    <w:div w:id="1984961262">
      <w:bodyDiv w:val="1"/>
      <w:marLeft w:val="0"/>
      <w:marRight w:val="0"/>
      <w:marTop w:val="0"/>
      <w:marBottom w:val="0"/>
      <w:divBdr>
        <w:top w:val="none" w:sz="0" w:space="0" w:color="auto"/>
        <w:left w:val="none" w:sz="0" w:space="0" w:color="auto"/>
        <w:bottom w:val="none" w:sz="0" w:space="0" w:color="auto"/>
        <w:right w:val="none" w:sz="0" w:space="0" w:color="auto"/>
      </w:divBdr>
    </w:div>
    <w:div w:id="2031760608">
      <w:bodyDiv w:val="1"/>
      <w:marLeft w:val="0"/>
      <w:marRight w:val="0"/>
      <w:marTop w:val="0"/>
      <w:marBottom w:val="0"/>
      <w:divBdr>
        <w:top w:val="none" w:sz="0" w:space="0" w:color="auto"/>
        <w:left w:val="none" w:sz="0" w:space="0" w:color="auto"/>
        <w:bottom w:val="none" w:sz="0" w:space="0" w:color="auto"/>
        <w:right w:val="none" w:sz="0" w:space="0" w:color="auto"/>
      </w:divBdr>
    </w:div>
    <w:div w:id="2035962802">
      <w:bodyDiv w:val="1"/>
      <w:marLeft w:val="0"/>
      <w:marRight w:val="0"/>
      <w:marTop w:val="0"/>
      <w:marBottom w:val="0"/>
      <w:divBdr>
        <w:top w:val="none" w:sz="0" w:space="0" w:color="auto"/>
        <w:left w:val="none" w:sz="0" w:space="0" w:color="auto"/>
        <w:bottom w:val="none" w:sz="0" w:space="0" w:color="auto"/>
        <w:right w:val="none" w:sz="0" w:space="0" w:color="auto"/>
      </w:divBdr>
    </w:div>
    <w:div w:id="2098864393">
      <w:bodyDiv w:val="1"/>
      <w:marLeft w:val="0"/>
      <w:marRight w:val="0"/>
      <w:marTop w:val="0"/>
      <w:marBottom w:val="0"/>
      <w:divBdr>
        <w:top w:val="none" w:sz="0" w:space="0" w:color="auto"/>
        <w:left w:val="none" w:sz="0" w:space="0" w:color="auto"/>
        <w:bottom w:val="none" w:sz="0" w:space="0" w:color="auto"/>
        <w:right w:val="none" w:sz="0" w:space="0" w:color="auto"/>
      </w:divBdr>
    </w:div>
    <w:div w:id="2120178966">
      <w:bodyDiv w:val="1"/>
      <w:marLeft w:val="0"/>
      <w:marRight w:val="0"/>
      <w:marTop w:val="0"/>
      <w:marBottom w:val="0"/>
      <w:divBdr>
        <w:top w:val="none" w:sz="0" w:space="0" w:color="auto"/>
        <w:left w:val="none" w:sz="0" w:space="0" w:color="auto"/>
        <w:bottom w:val="none" w:sz="0" w:space="0" w:color="auto"/>
        <w:right w:val="none" w:sz="0" w:space="0" w:color="auto"/>
      </w:divBdr>
    </w:div>
    <w:div w:id="214206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fb42f908084e3381b9c1e61da768d1" PartId="00819f1d87a340439fc02fc6bd00a2f3">
    <Part Type="preambule" DocPartId="7b4186e83a6d43b9aeacd52e2a2534c6" PartId="d2d7fd57fea34d49a5acf87d74f2ee72"/>
    <Part Type="pastraipa" DocPartId="32bb7f60c53542078c588f48cb0c0e79" PartId="196ef6ead7bc4c86a9a2dce0d31b171e"/>
    <Part Type="signatura" DocPartId="00e11b67bae943cab6c3486a13178379" PartId="3d3cdd54c4a14e61b94e058559fa2428"/>
  </Part>
  <Part Type="patvirtinta" Title="KRIPTOTURTO PASLAUGŲ TEIKĖJŲ LICENCIJAVIMO TAISYKLĖS" DocPartId="e73163cc8c4743e281eb999de6b6de31" PartId="a618708b4db1430daaf2bd8c078439e9">
    <Part Type="skyrius" Nr="1" Title="BENDROSIOS NUOSTATOS" DocPartId="e6a5fc17d8894e508f84e8ffa51b7625" PartId="f5c44ec182694121810a3be48644dd3f">
      <Part Type="punktas" Nr="1" Abbr="1 p." DocPartId="3bc8defe1b684020b93c0501689246af" PartId="76bef17211be45d3b1e595a574ff95b8"/>
      <Part Type="punktas" Nr="2" Abbr="2 p." DocPartId="f1a1bdab214f401e94b5696356a83bbe" PartId="177bda24af74415e889c51e9ebed732e"/>
      <Part Type="punktas" Nr="3" Abbr="3 p." DocPartId="65c2fb77d9534f1995f9046b56a0fe96" PartId="26c1626ff97946beaafa912d8c9d3f82"/>
      <Part Type="punktas" Nr="4" Abbr="4 p." DocPartId="8a406a7f198f412d8a0b3022fc63e215" PartId="a55be85295e44bd4a4aa31f0fe68c25d"/>
    </Part>
    <Part Type="skyrius" Nr="2" Title="PRAŠYMAS IŠDUOTI LICENCIJĄ" DocPartId="46c4e2a6b41f4efa84750fc5dea0f880" PartId="3b3cae72178e4913bc2989fa487f4b4d">
      <Part Type="punktas" Nr="5" Abbr="5 p." DocPartId="f2bde91cf11d416490e6817627451c13" PartId="0a755bcf971b4837b8e086c1d1f87c1a"/>
      <Part Type="punktas" Nr="6" Abbr="6 p." DocPartId="bb4e67c3127e4e07a312a6856755efbe" PartId="a7657ed800894f4eba0a4aa7f433e073">
        <Part Type="papunktis" Nr="6.1" Abbr="6.1 pp." DocPartId="209795795e554934bce293266e38ac97" PartId="909ef7f46fe14554b5689e1df6983a99"/>
        <Part Type="papunktis" Nr="6.2" Abbr="6.2 pp." DocPartId="92a5a76aee764626a4683e76e51e4783" PartId="a0afb09a3d8b4f868e1522477e4004ac"/>
        <Part Type="papunktis" Nr="6.3" Abbr="6.3 pp." DocPartId="bc7a10bc10594d3e89416889d169e9d5" PartId="451e07b9d1084488ba990858ad76e498"/>
        <Part Type="papunktis" Nr="6.4" Abbr="6.4 pp." DocPartId="9defbc10361c404f990943456f962c14" PartId="e6da1360b2f8401185ee9db52fcb48d0"/>
        <Part Type="papunktis" Nr="6.5" Abbr="6.5 pp." DocPartId="3878772fd80e409c8fea5a2806b667b3" PartId="219c8b95fd6f49499b1b17448e8ccbf4"/>
        <Part Type="papunktis" Nr="6.6" Abbr="6.6 pp." DocPartId="254761b88e52418a8ccf8a11fb47368c" PartId="c1762e088fa74f73aaf35a30dd41b3c2"/>
        <Part Type="papunktis" Nr="6.7" Abbr="6.7 pp." DocPartId="5931f4a194ac43458bbc8c3d9e9a71f9" PartId="a84eaa9aefed4a8297e17b2bf94bef7d"/>
      </Part>
      <Part Type="punktas" Nr="7" Abbr="7 p." DocPartId="ad4cd05cb02f4e2bb6e09eb8be93a2b0" PartId="b5eeab386ab74bc482d7e19e90a2feff"/>
    </Part>
    <Part Type="skyrius" Nr="3" Title="PRAŠYMO IŠDUOTI LICENCIJĄ VERTINIMAS IR SPRENDIMO PRIĖMIMAS" DocPartId="784884040af54811996b3f5a0f8c8a31" PartId="0181b345090849cf9606a914564567df">
      <Part Type="punktas" Nr="8" Abbr="8 p." DocPartId="fba0931835dc4d2d95ce4e31134db24e" PartId="1c34524ef8bb4c00b370eeff379f33e7"/>
      <Part Type="punktas" Nr="9" Abbr="9 p." DocPartId="25d74b5be83f4cd88e4973218a6e6475" PartId="63a1735a5d594a52abaeb32a8a4096bc"/>
      <Part Type="punktas" Nr="10" Abbr="10 p." DocPartId="1cbb6d16a500497e92ae956326cd8008" PartId="a0684f8ef5574d5dbf753e4cc78d039d"/>
      <Part Type="punktas" Nr="11" Abbr="11 p." DocPartId="e9ccc08e2e5942da9b9b86840f521db0" PartId="307f2600262345f6985f3b73a28e761d"/>
      <Part Type="punktas" Nr="12" Abbr="12 p." DocPartId="06f4195b676f4624bea41c50149bdd49" PartId="ef8758abfab947458fc176efb37292ae"/>
      <Part Type="punktas" Nr="13" Abbr="13 p." DocPartId="9217cd1df8f04bae923e176216e3b701" PartId="4397d72364604d1c8ec1e6c1f3058334"/>
      <Part Type="punktas" Nr="14" Abbr="14 p." DocPartId="8169a10c571f481496f9cbd2088f230c" PartId="4f6c2cb8f98a43148a5ba2ed278daa6a"/>
      <Part Type="punktas" Nr="15" Abbr="15 p." DocPartId="73402afe29f1469f814c1636aea5b1a5" PartId="545f1332b28d4d8ebad26ad828add903"/>
    </Part>
    <Part Type="skyrius" Nr="4" Title="LICENCIJOS PAKEITIMAS AR PAPILDYMAS" DocPartId="9047c30b370a44c8bd6e918f87ecb95e" PartId="eb9c43ce72254e32940dcb5b8370157d">
      <Part Type="punktas" Nr="16" Abbr="16 p." DocPartId="b7edbbb08f36480bab95e48f37418f34" PartId="21feacdac4aa40209ce0ab01b3d30a13"/>
      <Part Type="punktas" Nr="17" Abbr="17 p." DocPartId="4e1e5b1cff46470486582d9324de37a1" PartId="b82c07882eb74e7291dfa37d52fdc22e"/>
      <Part Type="punktas" Nr="18" Abbr="18 p." DocPartId="795f3364647548669d24c66026d2f81c" PartId="ad989b2cdf4e419db36f8e86dcec79e6"/>
    </Part>
    <Part Type="skyrius" Nr="5" Title="PRANEŠIMAS APIE PASIKEITUSIUS DUOMENIS IR DOKUMENTUS" DocPartId="1faef01d8a394545bb3b3138b4125386" PartId="b6b6be700f51488583da701aadf4e5ed">
      <Part Type="punktas" Nr="19" Abbr="19 p." DocPartId="3b9f3607ccb34803926f3a03633dbe0f" PartId="f50352f8d70c4254ac8692b07a405737"/>
      <Part Type="punktas" Nr="20" Abbr="20 p." DocPartId="77bf2c7a3b624045b45dcff3b6487c99" PartId="6c233e6de4eb45b8880d2134017b535c"/>
    </Part>
    <Part Type="skyrius" Nr="6" Title="BAIGIAMOSIOS NUOSTATOS" DocPartId="7f4a71b6c9bb4a42aa11dc4528c918cc" PartId="0717c8d947724b32997e2d01866a4be9">
      <Part Type="punktas" Nr="21" Abbr="21 p." DocPartId="7f88541c508142b1b5457bec10eb7345" PartId="a2d4762460f14201a75f7e4c5f3c6aac"/>
      <Part Type="punktas" Nr="22" Abbr="22 p." DocPartId="97a401ad00a94d40af03d3a14df2dea1" PartId="f8f9f69d401a47cb810fc92cd9e8c6f4"/>
    </Part>
  </Part>
</Parts>
</file>

<file path=customXml/itemProps1.xml><?xml version="1.0" encoding="utf-8"?>
<ds:datastoreItem xmlns:ds="http://schemas.openxmlformats.org/officeDocument/2006/customXml" ds:itemID="{DDF03177-4261-493B-B0E8-BC25A2A760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1069</Words>
  <Characters>7826</Characters>
  <Application>Microsoft Office Word</Application>
  <DocSecurity>4</DocSecurity>
  <Lines>190</Lines>
  <Paragraphs>61</Paragraphs>
  <ScaleCrop>false</ScaleCrop>
  <Company/>
  <LinksUpToDate>false</LinksUpToDate>
  <CharactersWithSpaces>8834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2024-09-20T09:23:23Z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7cb3fe1c-31b4-4b7a-8620-2c5bec73e19b</vt:lpwstr>
  </property>
  <property fmtid="{D5CDD505-2E9C-101B-9397-08002B2CF9AE}" pid="8" name="MSIP_Label_e5564178-1ca1-4992-b45e-fdaf9919e704_ContentBits">
    <vt:lpwstr>0</vt:lpwstr>
  </property>
</Properties>
</file>