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34c6301e994b97a2d6b7583a7722ec"/>
        <w:lock w:val="sdtLocked"/>
        <w:richText/>
      </w:sdtPr>
      <w:sdtContent>
        <w:p w14:paraId="753646F9" w14:textId="77777777">
          <w:pPr>
            <w:ind w:firstLine="5561"/>
            <w:jc w:val="center"/>
            <w:rPr>
              <w:rFonts w:ascii="Verdana" w:hAnsi="Verdana"/>
              <w:b/>
              <w:sz w:val="20"/>
            </w:rPr>
          </w:pPr>
          <w:r>
            <w:rPr>
              <w:rFonts w:ascii="Verdana" w:hAnsi="Verdana"/>
              <w:b/>
              <w:sz w:val="20"/>
            </w:rPr>
            <w:t>Projekto</w:t>
          </w:r>
        </w:p>
        <w:p w14:paraId="3E4DC6E7" w14:textId="77777777">
          <w:pPr>
            <w:jc w:val="right"/>
            <w:rPr>
              <w:rFonts w:ascii="Verdana" w:hAnsi="Verdana"/>
              <w:b/>
              <w:sz w:val="20"/>
            </w:rPr>
          </w:pPr>
          <w:r>
            <w:rPr>
              <w:rFonts w:ascii="Verdana" w:hAnsi="Verdana"/>
              <w:b/>
              <w:sz w:val="20"/>
            </w:rPr>
            <w:t>lyginamasis variantas</w:t>
          </w:r>
        </w:p>
        <w:tbl>
          <w:tblPr>
            <w:tblW w:w="0" w:type="auto"/>
            <w:tblInd w:w="108" w:type="dxa"/>
            <w:tblLayout w:type="fixed"/>
            <w:tblLook w:val="00A0" w:firstRow="1" w:lastRow="0" w:firstColumn="1" w:lastColumn="0" w:noHBand="0" w:noVBand="0"/>
          </w:tblPr>
          <w:tblGrid>
            <w:gridCol w:w="9639"/>
          </w:tblGrid>
          <w:tr w14:paraId="15FD6469" w14:textId="77777777">
            <w:trPr>
              <w:trHeight w:hRule="exact" w:val="1055"/>
              <w:hidden/>
            </w:trPr>
            <w:tc>
              <w:tcPr>
                <w:tcW w:w="9639" w:type="dxa"/>
              </w:tcPr>
              <w:p w14:paraId="48D45CEA" w14:textId="77777777">
                <w:pPr>
                  <w:spacing w:line="240" w:lineRule="atLeast"/>
                  <w:jc w:val="center"/>
                  <w:rPr>
                    <w:rFonts w:ascii="Verdana" w:hAnsi="Verdana"/>
                    <w:vanish/>
                    <w:color w:val="000000"/>
                    <w:sz w:val="20"/>
                  </w:rPr>
                </w:pPr>
              </w:p>
            </w:tc>
          </w:tr>
          <w:tr w14:paraId="45C92A8A" w14:textId="77777777">
            <w:trPr>
              <w:trHeight w:hRule="exact" w:val="935"/>
            </w:trPr>
            <w:tc>
              <w:tcPr>
                <w:tcW w:w="9639" w:type="dxa"/>
              </w:tcPr>
              <w:p w14:paraId="3501DD19" w14:textId="77777777">
                <w:pPr>
                  <w:jc w:val="center"/>
                  <w:rPr>
                    <w:rFonts w:ascii="Verdana" w:hAnsi="Verdana"/>
                    <w:b/>
                    <w:szCs w:val="24"/>
                  </w:rPr>
                </w:pPr>
                <w:r>
                  <w:rPr>
                    <w:rFonts w:ascii="Verdana" w:hAnsi="Verdana"/>
                    <w:b/>
                    <w:szCs w:val="24"/>
                  </w:rPr>
                  <w:t>LIETUVOS BANKO VALDYBA</w:t>
                </w:r>
              </w:p>
              <w:p w14:paraId="238BD077" w14:textId="77777777">
                <w:pPr>
                  <w:tabs>
                    <w:tab w:val="left" w:pos="3932"/>
                  </w:tabs>
                  <w:rPr>
                    <w:rFonts w:ascii="Verdana" w:hAnsi="Verdana"/>
                    <w:sz w:val="20"/>
                  </w:rPr>
                </w:pPr>
              </w:p>
            </w:tc>
          </w:tr>
          <w:tr w14:paraId="157805F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5171CAA5" w14:textId="77777777">
                <w:pPr>
                  <w:jc w:val="center"/>
                  <w:rPr>
                    <w:rFonts w:ascii="Verdana" w:hAnsi="Verdana"/>
                    <w:b/>
                    <w:sz w:val="20"/>
                  </w:rPr>
                </w:pPr>
                <w:r>
                  <w:rPr>
                    <w:rFonts w:ascii="Verdana" w:hAnsi="Verdana"/>
                    <w:b/>
                    <w:sz w:val="20"/>
                  </w:rPr>
                  <w:t>NUTARIMAS</w:t>
                </w:r>
              </w:p>
            </w:tc>
          </w:tr>
          <w:tr w14:paraId="151A874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3889AF65" w14:textId="77777777">
                <w:pPr>
                  <w:jc w:val="center"/>
                  <w:rPr>
                    <w:rFonts w:ascii="Verdana" w:hAnsi="Verdana"/>
                    <w:b/>
                    <w:sz w:val="20"/>
                  </w:rPr>
                </w:pPr>
                <w:r>
                  <w:rPr>
                    <w:rFonts w:ascii="Verdana" w:hAnsi="Verdana"/>
                    <w:b/>
                    <w:sz w:val="20"/>
                  </w:rPr>
                  <w:t>DĖL LIETUVOS BANKO VALDYBOS 2017 M. RUGSĖJO 12 D. NUTARIMO NR. 03-138 „DĖL PRANEŠIMO APIE LIETUVOS BANKO PRIŽIŪRIMŲ FINANSŲ RINKOS DALYVIŲ KVALIFIKUOTOSIOS ĮSTATINIO KAPITALO IR (ARBA) BALSAVIMO TEISIŲ DALIES ĮSIGIJIMĄ IR PERLEIDIMĄ TEIKIMO TAISYKLIŲ PATVIRTINIMO“ PAKEITIMO</w:t>
                </w:r>
              </w:p>
            </w:tc>
          </w:tr>
          <w:tr w14:paraId="5FDD26A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35C4F44E" w14:textId="77777777">
                <w:pPr>
                  <w:rPr>
                    <w:rFonts w:ascii="Verdana" w:hAnsi="Verdana"/>
                    <w:b/>
                    <w:sz w:val="20"/>
                  </w:rPr>
                </w:pPr>
              </w:p>
            </w:tc>
          </w:tr>
          <w:tr w14:paraId="26A6AA2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4221D2F4" w14:textId="7844FE33">
                <w:pPr>
                  <w:jc w:val="center"/>
                  <w:rPr>
                    <w:rFonts w:ascii="Verdana" w:hAnsi="Verdana"/>
                    <w:sz w:val="20"/>
                  </w:rPr>
                </w:pPr>
                <w:r>
                  <w:rPr>
                    <w:rFonts w:ascii="Verdana" w:hAnsi="Verdana"/>
                    <w:sz w:val="20"/>
                  </w:rPr>
                  <w:t xml:space="preserve">2024 m.            d. Nr. 03-</w:t>
                </w:r>
              </w:p>
            </w:tc>
          </w:tr>
          <w:tr w14:paraId="5EC6FB8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62D9F633" w14:textId="77777777">
                <w:pPr>
                  <w:jc w:val="center"/>
                  <w:rPr>
                    <w:rFonts w:ascii="Verdana" w:hAnsi="Verdana"/>
                    <w:sz w:val="20"/>
                  </w:rPr>
                </w:pPr>
                <w:r>
                  <w:rPr>
                    <w:rFonts w:ascii="Verdana" w:hAnsi="Verdana"/>
                    <w:sz w:val="20"/>
                  </w:rPr>
                  <w:t>Vilnius</w:t>
                </w:r>
              </w:p>
            </w:tc>
          </w:tr>
        </w:tbl>
        <w:p w14:paraId="12AC9E06" w14:textId="77777777">
          <w:pPr>
            <w:widowControl w:val="0"/>
            <w:jc w:val="both"/>
            <w:rPr>
              <w:rFonts w:ascii="Verdana" w:hAnsi="Verdana"/>
              <w:sz w:val="20"/>
            </w:rPr>
          </w:pPr>
        </w:p>
        <w:p w14:paraId="71B54DC9" w14:textId="77777777">
          <w:pPr>
            <w:ind w:firstLine="720"/>
            <w:jc w:val="both"/>
            <w:rPr>
              <w:rFonts w:ascii="Verdana" w:hAnsi="Verdana"/>
              <w:sz w:val="20"/>
            </w:rPr>
          </w:pPr>
          <w:r>
            <w:rPr>
              <w:rFonts w:ascii="Verdana" w:hAnsi="Verdana"/>
              <w:sz w:val="20"/>
            </w:rPr>
            <w:t>Lietuvos banko valdyba n u t a r i a:</w:t>
          </w:r>
        </w:p>
        <w:sdt>
          <w:sdtPr>
            <w:alias w:val="1 p."/>
            <w:tag w:val="part_41cc54b051c44ac1a714a0395953be97"/>
            <w:lock w:val="sdtLocked"/>
            <w:richText/>
          </w:sdtPr>
          <w:sdtContent>
            <w:p w14:paraId="3533EB06" w14:textId="413C635E">
              <w:pPr>
                <w:shd w:val="clear" w:color="auto" w:fill="FFFFFF"/>
                <w:ind w:firstLine="720"/>
                <w:jc w:val="both"/>
                <w:rPr>
                  <w:rFonts w:ascii="Verdana" w:hAnsi="Verdana" w:cs="Arial"/>
                  <w:color w:val="000000"/>
                  <w:sz w:val="20"/>
                  <w:lang w:eastAsia="lt-LT"/>
                </w:rPr>
              </w:pPr>
              <w:sdt>
                <w:sdtPr>
                  <w:alias w:val="Numeris"/>
                  <w:tag w:val="nr_41cc54b051c44ac1a714a0395953be97"/>
                  <w:lock w:val="sdtLocked"/>
                  <w:richText/>
                </w:sdtPr>
                <w:sdtContent>
                  <w:r>
                    <w:rPr>
                      <w:rFonts w:ascii="Verdana" w:hAnsi="Verdana" w:cs="Arial"/>
                      <w:color w:val="000000"/>
                      <w:sz w:val="20"/>
                      <w:lang w:eastAsia="lt-LT"/>
                    </w:rPr>
                    <w:t>1</w:t>
                  </w:r>
                </w:sdtContent>
              </w:sdt>
              <w:r>
                <w:rPr>
                  <w:rFonts w:ascii="Verdana" w:hAnsi="Verdana" w:cs="Arial"/>
                  <w:color w:val="000000"/>
                  <w:sz w:val="20"/>
                  <w:lang w:eastAsia="lt-LT"/>
                </w:rPr>
                <w:t>. Pakeisti Lietuvos banko valdybos 2017 m. rugsėjo 12 d. nutarimo Nr. 03-138 „Dėl Pranešimo apie Lietuvos banko prižiūrimų finansų rinkos dalyvių kvalifikuotosios įstatinio kapitalo ir (arba) balsavimo teisių dalies įsigijimą ir perleidimą teikimo taisyklių patvirtinimo“ preambulę ir išdėstyti ją taip:</w:t>
              </w:r>
            </w:p>
            <w:sdt>
              <w:sdtPr>
                <w:alias w:val="citata"/>
                <w:tag w:val="part_d5a9770e16d54836a5a52e519c282e21"/>
                <w:lock w:val="sdtLocked"/>
                <w:richText/>
              </w:sdtPr>
              <w:sdtContent>
                <w:sdt>
                  <w:sdtPr>
                    <w:alias w:val="pastraipa"/>
                    <w:tag w:val="part_cb2c8049190e43c9b05fdc4dd6e03ccb"/>
                    <w:lock w:val="sdtLocked"/>
                    <w:richText/>
                  </w:sdtPr>
                  <w:sdtContent>
                    <w:p w14:paraId="23CC15A8" w14:textId="14790F19">
                      <w:pPr>
                        <w:shd w:val="clear" w:color="auto" w:fill="FFFFFF"/>
                        <w:ind w:firstLine="720"/>
                        <w:jc w:val="both"/>
                        <w:rPr>
                          <w:rFonts w:ascii="Verdana" w:hAnsi="Verdana" w:cs="Arial"/>
                          <w:color w:val="000000"/>
                          <w:sz w:val="20"/>
                          <w:lang w:eastAsia="lt-LT"/>
                        </w:rPr>
                      </w:pPr>
                      <w:r>
                        <w:rPr>
                          <w:rFonts w:ascii="Verdana" w:hAnsi="Verdana" w:cs="Arial"/>
                          <w:color w:val="000000"/>
                          <w:sz w:val="20"/>
                          <w:lang w:eastAsia="lt-LT"/>
                        </w:rPr>
                        <w:t xml:space="preserve">„Vadovaudamasi Lietuvos Respublikos Lietuvos banko įstatymo 42 straipsnio 4 dalies 1 punktu, Lietuvos Respublikos bankų įstatymo 25 straipsnio 2 dalimi, Lietuvos Respublikos draudimo įstatymo 23 straipsnio 3 dalimi, Lietuvos Respublikos kolektyvinio investavimo subjektų įstatymo 10 straipsnio 4 dalimi, Lietuvos Respublikos finansinių priemonių rinkų įstatymo </w:t>
                      </w:r>
                      <w:r>
                        <w:rPr>
                          <w:rFonts w:ascii="Verdana" w:hAnsi="Verdana" w:cs="Arial"/>
                          <w:color w:val="000000"/>
                          <w:sz w:val="20"/>
                          <w:lang w:eastAsia="lt-LT"/>
                        </w:rPr>
                        <w:t>11</w:t>
                      </w:r>
                      <w:r>
                        <w:rPr>
                          <w:rFonts w:ascii="Verdana" w:hAnsi="Verdana" w:cs="Arial"/>
                          <w:color w:val="000000"/>
                          <w:sz w:val="20"/>
                          <w:lang w:eastAsia="lt-LT"/>
                        </w:rPr>
                        <w:t xml:space="preserve"> straipsnio 5 dalimi ir </w:t>
                      </w:r>
                      <w:r>
                        <w:rPr>
                          <w:rFonts w:ascii="Verdana" w:hAnsi="Verdana" w:cs="Arial"/>
                          <w:color w:val="000000"/>
                          <w:sz w:val="20"/>
                          <w:lang w:eastAsia="lt-LT"/>
                        </w:rPr>
                        <w:t>20</w:t>
                      </w:r>
                      <w:r>
                        <w:rPr>
                          <w:rFonts w:ascii="Verdana" w:hAnsi="Verdana" w:cs="Arial"/>
                          <w:color w:val="000000"/>
                          <w:sz w:val="20"/>
                          <w:lang w:eastAsia="lt-LT"/>
                        </w:rPr>
                        <w:t xml:space="preserve"> straipsnio 2 punktu, Lietuvos Respublikos alternatyviųjų kolektyvinio investavimo subjektų valdytojų įstatymo 11 straipsnio 5 dalimi, Lietuvos Respublikos papildomo savanoriško pensijų kaupimo įstatymo 11 straipsniu, Lietuvos Respublikos </w:t>
                      </w:r>
                      <w:r>
                        <w:rPr>
                          <w:rFonts w:ascii="Verdana" w:hAnsi="Verdana" w:cs="Arial"/>
                          <w:color w:val="000000"/>
                          <w:sz w:val="20"/>
                          <w:lang w:eastAsia="lt-LT"/>
                        </w:rPr>
                        <w:t>mokėjimo įstaigų įstatymo</w:t>
                      </w:r>
                      <w:r>
                        <w:rPr>
                          <w:rFonts w:ascii="Verdana" w:hAnsi="Verdana" w:cs="Arial"/>
                          <w:color w:val="000000"/>
                          <w:sz w:val="20"/>
                          <w:lang w:eastAsia="lt-LT"/>
                        </w:rPr>
                        <w:t xml:space="preserve"> </w:t>
                      </w:r>
                      <w:r>
                        <w:rPr>
                          <w:rFonts w:ascii="Verdana" w:hAnsi="Verdana" w:cs="Arial"/>
                          <w:color w:val="000000"/>
                          <w:sz w:val="20"/>
                          <w:lang w:eastAsia="lt-LT"/>
                        </w:rPr>
                        <w:t>10</w:t>
                      </w:r>
                      <w:r>
                        <w:rPr>
                          <w:rFonts w:ascii="Verdana" w:hAnsi="Verdana" w:cs="Arial"/>
                          <w:color w:val="000000"/>
                          <w:sz w:val="20"/>
                          <w:lang w:eastAsia="lt-LT"/>
                        </w:rPr>
                        <w:t xml:space="preserve"> straipsniu, Lietuvos Respublikos </w:t>
                      </w:r>
                      <w:r>
                        <w:rPr>
                          <w:rFonts w:ascii="Verdana" w:hAnsi="Verdana" w:cs="Arial"/>
                          <w:color w:val="000000"/>
                          <w:sz w:val="20"/>
                          <w:lang w:eastAsia="lt-LT"/>
                        </w:rPr>
                        <w:t>elektroninių pinigų ir elektroninių pinigų įstaigų įstatymo</w:t>
                      </w:r>
                      <w:r>
                        <w:rPr>
                          <w:rFonts w:ascii="Verdana" w:hAnsi="Verdana" w:cs="Arial"/>
                          <w:color w:val="000000"/>
                          <w:sz w:val="20"/>
                          <w:lang w:eastAsia="lt-LT"/>
                        </w:rPr>
                        <w:t xml:space="preserve"> </w:t>
                      </w:r>
                      <w:r>
                        <w:rPr>
                          <w:rFonts w:ascii="Verdana" w:hAnsi="Verdana" w:cs="Arial"/>
                          <w:color w:val="000000"/>
                          <w:sz w:val="20"/>
                          <w:lang w:eastAsia="lt-LT"/>
                        </w:rPr>
                        <w:t>17</w:t>
                      </w:r>
                      <w:r>
                        <w:rPr>
                          <w:rFonts w:ascii="Verdana" w:hAnsi="Verdana" w:cs="Arial"/>
                          <w:color w:val="000000"/>
                          <w:sz w:val="20"/>
                          <w:lang w:eastAsia="lt-LT"/>
                        </w:rPr>
                        <w:t xml:space="preserve"> straipsniu, </w:t>
                      </w:r>
                      <w:r>
                        <w:rPr>
                          <w:rFonts w:ascii="Verdana" w:hAnsi="Verdana" w:cs="Arial"/>
                          <w:b/>
                          <w:bCs/>
                          <w:color w:val="000000"/>
                          <w:sz w:val="20"/>
                          <w:lang w:eastAsia="lt-LT"/>
                        </w:rPr>
                        <w:t xml:space="preserve">2023 m. gegužės 31 d. Europos Parlamento ir Tarybos reglamento </w:t>
                      </w:r>
                      <w:fldSimple w:instr="HYPERLINK http://eur-lex.europa.eu/legal-content/LIT/TXT/?uri=CELEX:32023R1114&amp;locale=lt \t _blank">
                        <w:r>
                          <w:rPr>
                            <w:rFonts w:ascii="Verdana" w:hAnsi="Verdana" w:cs="Arial"/>
                            <w:b/>
                            <w:bCs/>
                            <w:color w:val="0000FF" w:themeColor="hyperlink"/>
                            <w:sz w:val="20"/>
                            <w:lang w:eastAsia="lt-LT"/>
                            <w:u w:val="single"/>
                          </w:rPr>
                          <w:t>(ES) 2023/1114</w:t>
                        </w:r>
                      </w:fldSimple>
                      <w:r>
                        <w:rPr>
                          <w:rFonts w:ascii="Verdana" w:hAnsi="Verdana" w:cs="Arial"/>
                          <w:b/>
                          <w:bCs/>
                          <w:color w:val="000000"/>
                          <w:sz w:val="20"/>
                          <w:lang w:eastAsia="lt-LT"/>
                        </w:rPr>
                        <w:t xml:space="preserve"> dėl kriptoturto rinkų, kuriuo iš dalies keičiami reglamentai </w:t>
                      </w:r>
                      <w:fldSimple w:instr="HYPERLINK http://eur-lex.europa.eu/legal-content/LIT/TXT/?uri=CELEX:32010R1093&amp;locale=lt \t _blank">
                        <w:r>
                          <w:rPr>
                            <w:rFonts w:ascii="Verdana" w:hAnsi="Verdana" w:cs="Arial"/>
                            <w:b/>
                            <w:bCs/>
                            <w:color w:val="0000FF" w:themeColor="hyperlink"/>
                            <w:sz w:val="20"/>
                            <w:lang w:eastAsia="lt-LT"/>
                            <w:u w:val="single"/>
                          </w:rPr>
                          <w:t>(ES) Nr. 1093/2010</w:t>
                        </w:r>
                      </w:fldSimple>
                      <w:r>
                        <w:rPr>
                          <w:rFonts w:ascii="Verdana" w:hAnsi="Verdana" w:cs="Arial"/>
                          <w:b/>
                          <w:bCs/>
                          <w:color w:val="000000"/>
                          <w:sz w:val="20"/>
                          <w:lang w:eastAsia="lt-LT"/>
                        </w:rPr>
                        <w:t xml:space="preserve"> bei </w:t>
                      </w:r>
                      <w:fldSimple w:instr="HYPERLINK http://eur-lex.europa.eu/legal-content/LIT/TXT/?uri=CELEX:32010R1095&amp;locale=lt \t _blank">
                        <w:r>
                          <w:rPr>
                            <w:rFonts w:ascii="Verdana" w:hAnsi="Verdana" w:cs="Arial"/>
                            <w:b/>
                            <w:bCs/>
                            <w:color w:val="0000FF" w:themeColor="hyperlink"/>
                            <w:sz w:val="20"/>
                            <w:lang w:eastAsia="lt-LT"/>
                            <w:u w:val="single"/>
                          </w:rPr>
                          <w:t>(ES) Nr. 1095/2010</w:t>
                        </w:r>
                      </w:fldSimple>
                      <w:r>
                        <w:rPr>
                          <w:rFonts w:ascii="Verdana" w:hAnsi="Verdana" w:cs="Arial"/>
                          <w:b/>
                          <w:bCs/>
                          <w:color w:val="000000"/>
                          <w:sz w:val="20"/>
                          <w:lang w:eastAsia="lt-LT"/>
                        </w:rPr>
                        <w:t xml:space="preserve"> ir direktyvos </w:t>
                      </w:r>
                      <w:fldSimple w:instr="HYPERLINK http://eur-lex.europa.eu/legal-content/LIT/TXT/?uri=CELEX:32013L0036&amp;locale=lt \t _blank">
                        <w:r>
                          <w:rPr>
                            <w:rFonts w:ascii="Verdana" w:hAnsi="Verdana" w:cs="Arial"/>
                            <w:b/>
                            <w:bCs/>
                            <w:color w:val="0000FF" w:themeColor="hyperlink"/>
                            <w:sz w:val="20"/>
                            <w:lang w:eastAsia="lt-LT"/>
                            <w:u w:val="single"/>
                          </w:rPr>
                          <w:t>2013/36/ES</w:t>
                        </w:r>
                      </w:fldSimple>
                      <w:r>
                        <w:rPr>
                          <w:rFonts w:ascii="Verdana" w:hAnsi="Verdana" w:cs="Arial"/>
                          <w:b/>
                          <w:bCs/>
                          <w:color w:val="000000"/>
                          <w:sz w:val="20"/>
                          <w:lang w:eastAsia="lt-LT"/>
                        </w:rPr>
                        <w:t xml:space="preserve"> bei </w:t>
                      </w:r>
                      <w:fldSimple w:instr="HYPERLINK http://eur-lex.europa.eu/legal-content/LIT/TXT/?uri=CELEX:32019L1937&amp;locale=lt \t _blank">
                        <w:r>
                          <w:rPr>
                            <w:rFonts w:ascii="Verdana" w:hAnsi="Verdana" w:cs="Arial"/>
                            <w:b/>
                            <w:bCs/>
                            <w:color w:val="0000FF" w:themeColor="hyperlink"/>
                            <w:sz w:val="20"/>
                            <w:lang w:eastAsia="lt-LT"/>
                            <w:u w:val="single"/>
                          </w:rPr>
                          <w:t>(ES) 2019/1937</w:t>
                        </w:r>
                      </w:fldSimple>
                      <w:r>
                        <w:rPr>
                          <w:rFonts w:ascii="Verdana" w:hAnsi="Verdana" w:cs="Arial"/>
                          <w:b/>
                          <w:bCs/>
                          <w:color w:val="000000"/>
                          <w:sz w:val="20"/>
                          <w:lang w:eastAsia="lt-LT"/>
                        </w:rPr>
                        <w:t xml:space="preserve"> 42 straipsnio 1 dalimi, 84 straipsnio 1 dalimi,</w:t>
                      </w:r>
                      <w:r>
                        <w:rPr>
                          <w:rFonts w:ascii="Verdana" w:hAnsi="Verdana" w:cs="Arial"/>
                          <w:color w:val="000000"/>
                          <w:sz w:val="20"/>
                          <w:lang w:eastAsia="lt-LT"/>
                        </w:rPr>
                        <w:t xml:space="preserve"> Lietuvos banko valdyba nutaria:“.</w:t>
                      </w:r>
                    </w:p>
                  </w:sdtContent>
                </w:sdt>
              </w:sdtContent>
            </w:sdt>
          </w:sdtContent>
        </w:sdt>
        <w:sdt>
          <w:sdtPr>
            <w:alias w:val="2 p."/>
            <w:tag w:val="part_eca97843722c419a88ab5c1f4cc9901b"/>
            <w:lock w:val="sdtLocked"/>
            <w:richText/>
          </w:sdtPr>
          <w:sdtContent>
            <w:p w14:paraId="676784A7" w14:textId="59A8D32F">
              <w:pPr>
                <w:shd w:val="clear" w:color="auto" w:fill="FFFFFF"/>
                <w:ind w:firstLine="720"/>
                <w:jc w:val="both"/>
                <w:rPr>
                  <w:rFonts w:ascii="Verdana" w:hAnsi="Verdana" w:cs="Arial"/>
                  <w:color w:val="000000"/>
                  <w:sz w:val="20"/>
                  <w:lang w:eastAsia="lt-LT"/>
                </w:rPr>
              </w:pPr>
              <w:sdt>
                <w:sdtPr>
                  <w:alias w:val="Numeris"/>
                  <w:tag w:val="nr_eca97843722c419a88ab5c1f4cc9901b"/>
                  <w:lock w:val="sdtLocked"/>
                  <w:richText/>
                </w:sdtPr>
                <w:sdtContent>
                  <w:r>
                    <w:rPr>
                      <w:rFonts w:ascii="Verdana" w:hAnsi="Verdana" w:cs="Arial"/>
                      <w:color w:val="000000"/>
                      <w:sz w:val="20"/>
                      <w:lang w:eastAsia="lt-LT"/>
                    </w:rPr>
                    <w:t>2</w:t>
                  </w:r>
                </w:sdtContent>
              </w:sdt>
              <w:r>
                <w:rPr>
                  <w:rFonts w:ascii="Verdana" w:hAnsi="Verdana" w:cs="Arial"/>
                  <w:color w:val="000000"/>
                  <w:sz w:val="20"/>
                  <w:lang w:eastAsia="lt-LT"/>
                </w:rPr>
                <w:t>. Pakeisti nurodytu nutarimu patvirtintas Pranešimo apie Lietuvos banko prižiūrimų finansų rinkos dalyvių kvalifikuotosios įstatinio kapitalo ir (arba) balsavimo teisių dalies įsigijimą ir perleidimą teikimo taisykles:</w:t>
              </w:r>
            </w:p>
            <w:sdt>
              <w:sdtPr>
                <w:alias w:val="2.1 pp."/>
                <w:tag w:val="part_811111a3c635422d9b195bcd8c1833a4"/>
                <w:lock w:val="sdtLocked"/>
                <w:richText/>
              </w:sdtPr>
              <w:sdtContent>
                <w:p w14:paraId="0958E478" w14:textId="49F95691">
                  <w:pPr>
                    <w:shd w:val="clear" w:color="auto" w:fill="FFFFFF"/>
                    <w:ind w:firstLine="720"/>
                    <w:jc w:val="both"/>
                    <w:rPr>
                      <w:rFonts w:ascii="Verdana" w:hAnsi="Verdana" w:cs="Arial"/>
                      <w:color w:val="000000"/>
                      <w:sz w:val="20"/>
                      <w:lang w:eastAsia="lt-LT"/>
                    </w:rPr>
                  </w:pPr>
                  <w:sdt>
                    <w:sdtPr>
                      <w:alias w:val="Numeris"/>
                      <w:tag w:val="nr_811111a3c635422d9b195bcd8c1833a4"/>
                      <w:lock w:val="sdtLocked"/>
                      <w:richText/>
                    </w:sdtPr>
                    <w:sdtContent>
                      <w:r>
                        <w:rPr>
                          <w:rFonts w:ascii="Verdana" w:hAnsi="Verdana" w:cs="Arial"/>
                          <w:color w:val="000000"/>
                          <w:sz w:val="20"/>
                          <w:lang w:eastAsia="lt-LT"/>
                        </w:rPr>
                        <w:t>2.1</w:t>
                      </w:r>
                    </w:sdtContent>
                  </w:sdt>
                  <w:r>
                    <w:rPr>
                      <w:rFonts w:ascii="Verdana" w:hAnsi="Verdana" w:cs="Arial"/>
                      <w:color w:val="000000"/>
                      <w:sz w:val="20"/>
                      <w:lang w:eastAsia="lt-LT"/>
                    </w:rPr>
                    <w:t>. Pakeisti 1 punktą ir jį išdėstyti taip:</w:t>
                  </w:r>
                </w:p>
                <w:sdt>
                  <w:sdtPr>
                    <w:alias w:val="citata"/>
                    <w:tag w:val="part_dae0c28ebd504aa5b758ad1652844a6e"/>
                    <w:lock w:val="sdtLocked"/>
                    <w:richText/>
                  </w:sdtPr>
                  <w:sdtContent>
                    <w:sdt>
                      <w:sdtPr>
                        <w:alias w:val="1 p."/>
                        <w:tag w:val="part_dbfec94462aa4d598d491cb764b4e844"/>
                        <w:lock w:val="sdtLocked"/>
                        <w:richText/>
                      </w:sdtPr>
                      <w:sdtContent>
                        <w:p w14:paraId="52F99B7A" w14:textId="4DABF535">
                          <w:pPr>
                            <w:widowControl w:val="0"/>
                            <w:ind w:firstLine="720"/>
                            <w:jc w:val="both"/>
                            <w:rPr>
                              <w:rFonts w:ascii="Verdana" w:hAnsi="Verdana"/>
                              <w:color w:val="000000"/>
                              <w:sz w:val="20"/>
                              <w:shd w:val="clear" w:color="auto" w:fill="FFFFFF"/>
                            </w:rPr>
                          </w:pPr>
                          <w:r>
                            <w:rPr>
                              <w:rFonts w:ascii="Verdana" w:hAnsi="Verdana"/>
                              <w:sz w:val="20"/>
                            </w:rPr>
                            <w:t>„</w:t>
                          </w:r>
                          <w:sdt>
                            <w:sdtPr>
                              <w:alias w:val="Numeris"/>
                              <w:tag w:val="nr_dbfec94462aa4d598d491cb764b4e844"/>
                              <w:lock w:val="sdtLocked"/>
                              <w:richText/>
                            </w:sdtPr>
                            <w:sdtContent>
                              <w:r>
                                <w:rPr>
                                  <w:rFonts w:ascii="Verdana" w:hAnsi="Verdana"/>
                                  <w:sz w:val="20"/>
                                </w:rPr>
                                <w:t>1</w:t>
                              </w:r>
                            </w:sdtContent>
                          </w:sdt>
                          <w:r>
                            <w:rPr>
                              <w:rFonts w:ascii="Verdana" w:hAnsi="Verdana"/>
                              <w:sz w:val="20"/>
                            </w:rPr>
                            <w:t xml:space="preserve">. </w:t>
                          </w:r>
                          <w:r>
                            <w:rPr>
                              <w:rFonts w:ascii="Verdana" w:hAnsi="Verdana" w:cs="Arial"/>
                              <w:color w:val="000000"/>
                              <w:sz w:val="20"/>
                              <w:shd w:val="clear" w:color="auto" w:fill="FFFFFF"/>
                            </w:rPr>
                            <w:t xml:space="preserve">Pranešimo apie Lietuvos banko prižiūrimų finansų rinkos dalyvių kvalifikuotosios įstatinio kapitalo ir (arba) balsavimo teisių dalies įsigijimą ir perleidimą teikimo taisyklėse (toliau – Taisyklės) nustatyti pagrindiniai banko licenciją turinčių įmonių, valdymo įmonių, veikiančių pagal Lietuvos Respublikos kolektyvinio investavimo subjektų įstatymą, finansų maklerio ir finansų patarėjo įmonių, draudimo ir perdraudimo bendrovių, </w:t>
                          </w:r>
                          <w:r>
                            <w:rPr>
                              <w:rFonts w:ascii="Verdana" w:hAnsi="Verdana" w:cs="Arial"/>
                              <w:b/>
                              <w:bCs/>
                              <w:color w:val="000000"/>
                              <w:sz w:val="20"/>
                              <w:shd w:val="clear" w:color="auto" w:fill="FFFFFF"/>
                            </w:rPr>
                            <w:t>kriptoturto paslaugų teikėjų ir su turtu susietų žetonų emitentų</w:t>
                          </w:r>
                          <w:r>
                            <w:rPr>
                              <w:rFonts w:ascii="Verdana" w:hAnsi="Verdana" w:cs="Arial"/>
                              <w:color w:val="000000"/>
                              <w:sz w:val="20"/>
                              <w:shd w:val="clear" w:color="auto" w:fill="FFFFFF"/>
                            </w:rPr>
                            <w:t xml:space="preserve"> (toliau – finansų rinkos dalyviai) kvalifikuotosios įstatinio kapitalo ir (arba) balsavimo teisių dalies įsigijimo ir perleidimo vertinimui atlikti teikiamos informacijos reikalavimai ir jos teikimo tvarka. </w:t>
                          </w:r>
                          <w:r>
                            <w:rPr>
                              <w:rFonts w:ascii="Verdana" w:hAnsi="Verdana"/>
                              <w:color w:val="000000"/>
                              <w:sz w:val="20"/>
                              <w:shd w:val="clear" w:color="auto" w:fill="FFFFFF"/>
                            </w:rPr>
                            <w:t xml:space="preserve">Taisyklių nuostatos mutatis mutandis taikomos įsigyjant ir perleidžiant valdymo įmonių ir investicinių bendrovių-valdytojų, veikiančių pagal Lietuvos Respublikos alternatyviųjų kolektyvinio investavimo subjektų valdytojų įstatymą, valdymo įmonių, veikiančių pagal Lietuvos Respublikos papildomo savanoriško pensijų kaupimo įstatymą, elektroninių pinigų įstaigų, </w:t>
                          </w:r>
                          <w:r>
                            <w:rPr>
                              <w:rFonts w:ascii="Verdana" w:hAnsi="Verdana"/>
                              <w:strike/>
                              <w:color w:val="000000"/>
                              <w:sz w:val="20"/>
                              <w:shd w:val="clear" w:color="auto" w:fill="FFFFFF"/>
                            </w:rPr>
                            <w:t>ir</w:t>
                          </w:r>
                          <w:r>
                            <w:rPr>
                              <w:rFonts w:ascii="Verdana" w:hAnsi="Verdana"/>
                              <w:color w:val="000000"/>
                              <w:sz w:val="20"/>
                              <w:shd w:val="clear" w:color="auto" w:fill="FFFFFF"/>
                            </w:rPr>
                            <w:t xml:space="preserve"> mokėjimo įstaigų </w:t>
                          </w:r>
                          <w:r>
                            <w:rPr>
                              <w:rFonts w:ascii="Verdana" w:hAnsi="Verdana"/>
                              <w:b/>
                              <w:bCs/>
                              <w:color w:val="000000"/>
                              <w:sz w:val="20"/>
                              <w:shd w:val="clear" w:color="auto" w:fill="FFFFFF"/>
                            </w:rPr>
                            <w:t>ir centrinio depozitoriumo</w:t>
                          </w:r>
                          <w:r>
                            <w:rPr>
                              <w:rFonts w:ascii="Verdana" w:hAnsi="Verdana"/>
                              <w:color w:val="000000"/>
                              <w:sz w:val="20"/>
                              <w:shd w:val="clear" w:color="auto" w:fill="FFFFFF"/>
                            </w:rPr>
                            <w:t xml:space="preserve"> kvalifikuotąją įstatinio kapitalo ir (arba) balsavimo teisių dalį.“;</w:t>
                          </w:r>
                        </w:p>
                      </w:sdtContent>
                    </w:sdt>
                  </w:sdtContent>
                </w:sdt>
              </w:sdtContent>
            </w:sdt>
            <w:sdt>
              <w:sdtPr>
                <w:alias w:val="2.2 pp."/>
                <w:tag w:val="part_6569c4de212945adb5e4f226b0d7066e"/>
                <w:lock w:val="sdtLocked"/>
                <w:richText/>
              </w:sdtPr>
              <w:sdtContent>
                <w:p w14:paraId="5E0A72C4" w14:textId="39B1C302">
                  <w:pPr>
                    <w:widowControl w:val="0"/>
                    <w:ind w:firstLine="720"/>
                    <w:jc w:val="both"/>
                    <w:rPr>
                      <w:rFonts w:ascii="Verdana" w:hAnsi="Verdana"/>
                      <w:color w:val="000000"/>
                      <w:sz w:val="20"/>
                      <w:shd w:val="clear" w:color="auto" w:fill="FFFFFF"/>
                    </w:rPr>
                  </w:pPr>
                  <w:sdt>
                    <w:sdtPr>
                      <w:alias w:val="Numeris"/>
                      <w:tag w:val="nr_6569c4de212945adb5e4f226b0d7066e"/>
                      <w:lock w:val="sdtLocked"/>
                      <w:richText/>
                    </w:sdtPr>
                    <w:sdtContent>
                      <w:r>
                        <w:rPr>
                          <w:rFonts w:ascii="Verdana" w:hAnsi="Verdana"/>
                          <w:color w:val="000000"/>
                          <w:sz w:val="20"/>
                          <w:shd w:val="clear" w:color="auto" w:fill="FFFFFF"/>
                        </w:rPr>
                        <w:t>2.2</w:t>
                      </w:r>
                    </w:sdtContent>
                  </w:sdt>
                  <w:r>
                    <w:rPr>
                      <w:rFonts w:ascii="Verdana" w:hAnsi="Verdana"/>
                      <w:color w:val="000000"/>
                      <w:sz w:val="20"/>
                      <w:shd w:val="clear" w:color="auto" w:fill="FFFFFF"/>
                    </w:rPr>
                    <w:t>. Pakeisti 2.4 papunktį ir jį išdėstyti taip:</w:t>
                  </w:r>
                </w:p>
                <w:sdt>
                  <w:sdtPr>
                    <w:alias w:val="citata"/>
                    <w:tag w:val="part_9e93eebd3aff41d29e3d9bc6dafaaaec"/>
                    <w:lock w:val="sdtLocked"/>
                    <w:richText/>
                  </w:sdtPr>
                  <w:sdtContent>
                    <w:sdt>
                      <w:sdtPr>
                        <w:alias w:val="2.4 pp."/>
                        <w:tag w:val="part_4cc5bbdc5a564c669e47cf4104973aa4"/>
                        <w:lock w:val="sdtLocked"/>
                        <w:richText/>
                      </w:sdtPr>
                      <w:sdtContent>
                        <w:p w14:paraId="2DD366B0" w14:textId="77777777">
                          <w:pPr>
                            <w:widowControl w:val="0"/>
                            <w:ind w:firstLine="720"/>
                            <w:jc w:val="both"/>
                            <w:rPr>
                              <w:rFonts w:ascii="Verdana" w:hAnsi="Verdana"/>
                              <w:color w:val="000000"/>
                              <w:sz w:val="20"/>
                              <w:shd w:val="clear" w:color="auto" w:fill="FFFFFF"/>
                            </w:rPr>
                          </w:pPr>
                          <w:r>
                            <w:rPr>
                              <w:rFonts w:ascii="Verdana" w:hAnsi="Verdana"/>
                              <w:color w:val="000000"/>
                              <w:sz w:val="20"/>
                              <w:shd w:val="clear" w:color="auto" w:fill="FFFFFF"/>
                            </w:rPr>
                            <w:t>„</w:t>
                          </w:r>
                          <w:sdt>
                            <w:sdtPr>
                              <w:alias w:val="Numeris"/>
                              <w:tag w:val="nr_4cc5bbdc5a564c669e47cf4104973aa4"/>
                              <w:lock w:val="sdtLocked"/>
                              <w:richText/>
                            </w:sdtPr>
                            <w:sdtContent>
                              <w:r>
                                <w:rPr>
                                  <w:rFonts w:ascii="Verdana" w:hAnsi="Verdana"/>
                                  <w:color w:val="000000"/>
                                  <w:sz w:val="20"/>
                                  <w:shd w:val="clear" w:color="auto" w:fill="FFFFFF"/>
                                </w:rPr>
                                <w:t>2.4</w:t>
                              </w:r>
                            </w:sdtContent>
                          </w:sdt>
                          <w:r>
                            <w:rPr>
                              <w:rFonts w:ascii="Verdana" w:hAnsi="Verdana"/>
                              <w:color w:val="000000"/>
                              <w:sz w:val="20"/>
                              <w:shd w:val="clear" w:color="auto" w:fill="FFFFFF"/>
                            </w:rPr>
                            <w:t>. kitos Taisyklėse vartojamos sąvokos suprantamos taip, kaip jos apibrėžtos Lietuvos Respublikos bankų įstatyme, Lietuvos Respublikos draudimo įstatyme, Lietuvos Respublikos finansinių priemonių rinkų įstatyme, Lietuvos Respublikos kolektyvinio investavimo subjektų įstatyme, Lietuvos Respublikos alternatyviųjų kolektyvinio investavimo subjektų valdytojų įstatyme, Lietuvos Respublikos papildomo savanoriško pensijų kaupimo įstatyme, Lietuvos Respublikos mokėjimo įstaigų įstatyme, Lietuvos Respublikos elektroninių pinigų ir elektroninių pinigų įstaigų įstatyme</w:t>
                          </w:r>
                          <w:r>
                            <w:rPr>
                              <w:rFonts w:ascii="Verdana" w:hAnsi="Verdana"/>
                              <w:b/>
                              <w:bCs/>
                              <w:color w:val="000000"/>
                              <w:sz w:val="20"/>
                              <w:shd w:val="clear" w:color="auto" w:fill="FFFFFF"/>
                            </w:rPr>
                            <w:t>, Lietuvos Respublikos kriptoturto rinkų įstatyme</w:t>
                          </w:r>
                          <w:r>
                            <w:rPr>
                              <w:rFonts w:ascii="Verdana" w:hAnsi="Verdana"/>
                              <w:color w:val="000000"/>
                              <w:sz w:val="20"/>
                              <w:shd w:val="clear" w:color="auto" w:fill="FFFFFF"/>
                            </w:rPr>
                            <w:t xml:space="preserve"> ir Lietuvos Respublikos finansų įstaigų įstatyme.“;</w:t>
                          </w:r>
                        </w:p>
                      </w:sdtContent>
                    </w:sdt>
                  </w:sdtContent>
                </w:sdt>
              </w:sdtContent>
            </w:sdt>
            <w:sdt>
              <w:sdtPr>
                <w:alias w:val="2.3 pp."/>
                <w:tag w:val="part_3c924e85c6024887ae3b04427b6eece4"/>
                <w:lock w:val="sdtLocked"/>
                <w:richText/>
              </w:sdtPr>
              <w:sdtContent>
                <w:p w14:paraId="732B3F8F" w14:textId="33E330C9">
                  <w:pPr>
                    <w:widowControl w:val="0"/>
                    <w:ind w:firstLine="720"/>
                    <w:jc w:val="both"/>
                    <w:rPr>
                      <w:rFonts w:ascii="Verdana" w:hAnsi="Verdana"/>
                      <w:sz w:val="20"/>
                    </w:rPr>
                  </w:pPr>
                  <w:sdt>
                    <w:sdtPr>
                      <w:alias w:val="Numeris"/>
                      <w:tag w:val="nr_3c924e85c6024887ae3b04427b6eece4"/>
                      <w:lock w:val="sdtLocked"/>
                      <w:richText/>
                    </w:sdtPr>
                    <w:sdtContent>
                      <w:r>
                        <w:rPr>
                          <w:rFonts w:ascii="Verdana" w:hAnsi="Verdana"/>
                          <w:sz w:val="20"/>
                        </w:rPr>
                        <w:t>2.3</w:t>
                      </w:r>
                    </w:sdtContent>
                  </w:sdt>
                  <w:r>
                    <w:rPr>
                      <w:rFonts w:ascii="Verdana" w:hAnsi="Verdana"/>
                      <w:sz w:val="20"/>
                    </w:rPr>
                    <w:t>. Pakeisti 3 punktą ir jį išdėstyti taip:</w:t>
                  </w:r>
                </w:p>
                <w:sdt>
                  <w:sdtPr>
                    <w:alias w:val="citata"/>
                    <w:tag w:val="part_34e4f30027b24879b511435f942a765f"/>
                    <w:lock w:val="sdtLocked"/>
                    <w:richText/>
                  </w:sdtPr>
                  <w:sdtContent>
                    <w:sdt>
                      <w:sdtPr>
                        <w:alias w:val="3 p."/>
                        <w:tag w:val="part_28b3206c6fcb4447a5f38fef8cc56f5b"/>
                        <w:lock w:val="sdtLocked"/>
                        <w:richText/>
                      </w:sdtPr>
                      <w:sdtContent>
                        <w:p w14:paraId="09572ABB" w14:textId="654D9007">
                          <w:pPr>
                            <w:widowControl w:val="0"/>
                            <w:ind w:firstLine="720"/>
                            <w:jc w:val="both"/>
                            <w:rPr>
                              <w:rFonts w:ascii="Verdana" w:hAnsi="Verdana"/>
                              <w:sz w:val="20"/>
                            </w:rPr>
                          </w:pPr>
                          <w:r>
                            <w:rPr>
                              <w:rFonts w:ascii="Verdana" w:hAnsi="Verdana"/>
                              <w:sz w:val="20"/>
                            </w:rPr>
                            <w:t>„</w:t>
                          </w:r>
                          <w:sdt>
                            <w:sdtPr>
                              <w:alias w:val="Numeris"/>
                              <w:tag w:val="nr_28b3206c6fcb4447a5f38fef8cc56f5b"/>
                              <w:lock w:val="sdtLocked"/>
                              <w:richText/>
                            </w:sdtPr>
                            <w:sdtContent>
                              <w:r>
                                <w:rPr>
                                  <w:rFonts w:ascii="Verdana" w:hAnsi="Verdana"/>
                                  <w:sz w:val="20"/>
                                </w:rPr>
                                <w:t>3</w:t>
                              </w:r>
                            </w:sdtContent>
                          </w:sdt>
                          <w:r>
                            <w:rPr>
                              <w:rFonts w:ascii="Verdana" w:hAnsi="Verdana"/>
                              <w:sz w:val="20"/>
                            </w:rPr>
                            <w:t xml:space="preserve">. </w:t>
                          </w:r>
                          <w:r>
                            <w:rPr>
                              <w:rFonts w:ascii="Verdana" w:hAnsi="Verdana" w:cs="Arial"/>
                              <w:color w:val="000000"/>
                              <w:sz w:val="20"/>
                              <w:shd w:val="clear" w:color="auto" w:fill="FFFFFF"/>
                            </w:rPr>
                            <w:t xml:space="preserve">Taisyklės parengtos atsižvelgiant į Europos bankininkystės institucijos, Europos draudimo ir profesinių pensijų institucijos ir Europos vertybinių popierių ir rinkų institucijos patvirtintas Bendras gaires dėl riziką ribojančio vertinimo, taikomo įsigyjant ir didinant akcijų paketą finansų sektoriuje (angl. </w:t>
                          </w:r>
                          <w:r>
                            <w:rPr>
                              <w:rFonts w:ascii="Verdana" w:hAnsi="Verdana" w:cs="Arial"/>
                              <w:i/>
                              <w:iCs/>
                              <w:color w:val="000000"/>
                              <w:sz w:val="20"/>
                              <w:shd w:val="clear" w:color="auto" w:fill="FFFFFF"/>
                            </w:rPr>
                            <w:t>Joint</w:t>
                          </w:r>
                          <w:r>
                            <w:rPr>
                              <w:rFonts w:ascii="Verdana" w:hAnsi="Verdana" w:cs="Arial"/>
                              <w:color w:val="000000"/>
                              <w:sz w:val="20"/>
                              <w:shd w:val="clear" w:color="auto" w:fill="FFFFFF"/>
                            </w:rPr>
                            <w:t xml:space="preserve"> </w:t>
                          </w:r>
                          <w:r>
                            <w:rPr>
                              <w:rFonts w:ascii="Verdana" w:hAnsi="Verdana" w:cs="Arial"/>
                              <w:i/>
                              <w:iCs/>
                              <w:color w:val="000000"/>
                              <w:sz w:val="20"/>
                              <w:shd w:val="clear" w:color="auto" w:fill="FFFFFF"/>
                            </w:rPr>
                            <w:t>Guidelines for the prudential assessment of acquisitions and increases of qualifying holdings in the financial sector</w:t>
                          </w:r>
                          <w:r>
                            <w:rPr>
                              <w:rFonts w:ascii="Verdana" w:hAnsi="Verdana" w:cs="Arial"/>
                              <w:color w:val="000000"/>
                              <w:sz w:val="20"/>
                              <w:shd w:val="clear" w:color="auto" w:fill="FFFFFF"/>
                            </w:rPr>
                            <w:t>)</w:t>
                          </w:r>
                          <w:r>
                            <w:rPr>
                              <w:rFonts w:ascii="TimesLT" w:hAnsi="TimesLT"/>
                            </w:rPr>
                            <w:t xml:space="preserve"> </w:t>
                          </w:r>
                          <w:r>
                            <w:rPr>
                              <w:rFonts w:ascii="TimesLT" w:hAnsi="TimesLT"/>
                              <w:b/>
                              <w:bCs/>
                            </w:rPr>
                            <w:t>(</w:t>
                          </w:r>
                          <w:r>
                            <w:rPr>
                              <w:rFonts w:ascii="Verdana" w:hAnsi="Verdana" w:cs="Arial"/>
                              <w:b/>
                              <w:bCs/>
                              <w:color w:val="000000"/>
                              <w:sz w:val="20"/>
                              <w:shd w:val="clear" w:color="auto" w:fill="FFFFFF"/>
                            </w:rPr>
                            <w:t>JC/GL/2016/01)</w:t>
                          </w:r>
                          <w:r>
                            <w:rPr>
                              <w:rFonts w:ascii="Verdana" w:hAnsi="Verdana" w:cs="Arial"/>
                              <w:color w:val="000000"/>
                              <w:sz w:val="20"/>
                              <w:shd w:val="clear" w:color="auto" w:fill="FFFFFF"/>
                            </w:rPr>
                            <w:t xml:space="preserve">, </w:t>
                          </w:r>
                          <w:r>
                            <w:rPr>
                              <w:rFonts w:ascii="Verdana" w:hAnsi="Verdana" w:cs="Arial"/>
                              <w:b/>
                              <w:bCs/>
                              <w:color w:val="000000"/>
                              <w:sz w:val="20"/>
                              <w:shd w:val="clear" w:color="auto" w:fill="FFFFFF"/>
                            </w:rPr>
                            <w:t>Europos bankininkystės institucijos ir Europos vertybinių popierių ir rinkų institucijos</w:t>
                          </w:r>
                          <w:r>
                            <w:rPr>
                              <w:rFonts w:ascii="Verdana" w:hAnsi="Verdana" w:cs="Arial"/>
                              <w:color w:val="000000"/>
                              <w:sz w:val="20"/>
                              <w:shd w:val="clear" w:color="auto" w:fill="FFFFFF"/>
                            </w:rPr>
                            <w:t xml:space="preserve"> </w:t>
                          </w:r>
                          <w:r>
                            <w:rPr>
                              <w:rFonts w:ascii="Verdana" w:hAnsi="Verdana" w:cs="Arial"/>
                              <w:b/>
                              <w:bCs/>
                              <w:color w:val="000000"/>
                              <w:sz w:val="20"/>
                              <w:shd w:val="clear" w:color="auto" w:fill="FFFFFF"/>
                            </w:rPr>
                            <w:t xml:space="preserve">Bendras </w:t>
                          </w:r>
                          <w:r>
                            <w:rPr>
                              <w:rFonts w:ascii="Verdana" w:hAnsi="Verdana"/>
                              <w:b/>
                              <w:bCs/>
                              <w:sz w:val="20"/>
                            </w:rPr>
                            <w:t xml:space="preserve">gaires dėl akcininkų ir narių, nesvarbu, tiesioginių ar netiesioginių, turinčių su turtu susietų žetonų emitentų ir kriptoturto paslaugų teikėjų kvalifikuotąjį akcijų paketą, tinkamumo vertinimo (angl. </w:t>
                          </w:r>
                          <w:r>
                            <w:rPr>
                              <w:rFonts w:ascii="Verdana" w:hAnsi="Verdana"/>
                              <w:b/>
                              <w:bCs/>
                              <w:i/>
                              <w:iCs/>
                              <w:sz w:val="20"/>
                            </w:rPr>
                            <w:t>Joint Guidelines on the assessment of the suitability of the shareholders or members, whether direct or indirect, with qualifying holdings in issuers of ARTs or of CASPs</w:t>
                          </w:r>
                          <w:r>
                            <w:rPr>
                              <w:rFonts w:ascii="Verdana" w:hAnsi="Verdana"/>
                              <w:b/>
                              <w:bCs/>
                              <w:sz w:val="20"/>
                            </w:rPr>
                            <w:t>) (EBA/GL/2024/09, ESMA75-453128700-10),</w:t>
                          </w:r>
                          <w:r>
                            <w:rPr>
                              <w:rFonts w:ascii="Verdana" w:hAnsi="Verdana"/>
                              <w:sz w:val="20"/>
                            </w:rPr>
                            <w:t xml:space="preserve"> </w:t>
                          </w:r>
                          <w:r>
                            <w:rPr>
                              <w:rFonts w:ascii="Verdana" w:hAnsi="Verdana" w:cs="Arial"/>
                              <w:color w:val="000000"/>
                              <w:sz w:val="20"/>
                              <w:shd w:val="clear" w:color="auto" w:fill="FFFFFF"/>
                            </w:rPr>
                            <w:t>taip pat į nurodytų institucijų ir Europos Centrinio Banko formuojamą praktiką.“;</w:t>
                          </w:r>
                        </w:p>
                      </w:sdtContent>
                    </w:sdt>
                  </w:sdtContent>
                </w:sdt>
              </w:sdtContent>
            </w:sdt>
            <w:sdt>
              <w:sdtPr>
                <w:alias w:val="2.4 pp."/>
                <w:tag w:val="part_72e95848b0284b1bb215c8ea947ff4e8"/>
                <w:lock w:val="sdtLocked"/>
                <w:richText/>
              </w:sdtPr>
              <w:sdtContent>
                <w:p w14:paraId="5D3245B0" w14:textId="6EBFE672">
                  <w:pPr>
                    <w:widowControl w:val="0"/>
                    <w:ind w:firstLine="720"/>
                    <w:jc w:val="both"/>
                    <w:rPr>
                      <w:rFonts w:ascii="Verdana" w:hAnsi="Verdana"/>
                      <w:sz w:val="20"/>
                    </w:rPr>
                  </w:pPr>
                  <w:sdt>
                    <w:sdtPr>
                      <w:alias w:val="Numeris"/>
                      <w:tag w:val="nr_72e95848b0284b1bb215c8ea947ff4e8"/>
                      <w:lock w:val="sdtLocked"/>
                      <w:richText/>
                    </w:sdtPr>
                    <w:sdtContent>
                      <w:r>
                        <w:rPr>
                          <w:rFonts w:ascii="Verdana" w:hAnsi="Verdana"/>
                          <w:sz w:val="20"/>
                        </w:rPr>
                        <w:t>2.4</w:t>
                      </w:r>
                    </w:sdtContent>
                  </w:sdt>
                  <w:r>
                    <w:rPr>
                      <w:rFonts w:ascii="Verdana" w:hAnsi="Verdana"/>
                      <w:sz w:val="20"/>
                    </w:rPr>
                    <w:t>. Pakeisti 1 priedo I dalies A skiltį ir ją išdėstyti taip:</w:t>
                  </w:r>
                </w:p>
                <w:sdt>
                  <w:sdtPr>
                    <w:alias w:val="citata"/>
                    <w:tag w:val="part_d781a19c84f04ab3b3c1177ebd4dedca"/>
                    <w:lock w:val="sdtLocked"/>
                    <w:richText/>
                  </w:sdtPr>
                  <w:sdtContent>
                    <w:sdt>
                      <w:sdtPr>
                        <w:alias w:val="skirsnis"/>
                        <w:tag w:val="part_db1ca0c96678465aaf56c27274c0d09d"/>
                        <w:lock w:val="sdtLocked"/>
                        <w:richText/>
                      </w:sdtPr>
                      <w:sdtContent>
                        <w:p w14:paraId="74043A3E" w14:textId="15C04DAB">
                          <w:pPr>
                            <w:widowControl w:val="0"/>
                            <w:jc w:val="both"/>
                            <w:rPr>
                              <w:rFonts w:ascii="Verdana" w:eastAsia="Calibri" w:hAnsi="Verdana"/>
                              <w:b/>
                              <w:sz w:val="20"/>
                            </w:rPr>
                          </w:pPr>
                          <w:r>
                            <w:rPr>
                              <w:rFonts w:ascii="Verdana" w:hAnsi="Verdana"/>
                              <w:color w:val="000000"/>
                              <w:sz w:val="20"/>
                            </w:rPr>
                            <w:t>„</w:t>
                          </w:r>
                          <w:sdt>
                            <w:sdtPr>
                              <w:alias w:val="Pavadinimas"/>
                              <w:tag w:val="title_db1ca0c96678465aaf56c27274c0d09d"/>
                              <w:lock w:val="sdtLocked"/>
                              <w:richText/>
                            </w:sdtPr>
                            <w:sdtContent>
                              <w:r>
                                <w:rPr>
                                  <w:rFonts w:ascii="Verdana" w:eastAsia="Calibri" w:hAnsi="Verdana"/>
                                  <w:b/>
                                  <w:sz w:val="20"/>
                                </w:rPr>
                                <w:t>A. Asmens tapatybės duomenys</w:t>
                              </w:r>
                            </w:sdtContent>
                          </w:sdt>
                        </w:p>
                        <w:p w14:paraId="613B51A2"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90"/>
                            <w:gridCol w:w="5347"/>
                          </w:tblGrid>
                          <w:tr w14:paraId="76A9A623" w14:textId="77777777">
                            <w:trPr>
                              <w:trHeight w:val="420"/>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3BB7B075" w14:textId="77777777">
                                <w:pPr>
                                  <w:rPr>
                                    <w:rFonts w:ascii="Verdana" w:eastAsia="Calibri" w:hAnsi="Verdana"/>
                                    <w:sz w:val="20"/>
                                  </w:rPr>
                                </w:pPr>
                                <w:r>
                                  <w:rPr>
                                    <w:rFonts w:ascii="Verdana" w:eastAsia="Calibri" w:hAnsi="Verdana"/>
                                    <w:sz w:val="20"/>
                                  </w:rPr>
                                  <w:t>Vardas ir pavardė</w:t>
                                </w:r>
                              </w:p>
                            </w:tc>
                            <w:tc>
                              <w:tcPr>
                                <w:tcW w:w="5528" w:type="dxa"/>
                                <w:tcBorders>
                                  <w:top w:val="single" w:sz="4" w:space="0" w:color="auto"/>
                                  <w:left w:val="single" w:sz="4" w:space="0" w:color="auto"/>
                                  <w:bottom w:val="single" w:sz="4" w:space="0" w:color="auto"/>
                                  <w:right w:val="single" w:sz="4" w:space="0" w:color="auto"/>
                                </w:tcBorders>
                              </w:tcPr>
                              <w:p w14:paraId="10F954F8" w14:textId="77777777">
                                <w:pPr>
                                  <w:rPr>
                                    <w:rFonts w:ascii="Verdana" w:eastAsia="Calibri" w:hAnsi="Verdana"/>
                                    <w:sz w:val="20"/>
                                  </w:rPr>
                                </w:pPr>
                              </w:p>
                              <w:p w14:paraId="483D671D" w14:textId="77777777">
                                <w:pPr>
                                  <w:rPr>
                                    <w:rFonts w:ascii="Verdana" w:eastAsia="Calibri" w:hAnsi="Verdana"/>
                                    <w:sz w:val="20"/>
                                  </w:rPr>
                                </w:pPr>
                              </w:p>
                            </w:tc>
                          </w:tr>
                          <w:tr w14:paraId="10E8424A" w14:textId="77777777">
                            <w:trPr>
                              <w:trHeight w:val="420"/>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65578E6A" w14:textId="77777777">
                                <w:pPr>
                                  <w:rPr>
                                    <w:rFonts w:ascii="Verdana" w:eastAsia="Calibri" w:hAnsi="Verdana"/>
                                    <w:sz w:val="20"/>
                                  </w:rPr>
                                </w:pPr>
                                <w:r>
                                  <w:rPr>
                                    <w:rFonts w:ascii="Verdana" w:eastAsia="Calibri" w:hAnsi="Verdana"/>
                                    <w:sz w:val="20"/>
                                  </w:rPr>
                                  <w:t>Anksčiau turėta pavardė (jei keitėsi)</w:t>
                                </w:r>
                              </w:p>
                            </w:tc>
                            <w:tc>
                              <w:tcPr>
                                <w:tcW w:w="5528" w:type="dxa"/>
                                <w:tcBorders>
                                  <w:top w:val="single" w:sz="4" w:space="0" w:color="auto"/>
                                  <w:left w:val="single" w:sz="4" w:space="0" w:color="auto"/>
                                  <w:bottom w:val="single" w:sz="4" w:space="0" w:color="auto"/>
                                  <w:right w:val="single" w:sz="4" w:space="0" w:color="auto"/>
                                </w:tcBorders>
                              </w:tcPr>
                              <w:p w14:paraId="6AFF6287" w14:textId="77777777">
                                <w:pPr>
                                  <w:rPr>
                                    <w:rFonts w:ascii="Verdana" w:eastAsia="Calibri" w:hAnsi="Verdana"/>
                                    <w:sz w:val="20"/>
                                  </w:rPr>
                                </w:pPr>
                              </w:p>
                              <w:p w14:paraId="6273D611" w14:textId="77777777">
                                <w:pPr>
                                  <w:rPr>
                                    <w:rFonts w:ascii="Verdana" w:eastAsia="Calibri" w:hAnsi="Verdana"/>
                                    <w:sz w:val="20"/>
                                  </w:rPr>
                                </w:pPr>
                              </w:p>
                            </w:tc>
                          </w:tr>
                          <w:tr w14:paraId="1A93A199" w14:textId="77777777">
                            <w:trPr>
                              <w:trHeight w:val="796"/>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3943CAE1" w14:textId="77777777">
                                <w:pPr>
                                  <w:rPr>
                                    <w:rFonts w:ascii="Verdana" w:eastAsia="Calibri" w:hAnsi="Verdana"/>
                                    <w:sz w:val="20"/>
                                  </w:rPr>
                                </w:pPr>
                                <w:r>
                                  <w:rPr>
                                    <w:rFonts w:ascii="Verdana" w:eastAsia="Calibri" w:hAnsi="Verdana"/>
                                    <w:sz w:val="20"/>
                                  </w:rPr>
                                  <w:t>Asmens kodas (jeigu turite)</w:t>
                                </w:r>
                              </w:p>
                            </w:tc>
                            <w:tc>
                              <w:tcPr>
                                <w:tcW w:w="5528" w:type="dxa"/>
                                <w:tcBorders>
                                  <w:top w:val="single" w:sz="4" w:space="0" w:color="auto"/>
                                  <w:left w:val="single" w:sz="4" w:space="0" w:color="auto"/>
                                  <w:bottom w:val="single" w:sz="4" w:space="0" w:color="auto"/>
                                  <w:right w:val="single" w:sz="4" w:space="0" w:color="auto"/>
                                </w:tcBorders>
                              </w:tcPr>
                              <w:p w14:paraId="78CAE3D7" w14:textId="77777777">
                                <w:pPr>
                                  <w:rPr>
                                    <w:rFonts w:ascii="Verdana" w:eastAsia="Calibri" w:hAnsi="Verdana"/>
                                    <w:sz w:val="20"/>
                                  </w:rPr>
                                </w:pPr>
                              </w:p>
                            </w:tc>
                          </w:tr>
                          <w:tr w14:paraId="7AD542AA" w14:textId="77777777">
                            <w:trPr>
                              <w:trHeight w:val="465"/>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2CAB330A" w14:textId="77777777">
                                <w:pPr>
                                  <w:rPr>
                                    <w:rFonts w:ascii="Verdana" w:eastAsia="Calibri" w:hAnsi="Verdana"/>
                                    <w:sz w:val="20"/>
                                  </w:rPr>
                                </w:pPr>
                                <w:r>
                                  <w:rPr>
                                    <w:rFonts w:ascii="Verdana" w:eastAsia="Calibri" w:hAnsi="Verdana"/>
                                    <w:sz w:val="20"/>
                                  </w:rPr>
                                  <w:t>Gimimo vieta ir data (pildoma, jeigu asmuo neturi asmens kodo)</w:t>
                                </w:r>
                              </w:p>
                            </w:tc>
                            <w:tc>
                              <w:tcPr>
                                <w:tcW w:w="5528" w:type="dxa"/>
                                <w:tcBorders>
                                  <w:top w:val="single" w:sz="4" w:space="0" w:color="auto"/>
                                  <w:left w:val="single" w:sz="4" w:space="0" w:color="auto"/>
                                  <w:bottom w:val="single" w:sz="4" w:space="0" w:color="auto"/>
                                  <w:right w:val="single" w:sz="4" w:space="0" w:color="auto"/>
                                </w:tcBorders>
                              </w:tcPr>
                              <w:p w14:paraId="3ED1D2E9" w14:textId="77777777">
                                <w:pPr>
                                  <w:rPr>
                                    <w:rFonts w:ascii="Verdana" w:eastAsia="Calibri" w:hAnsi="Verdana"/>
                                    <w:sz w:val="20"/>
                                  </w:rPr>
                                </w:pPr>
                              </w:p>
                              <w:p w14:paraId="12950B0A" w14:textId="77777777">
                                <w:pPr>
                                  <w:rPr>
                                    <w:rFonts w:ascii="Verdana" w:eastAsia="Calibri" w:hAnsi="Verdana"/>
                                    <w:sz w:val="20"/>
                                  </w:rPr>
                                </w:pPr>
                              </w:p>
                            </w:tc>
                          </w:tr>
                          <w:tr w14:paraId="417532D4" w14:textId="77777777">
                            <w:trPr>
                              <w:trHeight w:val="691"/>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626B7143" w14:textId="77777777">
                                <w:pPr>
                                  <w:rPr>
                                    <w:rFonts w:ascii="Verdana" w:eastAsia="Calibri" w:hAnsi="Verdana"/>
                                    <w:sz w:val="20"/>
                                  </w:rPr>
                                </w:pPr>
                                <w:r>
                                  <w:rPr>
                                    <w:rFonts w:ascii="Verdana" w:eastAsia="Calibri" w:hAnsi="Verdana"/>
                                    <w:sz w:val="20"/>
                                  </w:rPr>
                                  <w:t>Pilietybė (pilietybės)</w:t>
                                </w:r>
                              </w:p>
                            </w:tc>
                            <w:tc>
                              <w:tcPr>
                                <w:tcW w:w="5528" w:type="dxa"/>
                                <w:tcBorders>
                                  <w:top w:val="single" w:sz="4" w:space="0" w:color="auto"/>
                                  <w:left w:val="single" w:sz="4" w:space="0" w:color="auto"/>
                                  <w:bottom w:val="single" w:sz="4" w:space="0" w:color="auto"/>
                                  <w:right w:val="single" w:sz="4" w:space="0" w:color="auto"/>
                                </w:tcBorders>
                              </w:tcPr>
                              <w:p w14:paraId="4EE4FAC5" w14:textId="77777777">
                                <w:pPr>
                                  <w:rPr>
                                    <w:rFonts w:ascii="Verdana" w:eastAsia="Calibri" w:hAnsi="Verdana"/>
                                    <w:sz w:val="20"/>
                                  </w:rPr>
                                </w:pPr>
                              </w:p>
                            </w:tc>
                          </w:tr>
                          <w:tr w14:paraId="0372667D" w14:textId="77777777">
                            <w:trPr>
                              <w:trHeight w:val="735"/>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482BD1FF" w14:textId="77777777">
                                <w:pPr>
                                  <w:rPr>
                                    <w:rFonts w:ascii="Verdana" w:eastAsia="Calibri" w:hAnsi="Verdana"/>
                                    <w:sz w:val="20"/>
                                  </w:rPr>
                                </w:pPr>
                                <w:r>
                                  <w:rPr>
                                    <w:rFonts w:ascii="Verdana" w:eastAsia="Calibri" w:hAnsi="Verdana"/>
                                    <w:sz w:val="20"/>
                                  </w:rPr>
                                  <w:t>Anksčiau turėta pilietybė (pilietybės), jeigu keitėsi</w:t>
                                </w:r>
                              </w:p>
                            </w:tc>
                            <w:tc>
                              <w:tcPr>
                                <w:tcW w:w="5528" w:type="dxa"/>
                                <w:tcBorders>
                                  <w:top w:val="single" w:sz="4" w:space="0" w:color="auto"/>
                                  <w:left w:val="single" w:sz="4" w:space="0" w:color="auto"/>
                                  <w:bottom w:val="single" w:sz="4" w:space="0" w:color="auto"/>
                                  <w:right w:val="single" w:sz="4" w:space="0" w:color="auto"/>
                                </w:tcBorders>
                              </w:tcPr>
                              <w:p w14:paraId="5423FB74" w14:textId="77777777">
                                <w:pPr>
                                  <w:rPr>
                                    <w:rFonts w:ascii="Verdana" w:eastAsia="Calibri" w:hAnsi="Verdana"/>
                                    <w:sz w:val="20"/>
                                  </w:rPr>
                                </w:pPr>
                              </w:p>
                            </w:tc>
                          </w:tr>
                        </w:tbl>
                        <w:p w14:paraId="56D2789D" w14:textId="77777777">
                          <w:pPr>
                            <w:rPr>
                              <w:rFonts w:ascii="Verdana" w:hAnsi="Verdana"/>
                              <w:sz w:val="20"/>
                            </w:rPr>
                          </w:pPr>
                        </w:p>
                        <w:p w14:paraId="636A0982" w14:textId="77777777">
                          <w:pPr>
                            <w:jc w:val="both"/>
                            <w:rPr>
                              <w:rFonts w:ascii="Verdana" w:eastAsia="Calibri" w:hAnsi="Verdana"/>
                              <w:sz w:val="20"/>
                            </w:rPr>
                          </w:pPr>
                          <w:r>
                            <w:rPr>
                              <w:rFonts w:ascii="Verdana" w:eastAsia="Calibri" w:hAnsi="Verdana"/>
                              <w:sz w:val="20"/>
                            </w:rPr>
                            <w:t>Pateikite asmens tapatybės dokumento kopiją.</w:t>
                          </w:r>
                        </w:p>
                        <w:p w14:paraId="75FB9E55" w14:textId="77777777">
                          <w:pPr>
                            <w:rPr>
                              <w:rFonts w:ascii="Verdana" w:hAnsi="Verdana"/>
                              <w:sz w:val="20"/>
                            </w:rPr>
                          </w:pPr>
                        </w:p>
                      </w:sdtContent>
                    </w:sdt>
                    <w:sdt>
                      <w:sdtPr>
                        <w:alias w:val="skirsnis"/>
                        <w:tag w:val="part_44aa73d63c1846c094b68fea0371c34d"/>
                        <w:lock w:val="sdtLocked"/>
                        <w:richText/>
                      </w:sdtPr>
                      <w:sdtContent>
                        <w:p w14:paraId="50F6287A" w14:textId="77777777">
                          <w:pPr>
                            <w:rPr>
                              <w:rFonts w:ascii="Verdana" w:eastAsia="Calibri" w:hAnsi="Verdana"/>
                              <w:b/>
                              <w:sz w:val="20"/>
                            </w:rPr>
                          </w:pPr>
                          <w:sdt>
                            <w:sdtPr>
                              <w:alias w:val="Pavadinimas"/>
                              <w:tag w:val="title_44aa73d63c1846c094b68fea0371c34d"/>
                              <w:lock w:val="sdtLocked"/>
                              <w:richText/>
                            </w:sdtPr>
                            <w:sdtContent>
                              <w:r>
                                <w:rPr>
                                  <w:rFonts w:ascii="Verdana" w:eastAsia="Calibri" w:hAnsi="Verdana"/>
                                  <w:b/>
                                  <w:sz w:val="20"/>
                                </w:rPr>
                                <w:t>Adresas</w:t>
                              </w:r>
                            </w:sdtContent>
                          </w:sdt>
                        </w:p>
                        <w:p w14:paraId="0E7BA511"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3"/>
                            <w:gridCol w:w="5354"/>
                          </w:tblGrid>
                          <w:tr w14:paraId="070D489E" w14:textId="77777777">
                            <w:tc>
                              <w:tcPr>
                                <w:tcW w:w="4283" w:type="dxa"/>
                                <w:tcBorders>
                                  <w:top w:val="single" w:sz="4" w:space="0" w:color="auto"/>
                                  <w:left w:val="single" w:sz="4" w:space="0" w:color="auto"/>
                                  <w:bottom w:val="single" w:sz="4" w:space="0" w:color="auto"/>
                                  <w:right w:val="single" w:sz="4" w:space="0" w:color="auto"/>
                                </w:tcBorders>
                                <w:shd w:val="clear" w:color="auto" w:fill="D9D9D9"/>
                              </w:tcPr>
                              <w:p w14:paraId="3878415C" w14:textId="77777777">
                                <w:pPr>
                                  <w:rPr>
                                    <w:rFonts w:ascii="Verdana" w:eastAsia="Calibri" w:hAnsi="Verdana"/>
                                    <w:sz w:val="20"/>
                                  </w:rPr>
                                </w:pPr>
                                <w:r>
                                  <w:rPr>
                                    <w:rFonts w:ascii="Verdana" w:eastAsia="Calibri" w:hAnsi="Verdana"/>
                                    <w:sz w:val="20"/>
                                  </w:rPr>
                                  <w:t xml:space="preserve">Nuolatinės gyvenamosios vietos adresas </w:t>
                                </w:r>
                              </w:p>
                            </w:tc>
                            <w:tc>
                              <w:tcPr>
                                <w:tcW w:w="5354" w:type="dxa"/>
                                <w:tcBorders>
                                  <w:top w:val="single" w:sz="4" w:space="0" w:color="auto"/>
                                  <w:left w:val="single" w:sz="4" w:space="0" w:color="auto"/>
                                  <w:bottom w:val="single" w:sz="4" w:space="0" w:color="auto"/>
                                  <w:right w:val="single" w:sz="4" w:space="0" w:color="auto"/>
                                </w:tcBorders>
                              </w:tcPr>
                              <w:p w14:paraId="78704B7F" w14:textId="77777777">
                                <w:pPr>
                                  <w:rPr>
                                    <w:rFonts w:ascii="Verdana" w:eastAsia="Calibri" w:hAnsi="Verdana"/>
                                    <w:sz w:val="20"/>
                                  </w:rPr>
                                </w:pPr>
                              </w:p>
                            </w:tc>
                          </w:tr>
                        </w:tbl>
                        <w:p w14:paraId="23A78415" w14:textId="77777777">
                          <w:pPr>
                            <w:rPr>
                              <w:rFonts w:ascii="Verdana" w:eastAsia="Calibri" w:hAnsi="Verdana"/>
                              <w:bCs/>
                              <w:sz w:val="20"/>
                            </w:rPr>
                          </w:pPr>
                        </w:p>
                      </w:sdtContent>
                    </w:sdt>
                    <w:sdt>
                      <w:sdtPr>
                        <w:alias w:val="skirsnis"/>
                        <w:tag w:val="part_649ea8a663374f439d03caea1e578ea5"/>
                        <w:lock w:val="sdtLocked"/>
                        <w:richText/>
                      </w:sdtPr>
                      <w:sdtContent>
                        <w:p w14:paraId="0D642921" w14:textId="074DB944">
                          <w:pPr>
                            <w:jc w:val="both"/>
                            <w:rPr>
                              <w:rFonts w:ascii="Verdana" w:eastAsia="Calibri" w:hAnsi="Verdana"/>
                              <w:bCs/>
                              <w:sz w:val="20"/>
                            </w:rPr>
                          </w:pPr>
                          <w:sdt>
                            <w:sdtPr>
                              <w:alias w:val="Pavadinimas"/>
                              <w:tag w:val="title_649ea8a663374f439d03caea1e578ea5"/>
                              <w:lock w:val="sdtLocked"/>
                              <w:richText/>
                            </w:sdtPr>
                            <w:sdtContent>
                              <w:r>
                                <w:rPr>
                                  <w:rFonts w:ascii="Verdana" w:hAnsi="Verdana"/>
                                  <w:b/>
                                  <w:bCs/>
                                  <w:sz w:val="20"/>
                                </w:rPr>
                                <w:t>PASTABA.</w:t>
                              </w:r>
                              <w:r>
                                <w:rPr>
                                  <w:rFonts w:ascii="Verdana" w:hAnsi="Verdana"/>
                                  <w:sz w:val="20"/>
                                </w:rPr>
                                <w:t xml:space="preserve"> </w:t>
                              </w:r>
                              <w:r>
                                <w:rPr>
                                  <w:rFonts w:ascii="Verdana" w:hAnsi="Verdana" w:cs="Arial"/>
                                  <w:b/>
                                  <w:bCs/>
                                  <w:color w:val="000000"/>
                                  <w:sz w:val="20"/>
                                  <w:shd w:val="clear" w:color="auto" w:fill="FFFFFF"/>
                                </w:rPr>
                                <w:t>Kriptoturto paslaugų teikėjų ir su turtu susietų žetonų emitentų atvejais pateikiama paskutinių dešimties metų informacija apie nuolatinės gyvenamosios vietos adresus.</w:t>
                              </w:r>
                            </w:sdtContent>
                          </w:sdt>
                        </w:p>
                        <w:p w14:paraId="1DCED34F" w14:textId="77777777">
                          <w:pPr>
                            <w:rPr>
                              <w:rFonts w:ascii="Verdana" w:eastAsia="Calibri" w:hAnsi="Verdana"/>
                              <w:bCs/>
                              <w:sz w:val="20"/>
                            </w:rPr>
                          </w:pPr>
                        </w:p>
                      </w:sdtContent>
                    </w:sdt>
                    <w:sdt>
                      <w:sdtPr>
                        <w:alias w:val="skirsnis"/>
                        <w:tag w:val="part_0d7b45cd38bb41d0806a5dcb62f00324"/>
                        <w:lock w:val="sdtLocked"/>
                        <w:richText/>
                      </w:sdtPr>
                      <w:sdtContent>
                        <w:p w14:paraId="6C82D352" w14:textId="77777777">
                          <w:pPr>
                            <w:rPr>
                              <w:rFonts w:ascii="Verdana" w:eastAsia="Calibri" w:hAnsi="Verdana"/>
                              <w:b/>
                              <w:sz w:val="20"/>
                            </w:rPr>
                          </w:pPr>
                          <w:sdt>
                            <w:sdtPr>
                              <w:alias w:val="Pavadinimas"/>
                              <w:tag w:val="title_0d7b45cd38bb41d0806a5dcb62f00324"/>
                              <w:lock w:val="sdtLocked"/>
                              <w:richText/>
                            </w:sdtPr>
                            <w:sdtContent>
                              <w:r>
                                <w:rPr>
                                  <w:rFonts w:ascii="Verdana" w:eastAsia="Calibri" w:hAnsi="Verdana"/>
                                  <w:b/>
                                  <w:sz w:val="20"/>
                                </w:rPr>
                                <w:t>Kontaktiniai duomenys</w:t>
                              </w:r>
                            </w:sdtContent>
                          </w:sdt>
                        </w:p>
                        <w:p w14:paraId="71F1EBBE"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8"/>
                            <w:gridCol w:w="5349"/>
                          </w:tblGrid>
                          <w:tr w14:paraId="24F2BC21" w14:textId="77777777">
                            <w:tc>
                              <w:tcPr>
                                <w:tcW w:w="4288" w:type="dxa"/>
                                <w:tcBorders>
                                  <w:top w:val="single" w:sz="4" w:space="0" w:color="auto"/>
                                  <w:left w:val="single" w:sz="4" w:space="0" w:color="auto"/>
                                  <w:bottom w:val="single" w:sz="4" w:space="0" w:color="auto"/>
                                  <w:right w:val="single" w:sz="4" w:space="0" w:color="auto"/>
                                </w:tcBorders>
                                <w:shd w:val="clear" w:color="auto" w:fill="D9D9D9"/>
                              </w:tcPr>
                              <w:p w14:paraId="68EDDB12" w14:textId="77777777">
                                <w:pPr>
                                  <w:rPr>
                                    <w:rFonts w:ascii="Verdana" w:eastAsia="Calibri" w:hAnsi="Verdana"/>
                                    <w:sz w:val="20"/>
                                  </w:rPr>
                                </w:pPr>
                                <w:r>
                                  <w:rPr>
                                    <w:rFonts w:ascii="Verdana" w:eastAsia="Calibri" w:hAnsi="Verdana"/>
                                    <w:sz w:val="20"/>
                                  </w:rPr>
                                  <w:t>Korespondencijos adresas (pildoma, jeigu skiriasi nuo nuolatinės gyvenamosios vietos adreso)</w:t>
                                </w:r>
                              </w:p>
                            </w:tc>
                            <w:tc>
                              <w:tcPr>
                                <w:tcW w:w="5349" w:type="dxa"/>
                                <w:tcBorders>
                                  <w:top w:val="single" w:sz="4" w:space="0" w:color="auto"/>
                                  <w:left w:val="single" w:sz="4" w:space="0" w:color="auto"/>
                                  <w:bottom w:val="single" w:sz="4" w:space="0" w:color="auto"/>
                                  <w:right w:val="single" w:sz="4" w:space="0" w:color="auto"/>
                                </w:tcBorders>
                              </w:tcPr>
                              <w:p w14:paraId="07FA35E8" w14:textId="77777777">
                                <w:pPr>
                                  <w:rPr>
                                    <w:rFonts w:ascii="Verdana" w:eastAsia="Calibri" w:hAnsi="Verdana"/>
                                    <w:sz w:val="20"/>
                                  </w:rPr>
                                </w:pPr>
                              </w:p>
                            </w:tc>
                          </w:tr>
                          <w:tr w14:paraId="23928084" w14:textId="77777777">
                            <w:tc>
                              <w:tcPr>
                                <w:tcW w:w="4288" w:type="dxa"/>
                                <w:tcBorders>
                                  <w:top w:val="single" w:sz="4" w:space="0" w:color="auto"/>
                                  <w:left w:val="single" w:sz="4" w:space="0" w:color="auto"/>
                                  <w:bottom w:val="single" w:sz="4" w:space="0" w:color="auto"/>
                                  <w:right w:val="single" w:sz="4" w:space="0" w:color="auto"/>
                                </w:tcBorders>
                                <w:shd w:val="clear" w:color="auto" w:fill="D9D9D9"/>
                              </w:tcPr>
                              <w:p w14:paraId="0F281655" w14:textId="77777777">
                                <w:pPr>
                                  <w:rPr>
                                    <w:rFonts w:ascii="Verdana" w:eastAsia="Calibri" w:hAnsi="Verdana"/>
                                    <w:sz w:val="20"/>
                                  </w:rPr>
                                </w:pPr>
                                <w:r>
                                  <w:rPr>
                                    <w:rFonts w:ascii="Verdana" w:eastAsia="Calibri" w:hAnsi="Verdana"/>
                                    <w:sz w:val="20"/>
                                  </w:rPr>
                                  <w:t>Telefonas</w:t>
                                </w:r>
                              </w:p>
                            </w:tc>
                            <w:tc>
                              <w:tcPr>
                                <w:tcW w:w="5349" w:type="dxa"/>
                                <w:tcBorders>
                                  <w:top w:val="single" w:sz="4" w:space="0" w:color="auto"/>
                                  <w:left w:val="single" w:sz="4" w:space="0" w:color="auto"/>
                                  <w:bottom w:val="single" w:sz="4" w:space="0" w:color="auto"/>
                                  <w:right w:val="single" w:sz="4" w:space="0" w:color="auto"/>
                                </w:tcBorders>
                              </w:tcPr>
                              <w:p w14:paraId="0FED7447" w14:textId="77777777">
                                <w:pPr>
                                  <w:rPr>
                                    <w:rFonts w:ascii="Verdana" w:eastAsia="Calibri" w:hAnsi="Verdana"/>
                                    <w:sz w:val="20"/>
                                  </w:rPr>
                                </w:pPr>
                              </w:p>
                            </w:tc>
                          </w:tr>
                          <w:tr w14:paraId="35147A24" w14:textId="77777777">
                            <w:tc>
                              <w:tcPr>
                                <w:tcW w:w="4288" w:type="dxa"/>
                                <w:tcBorders>
                                  <w:top w:val="single" w:sz="4" w:space="0" w:color="auto"/>
                                  <w:left w:val="single" w:sz="4" w:space="0" w:color="auto"/>
                                  <w:bottom w:val="single" w:sz="4" w:space="0" w:color="auto"/>
                                  <w:right w:val="single" w:sz="4" w:space="0" w:color="auto"/>
                                </w:tcBorders>
                                <w:shd w:val="clear" w:color="auto" w:fill="D9D9D9"/>
                              </w:tcPr>
                              <w:p w14:paraId="46590EAF" w14:textId="77777777">
                                <w:pPr>
                                  <w:rPr>
                                    <w:rFonts w:ascii="Verdana" w:eastAsia="Calibri" w:hAnsi="Verdana"/>
                                    <w:sz w:val="20"/>
                                  </w:rPr>
                                </w:pPr>
                                <w:r>
                                  <w:rPr>
                                    <w:rFonts w:ascii="Verdana" w:eastAsia="Calibri" w:hAnsi="Verdana"/>
                                    <w:sz w:val="20"/>
                                  </w:rPr>
                                  <w:t>Elektroninio pašto adresas</w:t>
                                </w:r>
                              </w:p>
                            </w:tc>
                            <w:tc>
                              <w:tcPr>
                                <w:tcW w:w="5349" w:type="dxa"/>
                                <w:tcBorders>
                                  <w:top w:val="single" w:sz="4" w:space="0" w:color="auto"/>
                                  <w:left w:val="single" w:sz="4" w:space="0" w:color="auto"/>
                                  <w:bottom w:val="single" w:sz="4" w:space="0" w:color="auto"/>
                                  <w:right w:val="single" w:sz="4" w:space="0" w:color="auto"/>
                                </w:tcBorders>
                              </w:tcPr>
                              <w:p w14:paraId="61953B65" w14:textId="0D705A50">
                                <w:pPr>
                                  <w:jc w:val="right"/>
                                  <w:rPr>
                                    <w:rFonts w:ascii="Verdana" w:eastAsia="Calibri" w:hAnsi="Verdana"/>
                                    <w:sz w:val="20"/>
                                  </w:rPr>
                                </w:pPr>
                                <w:r>
                                  <w:rPr>
                                    <w:rFonts w:ascii="Verdana" w:eastAsia="Calibri" w:hAnsi="Verdana"/>
                                    <w:sz w:val="20"/>
                                  </w:rPr>
                                  <w:t>“</w:t>
                                </w:r>
                              </w:p>
                            </w:tc>
                          </w:tr>
                        </w:tbl>
                        <w:p w14:paraId="414C5DA3" w14:textId="77777777">
                          <w:pPr>
                            <w:widowControl w:val="0"/>
                            <w:ind w:firstLine="720"/>
                            <w:jc w:val="both"/>
                            <w:rPr>
                              <w:rFonts w:ascii="Verdana" w:hAnsi="Verdana"/>
                              <w:color w:val="000000"/>
                              <w:sz w:val="20"/>
                            </w:rPr>
                          </w:pPr>
                        </w:p>
                        <w:sdt>
                          <w:sdtPr>
                            <w:alias w:val="2.5 pp."/>
                            <w:tag w:val="part_923a8c0270b34fa3bd6e432abd642882"/>
                            <w:lock w:val="sdtLocked"/>
                            <w:richText/>
                          </w:sdtPr>
                          <w:sdtContent>
                            <w:p w14:paraId="765F5240" w14:textId="4024F718">
                              <w:pPr>
                                <w:widowControl w:val="0"/>
                                <w:ind w:firstLine="720"/>
                                <w:jc w:val="both"/>
                                <w:rPr>
                                  <w:rFonts w:ascii="Verdana" w:hAnsi="Verdana"/>
                                  <w:color w:val="000000"/>
                                  <w:sz w:val="20"/>
                                </w:rPr>
                              </w:pPr>
                              <w:sdt>
                                <w:sdtPr>
                                  <w:alias w:val="Numeris"/>
                                  <w:tag w:val="nr_923a8c0270b34fa3bd6e432abd642882"/>
                                  <w:lock w:val="sdtLocked"/>
                                  <w:richText/>
                                </w:sdtPr>
                                <w:sdtContent>
                                  <w:r>
                                    <w:rPr>
                                      <w:rFonts w:ascii="Verdana" w:hAnsi="Verdana"/>
                                      <w:color w:val="000000"/>
                                      <w:sz w:val="20"/>
                                    </w:rPr>
                                    <w:t>2.5</w:t>
                                  </w:r>
                                </w:sdtContent>
                              </w:sdt>
                              <w:r>
                                <w:rPr>
                                  <w:rFonts w:ascii="Verdana" w:hAnsi="Verdana"/>
                                  <w:color w:val="000000"/>
                                  <w:sz w:val="20"/>
                                </w:rPr>
                                <w:t xml:space="preserve">. </w:t>
                              </w:r>
                              <w:r>
                                <w:rPr>
                                  <w:rFonts w:ascii="Verdana" w:hAnsi="Verdana"/>
                                  <w:sz w:val="20"/>
                                </w:rPr>
                                <w:t>Pakeisti 1 priedo I dalies C skiltes pirmąją pastraipą ir ją išdėstyti taip:</w:t>
                              </w:r>
                            </w:p>
                            <w:p w14:paraId="7C148F5F" w14:textId="2B465289">
                              <w:pPr>
                                <w:widowControl w:val="0"/>
                                <w:jc w:val="both"/>
                                <w:rPr>
                                  <w:rFonts w:ascii="Verdana" w:eastAsia="Calibri" w:hAnsi="Verdana"/>
                                  <w:b/>
                                  <w:sz w:val="20"/>
                                </w:rPr>
                              </w:pPr>
                              <w:r>
                                <w:rPr>
                                  <w:rFonts w:ascii="Verdana" w:hAnsi="Verdana"/>
                                  <w:color w:val="000000"/>
                                  <w:sz w:val="20"/>
                                </w:rPr>
                                <w:t>„</w:t>
                              </w:r>
                              <w:r>
                                <w:rPr>
                                  <w:rFonts w:ascii="Verdana" w:eastAsia="Calibri" w:hAnsi="Verdana"/>
                                  <w:b/>
                                  <w:sz w:val="20"/>
                                </w:rPr>
                                <w:t>C. Nepriekaištinga reputacija</w:t>
                              </w:r>
                            </w:p>
                            <w:p w14:paraId="3BCD34F6" w14:textId="77777777">
                              <w:pPr>
                                <w:jc w:val="both"/>
                                <w:rPr>
                                  <w:rFonts w:ascii="Verdana" w:hAnsi="Verdana"/>
                                  <w:sz w:val="20"/>
                                </w:rPr>
                              </w:pPr>
                            </w:p>
                            <w:p w14:paraId="1D83CF89" w14:textId="6681E77E">
                              <w:pPr>
                                <w:jc w:val="both"/>
                                <w:rPr>
                                  <w:rFonts w:ascii="Verdana" w:hAnsi="Verdana" w:cs="Arial"/>
                                  <w:color w:val="000000"/>
                                  <w:sz w:val="20"/>
                                  <w:shd w:val="clear" w:color="auto" w:fill="FFFFFF"/>
                                </w:rPr>
                              </w:pPr>
                              <w:r>
                                <w:rPr>
                                  <w:rFonts w:ascii="Verdana" w:hAnsi="Verdana"/>
                                  <w:sz w:val="20"/>
                                </w:rPr>
                                <w:t xml:space="preserve">Pateikite kitos valstybės kompetentingos institucijos (kai asmuo yra kitos valstybės pilietis arba jo nuolatinė gyvenamoji vieta yra ne Lietuvos Respublikoje) ne vėliau kaip prieš šešis mėnesius parengtą dokumentą, kuriame nurodyta asmens reputacijai vertinti aktuali informacija (teistumo nebuvimas, pritaikytų poveikio priemonių neturėjimas ir pan.). </w:t>
                              </w:r>
                              <w:r>
                                <w:rPr>
                                  <w:rFonts w:ascii="Verdana" w:hAnsi="Verdana" w:cs="Arial"/>
                                  <w:b/>
                                  <w:bCs/>
                                  <w:color w:val="000000"/>
                                  <w:sz w:val="20"/>
                                  <w:shd w:val="clear" w:color="auto" w:fill="FFFFFF"/>
                                </w:rPr>
                                <w:t>Kriptoturto paslaugų teikėjų ir su turtu susietų žetonų emitentų atveju, dokumento, kuriame nurodyta asmens reputacijai vertinti aktuali informacija, parengimo data turi būti ne vėlesnė kaip trys mėnesiai ir pateikiama iš kiekvienos nuolatinės gyvenamosios vietos ar buveinės ne Lietuvos Respublikoje per paskutinius dešimt metų.</w:t>
                              </w:r>
                              <w:r>
                                <w:rPr>
                                  <w:rFonts w:ascii="Verdana" w:hAnsi="Verdana" w:cs="Arial"/>
                                  <w:color w:val="000000"/>
                                  <w:sz w:val="20"/>
                                  <w:shd w:val="clear" w:color="auto" w:fill="FFFFFF"/>
                                </w:rPr>
                                <w:t>“;</w:t>
                              </w:r>
                            </w:p>
                          </w:sdtContent>
                        </w:sdt>
                      </w:sdtContent>
                    </w:sdt>
                  </w:sdtContent>
                </w:sdt>
              </w:sdtContent>
            </w:sdt>
            <w:sdt>
              <w:sdtPr>
                <w:alias w:val="2.6 pp."/>
                <w:tag w:val="part_7d4551b69a7b498882552218ab97aac9"/>
                <w:lock w:val="sdtLocked"/>
                <w:richText/>
              </w:sdtPr>
              <w:sdtContent>
                <w:p w14:paraId="7276CD4B" w14:textId="3D3B14B3">
                  <w:pPr>
                    <w:widowControl w:val="0"/>
                    <w:ind w:firstLine="720"/>
                    <w:jc w:val="both"/>
                    <w:rPr>
                      <w:rFonts w:ascii="Verdana" w:hAnsi="Verdana" w:cs="Arial"/>
                      <w:color w:val="000000"/>
                      <w:sz w:val="20"/>
                      <w:shd w:val="clear" w:color="auto" w:fill="FFFFFF"/>
                    </w:rPr>
                  </w:pPr>
                  <w:sdt>
                    <w:sdtPr>
                      <w:alias w:val="Numeris"/>
                      <w:tag w:val="nr_7d4551b69a7b498882552218ab97aac9"/>
                      <w:lock w:val="sdtLocked"/>
                      <w:richText/>
                    </w:sdtPr>
                    <w:sdtContent>
                      <w:r>
                        <w:rPr>
                          <w:rFonts w:ascii="Verdana" w:hAnsi="Verdana"/>
                          <w:color w:val="000000"/>
                          <w:sz w:val="20"/>
                        </w:rPr>
                        <w:t>2.6</w:t>
                      </w:r>
                    </w:sdtContent>
                  </w:sdt>
                  <w:r>
                    <w:rPr>
                      <w:rFonts w:ascii="Verdana" w:hAnsi="Verdana"/>
                      <w:color w:val="000000"/>
                      <w:sz w:val="20"/>
                    </w:rPr>
                    <w:t xml:space="preserve">. </w:t>
                  </w:r>
                  <w:r>
                    <w:rPr>
                      <w:rFonts w:ascii="Verdana" w:hAnsi="Verdana" w:cs="Arial"/>
                      <w:color w:val="000000"/>
                      <w:sz w:val="20"/>
                      <w:shd w:val="clear" w:color="auto" w:fill="FFFFFF"/>
                    </w:rPr>
                    <w:t>Papildyti 1 priedo I dalies C skiltį nauju 4</w:t>
                  </w:r>
                  <w:r>
                    <w:rPr>
                      <w:rFonts w:ascii="Verdana" w:hAnsi="Verdana" w:cs="Arial"/>
                      <w:color w:val="000000"/>
                      <w:sz w:val="20"/>
                      <w:shd w:val="clear" w:color="auto" w:fill="FFFFFF"/>
                      <w:vertAlign w:val="superscript"/>
                    </w:rPr>
                    <w:t>1</w:t>
                  </w:r>
                  <w:r>
                    <w:rPr>
                      <w:rFonts w:ascii="Verdana" w:hAnsi="Verdana" w:cs="Arial"/>
                      <w:color w:val="000000"/>
                      <w:sz w:val="20"/>
                      <w:shd w:val="clear" w:color="auto" w:fill="FFFFFF"/>
                    </w:rPr>
                    <w:t xml:space="preserve"> punktu ir jį išdėstyti taip:</w:t>
                  </w:r>
                </w:p>
                <w:sdt>
                  <w:sdtPr>
                    <w:alias w:val="citata"/>
                    <w:tag w:val="part_830e601778504550b586b4428f810362"/>
                    <w:lock w:val="sdtLocked"/>
                    <w:richText/>
                  </w:sdtPr>
                  <w:sdtContent>
                    <w:sdt>
                      <w:sdtPr>
                        <w:alias w:val="4-1 p."/>
                        <w:tag w:val="part_fee1ced313254f9a8cecc6738f872be4"/>
                        <w:lock w:val="sdtLocked"/>
                        <w:richText/>
                      </w:sdtPr>
                      <w:sdtContent>
                        <w:p w14:paraId="52AE9CE6" w14:textId="77777777">
                          <w:pPr>
                            <w:widowControl w:val="0"/>
                            <w:jc w:val="both"/>
                            <w:rPr>
                              <w:rFonts w:ascii="Verdana" w:hAnsi="Verdana" w:cs="Arial"/>
                              <w:color w:val="000000"/>
                              <w:sz w:val="20"/>
                              <w:shd w:val="clear" w:color="auto" w:fill="FFFFFF"/>
                            </w:rPr>
                          </w:pPr>
                          <w:r>
                            <w:rPr>
                              <w:rFonts w:ascii="Verdana" w:hAnsi="Verdana" w:cs="Arial"/>
                              <w:b/>
                              <w:bCs/>
                              <w:color w:val="000000"/>
                              <w:sz w:val="20"/>
                              <w:shd w:val="clear" w:color="auto" w:fill="FFFFFF"/>
                            </w:rPr>
                            <w:t>„</w:t>
                          </w:r>
                          <w:sdt>
                            <w:sdtPr>
                              <w:alias w:val="Numeris"/>
                              <w:tag w:val="nr_fee1ced313254f9a8cecc6738f872be4"/>
                              <w:lock w:val="sdtLocked"/>
                              <w:richText/>
                            </w:sdtPr>
                            <w:sdtContent>
                              <w:r>
                                <w:rPr>
                                  <w:rFonts w:ascii="Verdana" w:hAnsi="Verdana" w:cs="Arial"/>
                                  <w:b/>
                                  <w:bCs/>
                                  <w:color w:val="000000"/>
                                  <w:sz w:val="20"/>
                                  <w:shd w:val="clear" w:color="auto" w:fill="FFFFFF"/>
                                </w:rPr>
                                <w:t>4</w:t>
                              </w:r>
                              <w:r>
                                <w:rPr>
                                  <w:rFonts w:ascii="Verdana" w:hAnsi="Verdana" w:cs="Arial"/>
                                  <w:b/>
                                  <w:bCs/>
                                  <w:color w:val="000000"/>
                                  <w:sz w:val="20"/>
                                  <w:shd w:val="clear" w:color="auto" w:fill="FFFFFF"/>
                                  <w:vertAlign w:val="superscript"/>
                                </w:rPr>
                                <w:t>1</w:t>
                              </w:r>
                            </w:sdtContent>
                          </w:sdt>
                          <w:r>
                            <w:rPr>
                              <w:rFonts w:ascii="Verdana" w:hAnsi="Verdana" w:cs="Arial"/>
                              <w:b/>
                              <w:bCs/>
                              <w:color w:val="000000"/>
                              <w:sz w:val="20"/>
                              <w:shd w:val="clear" w:color="auto" w:fill="FFFFFF"/>
                            </w:rPr>
                            <w:t>. Patvirtinu, kad:</w:t>
                          </w:r>
                          <w:r>
                            <w:rPr>
                              <w:rFonts w:ascii="Verdana" w:hAnsi="Verdana" w:cs="Arial"/>
                              <w:color w:val="000000"/>
                              <w:sz w:val="20"/>
                              <w:shd w:val="clear" w:color="auto" w:fill="FFFFFF"/>
                            </w:rPr>
                            <w:t xml:space="preserve"> </w:t>
                          </w:r>
                        </w:p>
                        <w:sdt>
                          <w:sdtPr>
                            <w:alias w:val="4-1 p. 1 pp."/>
                            <w:tag w:val="part_28ad088c9e9e4241a91b5d11ce74bc1f"/>
                            <w:lock w:val="sdtLocked"/>
                            <w:richText/>
                          </w:sdtPr>
                          <w:sdtContent>
                            <w:p w14:paraId="0FC5F7B4" w14:textId="77777777">
                              <w:pPr>
                                <w:widowControl w:val="0"/>
                                <w:jc w:val="both"/>
                                <w:rPr>
                                  <w:rFonts w:ascii="Verdana" w:hAnsi="Verdana" w:cs="Arial"/>
                                  <w:b/>
                                  <w:bCs/>
                                  <w:color w:val="000000"/>
                                  <w:sz w:val="20"/>
                                  <w:shd w:val="clear" w:color="auto" w:fill="FFFFFF"/>
                                </w:rPr>
                              </w:pPr>
                              <w:sdt>
                                <w:sdtPr>
                                  <w:alias w:val="Numeris"/>
                                  <w:tag w:val="nr_28ad088c9e9e4241a91b5d11ce74bc1f"/>
                                  <w:lock w:val="sdtLocked"/>
                                  <w:richText/>
                                </w:sdtPr>
                                <w:sdtContent>
                                  <w:r>
                                    <w:rPr>
                                      <w:rFonts w:ascii="Verdana" w:hAnsi="Verdana" w:cs="Arial"/>
                                      <w:b/>
                                      <w:bCs/>
                                      <w:color w:val="000000"/>
                                      <w:sz w:val="20"/>
                                      <w:shd w:val="clear" w:color="auto" w:fill="FFFFFF"/>
                                    </w:rPr>
                                    <w:t>1</w:t>
                                  </w:r>
                                </w:sdtContent>
                              </w:sdt>
                              <w:r>
                                <w:rPr>
                                  <w:rFonts w:ascii="Verdana" w:hAnsi="Verdana" w:cs="Arial"/>
                                  <w:b/>
                                  <w:bCs/>
                                  <w:color w:val="000000"/>
                                  <w:sz w:val="20"/>
                                  <w:shd w:val="clear" w:color="auto" w:fill="FFFFFF"/>
                                </w:rPr>
                                <w:t xml:space="preserve">) pagal mano turimą informaciją, su manimi Lietuvos Respublikos finansų įstaigų įstatymo 2 straipsnio 1 ar 2 dalyje apibrėžtais ryšiais susijęs asmuo nėra pripažintas kaltu padaręs Lietuvos Respublikos baudžiamajame kodekse numatytą sunkų, labai sunkų nusikaltimą arba tyčinį nusikaltimą nuosavybei, turtinėms teisėms ir turtiniams interesams, ekonomikai ir verslo tvarkai, finansų sistemai, visuomenės saugumui, valstybės tarnybai ir viešiesiems interesams ar juos atitinkančias nusikalstamas veikas pagal kitų valstybių baudžiamuosius įstatymus, nepaisant to, ar teistumas yra išnykęs arba panaikintas; </w:t>
                              </w:r>
                            </w:p>
                            <w:p w14:paraId="38BC6731" w14:textId="77777777">
                              <w:pPr>
                                <w:widowControl w:val="0"/>
                                <w:jc w:val="both"/>
                                <w:rPr>
                                  <w:rFonts w:ascii="Verdana" w:hAnsi="Verdana" w:cs="Arial"/>
                                  <w:b/>
                                  <w:bCs/>
                                  <w:color w:val="000000"/>
                                  <w:sz w:val="20"/>
                                  <w:shd w:val="clear" w:color="auto" w:fill="FFFFFF"/>
                                </w:rPr>
                              </w:pPr>
                            </w:p>
                          </w:sdtContent>
                        </w:sdt>
                      </w:sdtContent>
                    </w:sdt>
                    <w:sdt>
                      <w:sdtPr>
                        <w:alias w:val="skirsnis"/>
                        <w:tag w:val="part_5404fc5c97b4453f97edab25c3a9b26f"/>
                        <w:lock w:val="sdtLocked"/>
                        <w:richText/>
                      </w:sdtPr>
                      <w:sdtContent>
                        <w:p w14:paraId="2ECFA27C" w14:textId="77777777">
                          <w:pPr>
                            <w:widowControl w:val="0"/>
                            <w:jc w:val="both"/>
                            <w:rPr>
                              <w:rFonts w:ascii="Verdana" w:hAnsi="Verdana" w:cs="Arial"/>
                              <w:b/>
                              <w:bCs/>
                              <w:color w:val="000000"/>
                              <w:sz w:val="20"/>
                              <w:shd w:val="clear" w:color="auto" w:fill="FFFFFF"/>
                            </w:rPr>
                          </w:pPr>
                          <w:sdt>
                            <w:sdtPr>
                              <w:alias w:val="Pavadinimas"/>
                              <w:tag w:val="title_5404fc5c97b4453f97edab25c3a9b26f"/>
                              <w:lock w:val="sdtLocked"/>
                              <w:richText/>
                            </w:sdtPr>
                            <w:sdtContent>
                              <w:r>
                                <w:rPr>
                                  <w:rFonts w:ascii="MS Gothic" w:eastAsia="MS Gothic" w:hAnsi="MS Gothic" w:cs="Arial"/>
                                  <w:b/>
                                  <w:bCs/>
                                  <w:color w:val="000000"/>
                                  <w:sz w:val="20"/>
                                  <w:shd w:val="clear" w:color="auto" w:fill="FFFFFF"/>
                                </w:rPr>
                                <w:t>☐</w:t>
                              </w:r>
                              <w:r>
                                <w:rPr>
                                  <w:rFonts w:ascii="Verdana" w:hAnsi="Verdana" w:cs="Arial"/>
                                  <w:b/>
                                  <w:bCs/>
                                  <w:color w:val="000000"/>
                                  <w:sz w:val="20"/>
                                  <w:shd w:val="clear" w:color="auto" w:fill="FFFFFF"/>
                                </w:rPr>
                                <w:t xml:space="preserve"> Taip </w:t>
                              </w:r>
                              <w:r>
                                <w:rPr>
                                  <w:rFonts w:ascii="MS Gothic" w:eastAsia="MS Gothic" w:hAnsi="MS Gothic" w:cs="Arial"/>
                                  <w:b/>
                                  <w:bCs/>
                                  <w:color w:val="000000"/>
                                  <w:sz w:val="20"/>
                                  <w:shd w:val="clear" w:color="auto" w:fill="FFFFFF"/>
                                </w:rPr>
                                <w:t>☐</w:t>
                              </w:r>
                              <w:r>
                                <w:rPr>
                                  <w:rFonts w:ascii="Verdana" w:hAnsi="Verdana" w:cs="Arial"/>
                                  <w:b/>
                                  <w:bCs/>
                                  <w:color w:val="000000"/>
                                  <w:sz w:val="20"/>
                                  <w:shd w:val="clear" w:color="auto" w:fill="FFFFFF"/>
                                </w:rPr>
                                <w:t xml:space="preserve"> Ne</w:t>
                              </w:r>
                            </w:sdtContent>
                          </w:sdt>
                        </w:p>
                        <w:p w14:paraId="6E994729" w14:textId="77777777">
                          <w:pPr>
                            <w:widowControl w:val="0"/>
                            <w:jc w:val="both"/>
                            <w:rPr>
                              <w:rFonts w:ascii="Verdana" w:hAnsi="Verdana" w:cs="Arial"/>
                              <w:b/>
                              <w:bCs/>
                              <w:color w:val="000000"/>
                              <w:sz w:val="20"/>
                              <w:shd w:val="clear" w:color="auto" w:fill="FFFFFF"/>
                            </w:rPr>
                          </w:pPr>
                        </w:p>
                      </w:sdtContent>
                    </w:sdt>
                    <w:sdt>
                      <w:sdtPr>
                        <w:alias w:val="skirsnis"/>
                        <w:tag w:val="part_7c92a2b3700d4ac58edb1b62da1ed28b"/>
                        <w:lock w:val="sdtLocked"/>
                        <w:richText/>
                      </w:sdtPr>
                      <w:sdtContent>
                        <w:p w14:paraId="094BE11D" w14:textId="77777777">
                          <w:pPr>
                            <w:widowControl w:val="0"/>
                            <w:jc w:val="both"/>
                            <w:rPr>
                              <w:rFonts w:ascii="Verdana" w:hAnsi="Verdana" w:cs="Arial"/>
                              <w:b/>
                              <w:bCs/>
                              <w:color w:val="000000"/>
                              <w:sz w:val="20"/>
                              <w:shd w:val="clear" w:color="auto" w:fill="FFFFFF"/>
                            </w:rPr>
                          </w:pPr>
                          <w:sdt>
                            <w:sdtPr>
                              <w:alias w:val="Pavadinimas"/>
                              <w:tag w:val="title_7c92a2b3700d4ac58edb1b62da1ed28b"/>
                              <w:lock w:val="sdtLocked"/>
                              <w:richText/>
                            </w:sdtPr>
                            <w:sdtContent>
                              <w:r>
                                <w:rPr>
                                  <w:rFonts w:ascii="Verdana" w:hAnsi="Verdana" w:cs="Arial"/>
                                  <w:b/>
                                  <w:bCs/>
                                  <w:color w:val="000000"/>
                                  <w:sz w:val="20"/>
                                  <w:shd w:val="clear" w:color="auto" w:fill="FFFFFF"/>
                                </w:rPr>
                                <w:t>Jeigu Taip, pateikite komentarą</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14:paraId="2B5DAB3E" w14:textId="77777777">
                            <w:tc>
                              <w:tcPr>
                                <w:tcW w:w="9629" w:type="dxa"/>
                              </w:tcPr>
                              <w:p w14:paraId="3F07DAB2" w14:textId="77777777">
                                <w:pPr>
                                  <w:widowControl w:val="0"/>
                                  <w:jc w:val="both"/>
                                  <w:rPr>
                                    <w:rFonts w:ascii="Verdana" w:hAnsi="Verdana" w:cs="Arial"/>
                                    <w:b/>
                                    <w:bCs/>
                                    <w:color w:val="000000"/>
                                    <w:sz w:val="20"/>
                                    <w:szCs w:val="22"/>
                                    <w:shd w:val="clear" w:color="auto" w:fill="FFFFFF"/>
                                  </w:rPr>
                                </w:pPr>
                              </w:p>
                            </w:tc>
                          </w:tr>
                        </w:tbl>
                        <w:p w14:paraId="437F356D" w14:textId="77777777">
                          <w:pPr>
                            <w:widowControl w:val="0"/>
                            <w:jc w:val="both"/>
                            <w:rPr>
                              <w:rFonts w:ascii="Verdana" w:hAnsi="Verdana" w:cs="Arial"/>
                              <w:b/>
                              <w:bCs/>
                              <w:color w:val="000000"/>
                              <w:sz w:val="20"/>
                              <w:shd w:val="clear" w:color="auto" w:fill="FFFFFF"/>
                            </w:rPr>
                          </w:pPr>
                        </w:p>
                        <w:sdt>
                          <w:sdtPr>
                            <w:alias w:val="2 pp."/>
                            <w:tag w:val="part_2dea478874c94ecfb7d607155dadc371"/>
                            <w:lock w:val="sdtLocked"/>
                            <w:richText/>
                          </w:sdtPr>
                          <w:sdtContent>
                            <w:p w14:paraId="02317084" w14:textId="77777777">
                              <w:pPr>
                                <w:widowControl w:val="0"/>
                                <w:jc w:val="both"/>
                                <w:rPr>
                                  <w:rFonts w:ascii="Verdana" w:hAnsi="Verdana" w:cs="Arial"/>
                                  <w:b/>
                                  <w:bCs/>
                                  <w:color w:val="000000"/>
                                  <w:sz w:val="20"/>
                                  <w:shd w:val="clear" w:color="auto" w:fill="FFFFFF"/>
                                </w:rPr>
                              </w:pPr>
                              <w:sdt>
                                <w:sdtPr>
                                  <w:alias w:val="Numeris"/>
                                  <w:tag w:val="nr_2dea478874c94ecfb7d607155dadc371"/>
                                  <w:lock w:val="sdtLocked"/>
                                  <w:richText/>
                                </w:sdtPr>
                                <w:sdtContent>
                                  <w:r>
                                    <w:rPr>
                                      <w:rFonts w:ascii="Verdana" w:hAnsi="Verdana" w:cs="Arial"/>
                                      <w:b/>
                                      <w:bCs/>
                                      <w:color w:val="000000"/>
                                      <w:sz w:val="20"/>
                                      <w:shd w:val="clear" w:color="auto" w:fill="FFFFFF"/>
                                    </w:rPr>
                                    <w:t>2</w:t>
                                  </w:r>
                                </w:sdtContent>
                              </w:sdt>
                              <w:r>
                                <w:rPr>
                                  <w:rFonts w:ascii="Verdana" w:hAnsi="Verdana" w:cs="Arial"/>
                                  <w:b/>
                                  <w:bCs/>
                                  <w:color w:val="000000"/>
                                  <w:sz w:val="20"/>
                                  <w:shd w:val="clear" w:color="auto" w:fill="FFFFFF"/>
                                </w:rPr>
                                <w:t>) nėra jokių aplinkybių, kurios leistų pagrįstai manyti, kad su manimi Lietuvos Respublikos finansų įstaigų įstatymo 2 straipsnio 1 ar 2 dalyje apibrėžtais ryšiais susijusio asmens man daroma įtaka galėtų susilpninti mano gebėjimą užtikrinti patikimą ir apdairų finansų rinkos dalyvio valdymą arba kitaip kelti pavojų finansų rinkos dalyvio veiklos saugumui bei patikimumui.</w:t>
                              </w:r>
                            </w:p>
                            <w:p w14:paraId="3DB62A3B" w14:textId="77777777">
                              <w:pPr>
                                <w:widowControl w:val="0"/>
                                <w:jc w:val="both"/>
                                <w:rPr>
                                  <w:rFonts w:ascii="Verdana" w:hAnsi="Verdana" w:cs="Arial"/>
                                  <w:b/>
                                  <w:bCs/>
                                  <w:color w:val="000000"/>
                                  <w:sz w:val="20"/>
                                  <w:shd w:val="clear" w:color="auto" w:fill="FFFFFF"/>
                                </w:rPr>
                              </w:pPr>
                            </w:p>
                          </w:sdtContent>
                        </w:sdt>
                      </w:sdtContent>
                    </w:sdt>
                    <w:sdt>
                      <w:sdtPr>
                        <w:alias w:val="skirsnis"/>
                        <w:tag w:val="part_8504a0a797f442e1aa391ba2ddb0a129"/>
                        <w:lock w:val="sdtLocked"/>
                        <w:richText/>
                      </w:sdtPr>
                      <w:sdtContent>
                        <w:p w14:paraId="107EEEB5" w14:textId="77777777">
                          <w:pPr>
                            <w:widowControl w:val="0"/>
                            <w:jc w:val="both"/>
                            <w:rPr>
                              <w:rFonts w:ascii="Verdana" w:hAnsi="Verdana" w:cs="Arial"/>
                              <w:b/>
                              <w:bCs/>
                              <w:color w:val="000000"/>
                              <w:sz w:val="20"/>
                              <w:shd w:val="clear" w:color="auto" w:fill="FFFFFF"/>
                            </w:rPr>
                          </w:pPr>
                          <w:sdt>
                            <w:sdtPr>
                              <w:alias w:val="Pavadinimas"/>
                              <w:tag w:val="title_8504a0a797f442e1aa391ba2ddb0a129"/>
                              <w:lock w:val="sdtLocked"/>
                              <w:richText/>
                            </w:sdtPr>
                            <w:sdtContent>
                              <w:r>
                                <w:rPr>
                                  <w:rFonts w:ascii="MS Gothic" w:eastAsia="MS Gothic" w:hAnsi="MS Gothic" w:cs="Arial"/>
                                  <w:b/>
                                  <w:bCs/>
                                  <w:color w:val="000000"/>
                                  <w:sz w:val="20"/>
                                  <w:shd w:val="clear" w:color="auto" w:fill="FFFFFF"/>
                                </w:rPr>
                                <w:t>☐</w:t>
                              </w:r>
                              <w:r>
                                <w:rPr>
                                  <w:rFonts w:ascii="Verdana" w:hAnsi="Verdana" w:cs="Arial"/>
                                  <w:b/>
                                  <w:bCs/>
                                  <w:color w:val="000000"/>
                                  <w:sz w:val="20"/>
                                  <w:shd w:val="clear" w:color="auto" w:fill="FFFFFF"/>
                                </w:rPr>
                                <w:t xml:space="preserve"> Taip </w:t>
                              </w:r>
                              <w:r>
                                <w:rPr>
                                  <w:rFonts w:ascii="MS Gothic" w:eastAsia="MS Gothic" w:hAnsi="MS Gothic" w:cs="Arial"/>
                                  <w:b/>
                                  <w:bCs/>
                                  <w:color w:val="000000"/>
                                  <w:sz w:val="20"/>
                                  <w:shd w:val="clear" w:color="auto" w:fill="FFFFFF"/>
                                </w:rPr>
                                <w:t>☐</w:t>
                              </w:r>
                              <w:r>
                                <w:rPr>
                                  <w:rFonts w:ascii="Verdana" w:hAnsi="Verdana" w:cs="Arial"/>
                                  <w:b/>
                                  <w:bCs/>
                                  <w:color w:val="000000"/>
                                  <w:sz w:val="20"/>
                                  <w:shd w:val="clear" w:color="auto" w:fill="FFFFFF"/>
                                </w:rPr>
                                <w:t xml:space="preserve"> Ne</w:t>
                              </w:r>
                            </w:sdtContent>
                          </w:sdt>
                        </w:p>
                        <w:p w14:paraId="709854FE" w14:textId="77777777">
                          <w:pPr>
                            <w:widowControl w:val="0"/>
                            <w:jc w:val="both"/>
                            <w:rPr>
                              <w:rFonts w:ascii="Verdana" w:hAnsi="Verdana" w:cs="Arial"/>
                              <w:b/>
                              <w:bCs/>
                              <w:color w:val="000000"/>
                              <w:sz w:val="20"/>
                              <w:shd w:val="clear" w:color="auto" w:fill="FFFFFF"/>
                            </w:rPr>
                          </w:pPr>
                        </w:p>
                      </w:sdtContent>
                    </w:sdt>
                    <w:sdt>
                      <w:sdtPr>
                        <w:alias w:val="skirsnis"/>
                        <w:tag w:val="part_15f531c6ed194646aad317be2d17ada6"/>
                        <w:lock w:val="sdtLocked"/>
                        <w:richText/>
                      </w:sdtPr>
                      <w:sdtContent>
                        <w:p w14:paraId="1F0179CE" w14:textId="77777777">
                          <w:pPr>
                            <w:widowControl w:val="0"/>
                            <w:jc w:val="both"/>
                            <w:rPr>
                              <w:rFonts w:ascii="Verdana" w:hAnsi="Verdana" w:cs="Arial"/>
                              <w:b/>
                              <w:bCs/>
                              <w:color w:val="000000"/>
                              <w:sz w:val="20"/>
                              <w:shd w:val="clear" w:color="auto" w:fill="FFFFFF"/>
                            </w:rPr>
                          </w:pPr>
                          <w:sdt>
                            <w:sdtPr>
                              <w:alias w:val="Pavadinimas"/>
                              <w:tag w:val="title_15f531c6ed194646aad317be2d17ada6"/>
                              <w:lock w:val="sdtLocked"/>
                              <w:richText/>
                            </w:sdtPr>
                            <w:sdtContent>
                              <w:r>
                                <w:rPr>
                                  <w:rFonts w:ascii="Verdana" w:hAnsi="Verdana" w:cs="Arial"/>
                                  <w:b/>
                                  <w:bCs/>
                                  <w:color w:val="000000"/>
                                  <w:sz w:val="20"/>
                                  <w:shd w:val="clear" w:color="auto" w:fill="FFFFFF"/>
                                </w:rPr>
                                <w:t>Jeigu Taip, pateikite komentarą</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14:paraId="27CDD176" w14:textId="77777777">
                            <w:tc>
                              <w:tcPr>
                                <w:tcW w:w="9629" w:type="dxa"/>
                              </w:tcPr>
                              <w:p w14:paraId="16AA8C1C" w14:textId="77777777">
                                <w:pPr>
                                  <w:widowControl w:val="0"/>
                                  <w:jc w:val="both"/>
                                  <w:rPr>
                                    <w:rFonts w:ascii="Verdana" w:hAnsi="Verdana" w:cs="Arial"/>
                                    <w:b/>
                                    <w:bCs/>
                                    <w:color w:val="000000"/>
                                    <w:sz w:val="20"/>
                                    <w:szCs w:val="22"/>
                                    <w:shd w:val="clear" w:color="auto" w:fill="FFFFFF"/>
                                  </w:rPr>
                                </w:pPr>
                              </w:p>
                            </w:tc>
                          </w:tr>
                        </w:tbl>
                        <w:p w14:paraId="2B5B4CC1" w14:textId="77777777">
                          <w:pPr>
                            <w:jc w:val="both"/>
                            <w:rPr>
                              <w:rFonts w:ascii="Verdana" w:hAnsi="Verdana" w:cs="Arial"/>
                              <w:b/>
                              <w:bCs/>
                              <w:color w:val="000000"/>
                              <w:sz w:val="20"/>
                              <w:shd w:val="clear" w:color="auto" w:fill="FFFFFF"/>
                            </w:rPr>
                          </w:pPr>
                        </w:p>
                        <w:sdt>
                          <w:sdtPr>
                            <w:alias w:val="2.7 pp."/>
                            <w:tag w:val="part_614ffb952ec24edb8658f5b04bac7687"/>
                            <w:lock w:val="sdtLocked"/>
                            <w:richText/>
                          </w:sdtPr>
                          <w:sdtContent>
                            <w:p w14:paraId="58AE5A87" w14:textId="72B85D56">
                              <w:pPr>
                                <w:widowControl w:val="0"/>
                                <w:ind w:firstLine="720"/>
                                <w:jc w:val="both"/>
                                <w:rPr>
                                  <w:rFonts w:ascii="Verdana" w:hAnsi="Verdana"/>
                                  <w:color w:val="000000"/>
                                  <w:sz w:val="20"/>
                                </w:rPr>
                              </w:pPr>
                              <w:sdt>
                                <w:sdtPr>
                                  <w:alias w:val="Numeris"/>
                                  <w:tag w:val="nr_614ffb952ec24edb8658f5b04bac7687"/>
                                  <w:lock w:val="sdtLocked"/>
                                  <w:richText/>
                                </w:sdtPr>
                                <w:sdtContent>
                                  <w:r>
                                    <w:rPr>
                                      <w:rFonts w:ascii="Verdana" w:hAnsi="Verdana"/>
                                      <w:color w:val="000000"/>
                                      <w:sz w:val="20"/>
                                    </w:rPr>
                                    <w:t>2.7</w:t>
                                  </w:r>
                                </w:sdtContent>
                              </w:sdt>
                              <w:r>
                                <w:rPr>
                                  <w:rFonts w:ascii="Verdana" w:hAnsi="Verdana"/>
                                  <w:color w:val="000000"/>
                                  <w:sz w:val="20"/>
                                </w:rPr>
                                <w:t>. Pakeisti 1 priedo II dalies A skiltį ir ją išdėstyti taip:</w:t>
                              </w:r>
                            </w:p>
                            <w:p w14:paraId="26F4E8E2" w14:textId="6153E23A">
                              <w:pPr>
                                <w:widowControl w:val="0"/>
                                <w:jc w:val="both"/>
                                <w:rPr>
                                  <w:rFonts w:ascii="Verdana" w:eastAsia="Calibri" w:hAnsi="Verdana"/>
                                  <w:b/>
                                  <w:sz w:val="20"/>
                                </w:rPr>
                              </w:pPr>
                              <w:r>
                                <w:rPr>
                                  <w:rFonts w:ascii="Verdana" w:hAnsi="Verdana"/>
                                  <w:color w:val="000000"/>
                                  <w:sz w:val="20"/>
                                </w:rPr>
                                <w:t>„</w:t>
                              </w:r>
                              <w:r>
                                <w:rPr>
                                  <w:rFonts w:ascii="Verdana" w:eastAsia="Calibri" w:hAnsi="Verdana"/>
                                  <w:b/>
                                  <w:sz w:val="20"/>
                                </w:rPr>
                                <w:t>A. Identifikaciniai duomenys</w:t>
                              </w:r>
                            </w:p>
                            <w:p w14:paraId="1C96FEBF"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92"/>
                                <w:gridCol w:w="4845"/>
                              </w:tblGrid>
                              <w:tr w14:paraId="67F28010" w14:textId="77777777">
                                <w:trPr>
                                  <w:trHeight w:val="676"/>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67B7944A" w14:textId="77777777">
                                    <w:pPr>
                                      <w:rPr>
                                        <w:rFonts w:ascii="Verdana" w:eastAsia="Calibri" w:hAnsi="Verdana"/>
                                        <w:b/>
                                        <w:sz w:val="20"/>
                                      </w:rPr>
                                    </w:pPr>
                                    <w:r>
                                      <w:rPr>
                                        <w:rFonts w:ascii="Verdana" w:eastAsia="Calibri" w:hAnsi="Verdana"/>
                                        <w:b/>
                                        <w:sz w:val="20"/>
                                      </w:rPr>
                                      <w:t xml:space="preserve">Pavadinimas </w:t>
                                    </w:r>
                                  </w:p>
                                </w:tc>
                                <w:tc>
                                  <w:tcPr>
                                    <w:tcW w:w="4872" w:type="dxa"/>
                                    <w:tcBorders>
                                      <w:top w:val="single" w:sz="4" w:space="0" w:color="auto"/>
                                      <w:left w:val="single" w:sz="4" w:space="0" w:color="auto"/>
                                      <w:bottom w:val="single" w:sz="4" w:space="0" w:color="auto"/>
                                      <w:right w:val="single" w:sz="4" w:space="0" w:color="auto"/>
                                    </w:tcBorders>
                                  </w:tcPr>
                                  <w:p w14:paraId="08C0CFD9" w14:textId="77777777">
                                    <w:pPr>
                                      <w:rPr>
                                        <w:rFonts w:ascii="Verdana" w:eastAsia="Calibri" w:hAnsi="Verdana"/>
                                        <w:b/>
                                        <w:sz w:val="20"/>
                                      </w:rPr>
                                    </w:pPr>
                                  </w:p>
                                </w:tc>
                              </w:tr>
                              <w:tr w14:paraId="796ED44E" w14:textId="77777777">
                                <w:trPr>
                                  <w:trHeight w:val="461"/>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5D27C38C" w14:textId="77777777">
                                    <w:pPr>
                                      <w:rPr>
                                        <w:rFonts w:ascii="Verdana" w:eastAsia="Calibri" w:hAnsi="Verdana"/>
                                        <w:b/>
                                        <w:sz w:val="20"/>
                                      </w:rPr>
                                    </w:pPr>
                                    <w:r>
                                      <w:rPr>
                                        <w:rFonts w:ascii="Verdana" w:eastAsia="Calibri" w:hAnsi="Verdana"/>
                                        <w:b/>
                                        <w:sz w:val="20"/>
                                      </w:rPr>
                                      <w:t xml:space="preserve">Kodas </w:t>
                                    </w:r>
                                  </w:p>
                                </w:tc>
                                <w:tc>
                                  <w:tcPr>
                                    <w:tcW w:w="4872" w:type="dxa"/>
                                    <w:tcBorders>
                                      <w:top w:val="single" w:sz="4" w:space="0" w:color="auto"/>
                                      <w:left w:val="single" w:sz="4" w:space="0" w:color="auto"/>
                                      <w:bottom w:val="single" w:sz="4" w:space="0" w:color="auto"/>
                                      <w:right w:val="single" w:sz="4" w:space="0" w:color="auto"/>
                                    </w:tcBorders>
                                  </w:tcPr>
                                  <w:p w14:paraId="5985B49D" w14:textId="77777777">
                                    <w:pPr>
                                      <w:rPr>
                                        <w:rFonts w:ascii="Verdana" w:eastAsia="Calibri" w:hAnsi="Verdana"/>
                                        <w:b/>
                                        <w:sz w:val="20"/>
                                      </w:rPr>
                                    </w:pPr>
                                  </w:p>
                                </w:tc>
                              </w:tr>
                              <w:tr w14:paraId="74ACE037" w14:textId="77777777">
                                <w:trPr>
                                  <w:trHeight w:val="461"/>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5F7CBE3B" w14:textId="77777777">
                                    <w:pPr>
                                      <w:rPr>
                                        <w:rFonts w:ascii="Verdana" w:eastAsia="Calibri" w:hAnsi="Verdana"/>
                                        <w:b/>
                                        <w:sz w:val="20"/>
                                      </w:rPr>
                                    </w:pPr>
                                    <w:r>
                                      <w:rPr>
                                        <w:rFonts w:ascii="Verdana" w:eastAsia="Calibri" w:hAnsi="Verdana"/>
                                        <w:b/>
                                        <w:sz w:val="20"/>
                                      </w:rPr>
                                      <w:t>LEI kodas</w:t>
                                    </w:r>
                                  </w:p>
                                  <w:p w14:paraId="2857084D" w14:textId="77777777">
                                    <w:pPr>
                                      <w:rPr>
                                        <w:rFonts w:ascii="Verdana" w:eastAsia="Calibri" w:hAnsi="Verdana"/>
                                        <w:b/>
                                        <w:sz w:val="20"/>
                                      </w:rPr>
                                    </w:pPr>
                                  </w:p>
                                  <w:p w14:paraId="0A73DAA7" w14:textId="45EB525E">
                                    <w:pPr>
                                      <w:jc w:val="both"/>
                                      <w:rPr>
                                        <w:rFonts w:ascii="Verdana" w:eastAsia="Calibri" w:hAnsi="Verdana"/>
                                        <w:b/>
                                        <w:i/>
                                        <w:iCs/>
                                        <w:sz w:val="20"/>
                                      </w:rPr>
                                    </w:pPr>
                                    <w:r>
                                      <w:rPr>
                                        <w:rFonts w:ascii="Verdana" w:eastAsia="Calibri" w:hAnsi="Verdana"/>
                                        <w:b/>
                                        <w:i/>
                                        <w:iCs/>
                                        <w:sz w:val="20"/>
                                      </w:rPr>
                                      <w:t xml:space="preserve">Šis punktas privalomai pildomas </w:t>
                                    </w:r>
                                    <w:r>
                                      <w:rPr>
                                        <w:rFonts w:ascii="Verdana" w:eastAsia="Calibri" w:hAnsi="Verdana"/>
                                        <w:b/>
                                        <w:i/>
                                        <w:iCs/>
                                        <w:sz w:val="20"/>
                                        <w:highlight w:val="lightGray"/>
                                      </w:rPr>
                                      <w:t>k</w:t>
                                    </w:r>
                                    <w:r>
                                      <w:rPr>
                                        <w:rFonts w:ascii="Verdana" w:hAnsi="Verdana" w:cs="Arial"/>
                                        <w:b/>
                                        <w:bCs/>
                                        <w:i/>
                                        <w:iCs/>
                                        <w:color w:val="000000"/>
                                        <w:sz w:val="20"/>
                                        <w:highlight w:val="lightGray"/>
                                        <w:shd w:val="clear" w:color="auto" w:fill="FFFFFF"/>
                                      </w:rPr>
                                      <w:t>riptoturto paslaugų teikėjų ir su turtu susietų žetonų emitentų atveju</w:t>
                                    </w:r>
                                  </w:p>
                                </w:tc>
                                <w:tc>
                                  <w:tcPr>
                                    <w:tcW w:w="4872" w:type="dxa"/>
                                    <w:tcBorders>
                                      <w:top w:val="single" w:sz="4" w:space="0" w:color="auto"/>
                                      <w:left w:val="single" w:sz="4" w:space="0" w:color="auto"/>
                                      <w:bottom w:val="single" w:sz="4" w:space="0" w:color="auto"/>
                                      <w:right w:val="single" w:sz="4" w:space="0" w:color="auto"/>
                                    </w:tcBorders>
                                  </w:tcPr>
                                  <w:p w14:paraId="1997EEB2" w14:textId="77777777">
                                    <w:pPr>
                                      <w:rPr>
                                        <w:rFonts w:ascii="Verdana" w:eastAsia="Calibri" w:hAnsi="Verdana"/>
                                        <w:b/>
                                        <w:sz w:val="20"/>
                                      </w:rPr>
                                    </w:pPr>
                                  </w:p>
                                </w:tc>
                              </w:tr>
                              <w:tr w14:paraId="2B2E9DBF" w14:textId="77777777">
                                <w:trPr>
                                  <w:trHeight w:val="465"/>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2BD3BC68" w14:textId="77777777">
                                    <w:pPr>
                                      <w:rPr>
                                        <w:rFonts w:ascii="Verdana" w:eastAsia="Calibri" w:hAnsi="Verdana"/>
                                        <w:b/>
                                        <w:sz w:val="20"/>
                                      </w:rPr>
                                    </w:pPr>
                                    <w:r>
                                      <w:rPr>
                                        <w:rFonts w:ascii="Verdana" w:eastAsia="Calibri" w:hAnsi="Verdana"/>
                                        <w:b/>
                                        <w:sz w:val="20"/>
                                      </w:rPr>
                                      <w:t>Teisinė forma</w:t>
                                    </w:r>
                                  </w:p>
                                </w:tc>
                                <w:tc>
                                  <w:tcPr>
                                    <w:tcW w:w="4872" w:type="dxa"/>
                                    <w:tcBorders>
                                      <w:top w:val="single" w:sz="4" w:space="0" w:color="auto"/>
                                      <w:left w:val="single" w:sz="4" w:space="0" w:color="auto"/>
                                      <w:bottom w:val="single" w:sz="4" w:space="0" w:color="auto"/>
                                      <w:right w:val="single" w:sz="4" w:space="0" w:color="auto"/>
                                    </w:tcBorders>
                                  </w:tcPr>
                                  <w:p w14:paraId="74EFB639" w14:textId="77777777">
                                    <w:pPr>
                                      <w:rPr>
                                        <w:rFonts w:ascii="Verdana" w:eastAsia="Calibri" w:hAnsi="Verdana"/>
                                        <w:b/>
                                        <w:sz w:val="20"/>
                                      </w:rPr>
                                    </w:pPr>
                                  </w:p>
                                </w:tc>
                              </w:tr>
                              <w:tr w14:paraId="3739B5B9" w14:textId="77777777">
                                <w:trPr>
                                  <w:trHeight w:val="465"/>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366677BD" w14:textId="77777777">
                                    <w:pPr>
                                      <w:rPr>
                                        <w:rFonts w:ascii="Verdana" w:eastAsia="Calibri" w:hAnsi="Verdana"/>
                                        <w:b/>
                                        <w:sz w:val="20"/>
                                      </w:rPr>
                                    </w:pPr>
                                    <w:r>
                                      <w:rPr>
                                        <w:rFonts w:ascii="Verdana" w:eastAsia="Calibri" w:hAnsi="Verdana"/>
                                        <w:b/>
                                        <w:sz w:val="20"/>
                                      </w:rPr>
                                      <w:t>Buveinės adresas</w:t>
                                    </w:r>
                                  </w:p>
                                </w:tc>
                                <w:tc>
                                  <w:tcPr>
                                    <w:tcW w:w="4872" w:type="dxa"/>
                                    <w:tcBorders>
                                      <w:top w:val="single" w:sz="4" w:space="0" w:color="auto"/>
                                      <w:left w:val="single" w:sz="4" w:space="0" w:color="auto"/>
                                      <w:bottom w:val="single" w:sz="4" w:space="0" w:color="auto"/>
                                      <w:right w:val="single" w:sz="4" w:space="0" w:color="auto"/>
                                    </w:tcBorders>
                                  </w:tcPr>
                                  <w:p w14:paraId="140C4EDA" w14:textId="77777777">
                                    <w:pPr>
                                      <w:rPr>
                                        <w:rFonts w:ascii="Verdana" w:eastAsia="Calibri" w:hAnsi="Verdana"/>
                                        <w:b/>
                                        <w:sz w:val="20"/>
                                      </w:rPr>
                                    </w:pPr>
                                  </w:p>
                                </w:tc>
                              </w:tr>
                            </w:tbl>
                            <w:p w14:paraId="3BFD3A59" w14:textId="77777777">
                              <w:pPr>
                                <w:rPr>
                                  <w:rFonts w:ascii="Verdana" w:hAnsi="Verdana"/>
                                  <w:sz w:val="20"/>
                                </w:rPr>
                              </w:pPr>
                            </w:p>
                            <w:p w14:paraId="7CB42E63" w14:textId="77777777">
                              <w:pPr>
                                <w:rPr>
                                  <w:rFonts w:ascii="Verdana" w:eastAsia="Calibri" w:hAnsi="Verdana"/>
                                  <w:sz w:val="20"/>
                                </w:rPr>
                              </w:pPr>
                              <w:r>
                                <w:rPr>
                                  <w:rFonts w:ascii="Verdana" w:eastAsia="Calibri" w:hAnsi="Verdana"/>
                                  <w:sz w:val="20"/>
                                </w:rPr>
                                <w:t>Pateikite juridinio asmens registraciją patvirtinančio dokumento kopiją.</w:t>
                              </w:r>
                            </w:p>
                            <w:p w14:paraId="276485CD" w14:textId="77777777">
                              <w:pPr>
                                <w:rPr>
                                  <w:rFonts w:ascii="Verdana" w:hAnsi="Verdana"/>
                                  <w:sz w:val="20"/>
                                </w:rPr>
                              </w:pPr>
                            </w:p>
                          </w:sdtContent>
                        </w:sdt>
                      </w:sdtContent>
                    </w:sdt>
                    <w:sdt>
                      <w:sdtPr>
                        <w:alias w:val="skirsnis"/>
                        <w:tag w:val="part_f631c558758c4161bef645849f57f6b4"/>
                        <w:lock w:val="sdtLocked"/>
                        <w:richText/>
                      </w:sdtPr>
                      <w:sdtContent>
                        <w:p w14:paraId="566DCA6F" w14:textId="77777777">
                          <w:pPr>
                            <w:rPr>
                              <w:rFonts w:ascii="Verdana" w:eastAsia="Calibri" w:hAnsi="Verdana"/>
                              <w:b/>
                              <w:sz w:val="20"/>
                            </w:rPr>
                          </w:pPr>
                          <w:sdt>
                            <w:sdtPr>
                              <w:alias w:val="Pavadinimas"/>
                              <w:tag w:val="title_f631c558758c4161bef645849f57f6b4"/>
                              <w:lock w:val="sdtLocked"/>
                              <w:richText/>
                            </w:sdtPr>
                            <w:sdtContent>
                              <w:r>
                                <w:rPr>
                                  <w:rFonts w:ascii="Verdana" w:eastAsia="Calibri" w:hAnsi="Verdana"/>
                                  <w:b/>
                                  <w:sz w:val="20"/>
                                </w:rPr>
                                <w:t>Kontaktiniai duomenys</w:t>
                              </w:r>
                            </w:sdtContent>
                          </w:sdt>
                        </w:p>
                        <w:p w14:paraId="4CFBF0AC"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41"/>
                            <w:gridCol w:w="4796"/>
                          </w:tblGrid>
                          <w:tr w14:paraId="5FE8C481" w14:textId="77777777">
                            <w:tc>
                              <w:tcPr>
                                <w:tcW w:w="4841" w:type="dxa"/>
                                <w:tcBorders>
                                  <w:top w:val="single" w:sz="4" w:space="0" w:color="auto"/>
                                  <w:left w:val="single" w:sz="4" w:space="0" w:color="auto"/>
                                  <w:bottom w:val="single" w:sz="4" w:space="0" w:color="auto"/>
                                  <w:right w:val="single" w:sz="4" w:space="0" w:color="auto"/>
                                </w:tcBorders>
                                <w:shd w:val="clear" w:color="auto" w:fill="D9D9D9"/>
                              </w:tcPr>
                              <w:p w14:paraId="784CC2FC" w14:textId="77777777">
                                <w:pPr>
                                  <w:rPr>
                                    <w:rFonts w:ascii="Verdana" w:eastAsia="Calibri" w:hAnsi="Verdana"/>
                                    <w:b/>
                                    <w:sz w:val="20"/>
                                  </w:rPr>
                                </w:pPr>
                                <w:r>
                                  <w:rPr>
                                    <w:rFonts w:ascii="Verdana" w:eastAsia="Calibri" w:hAnsi="Verdana"/>
                                    <w:b/>
                                    <w:sz w:val="20"/>
                                  </w:rPr>
                                  <w:t>Korespondencijos adresas (pildoma, jei skiriasi nuo buveinės adreso)</w:t>
                                </w:r>
                              </w:p>
                            </w:tc>
                            <w:tc>
                              <w:tcPr>
                                <w:tcW w:w="4796" w:type="dxa"/>
                                <w:tcBorders>
                                  <w:top w:val="single" w:sz="4" w:space="0" w:color="auto"/>
                                  <w:left w:val="single" w:sz="4" w:space="0" w:color="auto"/>
                                  <w:bottom w:val="single" w:sz="4" w:space="0" w:color="auto"/>
                                  <w:right w:val="single" w:sz="4" w:space="0" w:color="auto"/>
                                </w:tcBorders>
                              </w:tcPr>
                              <w:p w14:paraId="33E128D8" w14:textId="77777777">
                                <w:pPr>
                                  <w:rPr>
                                    <w:rFonts w:ascii="Verdana" w:eastAsia="Calibri" w:hAnsi="Verdana"/>
                                    <w:b/>
                                    <w:sz w:val="20"/>
                                  </w:rPr>
                                </w:pPr>
                              </w:p>
                            </w:tc>
                          </w:tr>
                          <w:tr w14:paraId="79C54092" w14:textId="77777777">
                            <w:tc>
                              <w:tcPr>
                                <w:tcW w:w="4841" w:type="dxa"/>
                                <w:tcBorders>
                                  <w:top w:val="single" w:sz="4" w:space="0" w:color="auto"/>
                                  <w:left w:val="single" w:sz="4" w:space="0" w:color="auto"/>
                                  <w:bottom w:val="single" w:sz="4" w:space="0" w:color="auto"/>
                                  <w:right w:val="single" w:sz="4" w:space="0" w:color="auto"/>
                                </w:tcBorders>
                                <w:shd w:val="clear" w:color="auto" w:fill="D9D9D9"/>
                              </w:tcPr>
                              <w:p w14:paraId="7FC76120" w14:textId="77777777">
                                <w:pPr>
                                  <w:rPr>
                                    <w:rFonts w:ascii="Verdana" w:eastAsia="Calibri" w:hAnsi="Verdana"/>
                                    <w:b/>
                                    <w:sz w:val="20"/>
                                  </w:rPr>
                                </w:pPr>
                                <w:r>
                                  <w:rPr>
                                    <w:rFonts w:ascii="Verdana" w:eastAsia="Calibri" w:hAnsi="Verdana"/>
                                    <w:b/>
                                    <w:sz w:val="20"/>
                                  </w:rPr>
                                  <w:t>Telefonas</w:t>
                                </w:r>
                              </w:p>
                            </w:tc>
                            <w:tc>
                              <w:tcPr>
                                <w:tcW w:w="4796" w:type="dxa"/>
                                <w:tcBorders>
                                  <w:top w:val="single" w:sz="4" w:space="0" w:color="auto"/>
                                  <w:left w:val="single" w:sz="4" w:space="0" w:color="auto"/>
                                  <w:bottom w:val="single" w:sz="4" w:space="0" w:color="auto"/>
                                  <w:right w:val="single" w:sz="4" w:space="0" w:color="auto"/>
                                </w:tcBorders>
                              </w:tcPr>
                              <w:p w14:paraId="1EE607C8" w14:textId="77777777">
                                <w:pPr>
                                  <w:rPr>
                                    <w:rFonts w:ascii="Verdana" w:eastAsia="Calibri" w:hAnsi="Verdana"/>
                                    <w:b/>
                                    <w:sz w:val="20"/>
                                  </w:rPr>
                                </w:pPr>
                              </w:p>
                            </w:tc>
                          </w:tr>
                          <w:tr w14:paraId="72AF58CF" w14:textId="77777777">
                            <w:tc>
                              <w:tcPr>
                                <w:tcW w:w="4841" w:type="dxa"/>
                                <w:tcBorders>
                                  <w:top w:val="single" w:sz="4" w:space="0" w:color="auto"/>
                                  <w:left w:val="single" w:sz="4" w:space="0" w:color="auto"/>
                                  <w:bottom w:val="single" w:sz="4" w:space="0" w:color="auto"/>
                                  <w:right w:val="single" w:sz="4" w:space="0" w:color="auto"/>
                                </w:tcBorders>
                                <w:shd w:val="clear" w:color="auto" w:fill="D9D9D9"/>
                              </w:tcPr>
                              <w:p w14:paraId="1F4B14BB" w14:textId="77777777">
                                <w:pPr>
                                  <w:rPr>
                                    <w:rFonts w:ascii="Verdana" w:eastAsia="Calibri" w:hAnsi="Verdana"/>
                                    <w:b/>
                                    <w:sz w:val="20"/>
                                  </w:rPr>
                                </w:pPr>
                                <w:r>
                                  <w:rPr>
                                    <w:rFonts w:ascii="Verdana" w:eastAsia="Calibri" w:hAnsi="Verdana"/>
                                    <w:b/>
                                    <w:sz w:val="20"/>
                                  </w:rPr>
                                  <w:t>Elektroninio pašto adresas</w:t>
                                </w:r>
                              </w:p>
                            </w:tc>
                            <w:tc>
                              <w:tcPr>
                                <w:tcW w:w="4796" w:type="dxa"/>
                                <w:tcBorders>
                                  <w:top w:val="single" w:sz="4" w:space="0" w:color="auto"/>
                                  <w:left w:val="single" w:sz="4" w:space="0" w:color="auto"/>
                                  <w:bottom w:val="single" w:sz="4" w:space="0" w:color="auto"/>
                                  <w:right w:val="single" w:sz="4" w:space="0" w:color="auto"/>
                                </w:tcBorders>
                              </w:tcPr>
                              <w:p w14:paraId="1E670ECC" w14:textId="6530E7C6">
                                <w:pPr>
                                  <w:jc w:val="right"/>
                                  <w:rPr>
                                    <w:rFonts w:ascii="Verdana" w:eastAsia="Calibri" w:hAnsi="Verdana"/>
                                    <w:b/>
                                    <w:sz w:val="20"/>
                                  </w:rPr>
                                </w:pPr>
                                <w:r>
                                  <w:rPr>
                                    <w:rFonts w:ascii="Verdana" w:eastAsia="Calibri" w:hAnsi="Verdana"/>
                                    <w:b/>
                                    <w:sz w:val="20"/>
                                  </w:rPr>
                                  <w:t>“</w:t>
                                </w:r>
                              </w:p>
                            </w:tc>
                          </w:tr>
                        </w:tbl>
                        <w:p w14:paraId="6CB31E62" w14:textId="77777777">
                          <w:pPr>
                            <w:widowControl w:val="0"/>
                            <w:ind w:firstLine="720"/>
                            <w:jc w:val="both"/>
                            <w:rPr>
                              <w:rFonts w:ascii="Verdana" w:hAnsi="Verdana"/>
                              <w:color w:val="000000"/>
                              <w:sz w:val="20"/>
                            </w:rPr>
                          </w:pPr>
                        </w:p>
                        <w:sdt>
                          <w:sdtPr>
                            <w:alias w:val="2.8 pp."/>
                            <w:tag w:val="part_fdb5587dc32d4730afa1b887db157e33"/>
                            <w:lock w:val="sdtLocked"/>
                            <w:richText/>
                          </w:sdtPr>
                          <w:sdtContent>
                            <w:p w14:paraId="079C58FC" w14:textId="7FBC85C4">
                              <w:pPr>
                                <w:widowControl w:val="0"/>
                                <w:ind w:firstLine="720"/>
                                <w:jc w:val="both"/>
                                <w:rPr>
                                  <w:rFonts w:ascii="Verdana" w:hAnsi="Verdana"/>
                                  <w:color w:val="000000"/>
                                  <w:sz w:val="20"/>
                                </w:rPr>
                              </w:pPr>
                              <w:sdt>
                                <w:sdtPr>
                                  <w:alias w:val="Numeris"/>
                                  <w:tag w:val="nr_fdb5587dc32d4730afa1b887db157e33"/>
                                  <w:lock w:val="sdtLocked"/>
                                  <w:richText/>
                                </w:sdtPr>
                                <w:sdtContent>
                                  <w:r>
                                    <w:rPr>
                                      <w:rFonts w:ascii="Verdana" w:hAnsi="Verdana"/>
                                      <w:color w:val="000000"/>
                                      <w:sz w:val="20"/>
                                    </w:rPr>
                                    <w:t>2.8</w:t>
                                  </w:r>
                                </w:sdtContent>
                              </w:sdt>
                              <w:r>
                                <w:rPr>
                                  <w:rFonts w:ascii="Verdana" w:hAnsi="Verdana"/>
                                  <w:color w:val="000000"/>
                                  <w:sz w:val="20"/>
                                </w:rPr>
                                <w:t>. Pakeisti 1 priedo II dalies E skilties pirmąją pastraipą ir ją išdėstyti taip:</w:t>
                              </w:r>
                            </w:p>
                            <w:p w14:paraId="6C5365B6" w14:textId="34B5F7E6">
                              <w:pPr>
                                <w:widowControl w:val="0"/>
                                <w:jc w:val="both"/>
                                <w:rPr>
                                  <w:rFonts w:ascii="Verdana" w:eastAsia="Calibri" w:hAnsi="Verdana"/>
                                  <w:b/>
                                  <w:sz w:val="20"/>
                                </w:rPr>
                              </w:pPr>
                              <w:r>
                                <w:rPr>
                                  <w:rFonts w:ascii="Verdana" w:hAnsi="Verdana"/>
                                  <w:color w:val="000000"/>
                                  <w:sz w:val="20"/>
                                </w:rPr>
                                <w:t>„</w:t>
                              </w:r>
                              <w:r>
                                <w:rPr>
                                  <w:rFonts w:ascii="Verdana" w:eastAsia="Calibri" w:hAnsi="Verdana"/>
                                  <w:b/>
                                  <w:sz w:val="20"/>
                                </w:rPr>
                                <w:t>E. Nepriekaištinga reputacija</w:t>
                              </w:r>
                            </w:p>
                            <w:p w14:paraId="5671F705" w14:textId="77777777">
                              <w:pPr>
                                <w:jc w:val="both"/>
                                <w:rPr>
                                  <w:rFonts w:ascii="Verdana" w:hAnsi="Verdana"/>
                                  <w:sz w:val="20"/>
                                </w:rPr>
                              </w:pPr>
                            </w:p>
                            <w:p w14:paraId="1A2062EC" w14:textId="14433B92">
                              <w:pPr>
                                <w:jc w:val="both"/>
                                <w:rPr>
                                  <w:rFonts w:ascii="Verdana" w:hAnsi="Verdana"/>
                                  <w:color w:val="000000"/>
                                  <w:sz w:val="20"/>
                                </w:rPr>
                              </w:pPr>
                              <w:r>
                                <w:rPr>
                                  <w:rFonts w:ascii="Verdana" w:hAnsi="Verdana"/>
                                  <w:sz w:val="20"/>
                                </w:rPr>
                                <w:t xml:space="preserve">Pateikite kitos valstybės kompetentingos institucijos (kai asmens buveinė yra ne Lietuvos Respublikoje) ne vėliau kaip prieš šešis mėnesius parengtą dokumentą, kuriame nurodyta asmens reputacijai vertinti aktuali informacija (teistumo nebuvimas, pritaikytų poveikio priemonių neturėjimas ir pan.). </w:t>
                              </w:r>
                              <w:r>
                                <w:rPr>
                                  <w:rFonts w:ascii="Verdana" w:hAnsi="Verdana" w:cs="Arial"/>
                                  <w:b/>
                                  <w:bCs/>
                                  <w:color w:val="000000"/>
                                  <w:sz w:val="20"/>
                                  <w:shd w:val="clear" w:color="auto" w:fill="FFFFFF"/>
                                </w:rPr>
                                <w:t>Kriptoturto paslaugų teikėjų ir su turtu susietų žetonų emitentų atveju, dokumento, kuriame nurodyta asmens reputacijai vertinti aktuali informacija, parengimo data turi būti ne vėlesnė kaip trys mėnesiai.“</w:t>
                              </w:r>
                              <w:r>
                                <w:rPr>
                                  <w:rFonts w:ascii="Verdana" w:hAnsi="Verdana" w:cs="Arial"/>
                                  <w:color w:val="000000"/>
                                  <w:sz w:val="20"/>
                                  <w:shd w:val="clear" w:color="auto" w:fill="FFFFFF"/>
                                </w:rPr>
                                <w:t>;</w:t>
                              </w:r>
                            </w:p>
                          </w:sdtContent>
                        </w:sdt>
                      </w:sdtContent>
                    </w:sdt>
                  </w:sdtContent>
                </w:sdt>
              </w:sdtContent>
            </w:sdt>
            <w:sdt>
              <w:sdtPr>
                <w:alias w:val="2.9 pp."/>
                <w:tag w:val="part_88af9473fe5a4cfbbb1ad7fe030afe06"/>
                <w:lock w:val="sdtLocked"/>
                <w:richText/>
              </w:sdtPr>
              <w:sdtContent>
                <w:p w14:paraId="2B6A1F2A" w14:textId="49FCC3A0">
                  <w:pPr>
                    <w:widowControl w:val="0"/>
                    <w:ind w:firstLine="720"/>
                    <w:jc w:val="both"/>
                    <w:rPr>
                      <w:rFonts w:ascii="Verdana" w:hAnsi="Verdana"/>
                      <w:color w:val="000000"/>
                      <w:sz w:val="20"/>
                    </w:rPr>
                  </w:pPr>
                  <w:sdt>
                    <w:sdtPr>
                      <w:alias w:val="Numeris"/>
                      <w:tag w:val="nr_88af9473fe5a4cfbbb1ad7fe030afe06"/>
                      <w:lock w:val="sdtLocked"/>
                      <w:richText/>
                    </w:sdtPr>
                    <w:sdtContent>
                      <w:r>
                        <w:rPr>
                          <w:rFonts w:ascii="Verdana" w:hAnsi="Verdana"/>
                          <w:color w:val="000000"/>
                          <w:sz w:val="20"/>
                        </w:rPr>
                        <w:t>2.9</w:t>
                      </w:r>
                    </w:sdtContent>
                  </w:sdt>
                  <w:r>
                    <w:rPr>
                      <w:rFonts w:ascii="Verdana" w:hAnsi="Verdana"/>
                      <w:color w:val="000000"/>
                      <w:sz w:val="20"/>
                    </w:rPr>
                    <w:t>. Papildyti 1 priedo II dalį nauja I skiltimi ir ją išdėstyti taip:</w:t>
                  </w:r>
                </w:p>
                <w:sdt>
                  <w:sdtPr>
                    <w:alias w:val="citata"/>
                    <w:tag w:val="part_6a352379ca1647e98f1a6fb16ac4045d"/>
                    <w:lock w:val="sdtLocked"/>
                    <w:richText/>
                  </w:sdtPr>
                  <w:sdtContent>
                    <w:sdt>
                      <w:sdtPr>
                        <w:alias w:val="pastraipa"/>
                        <w:tag w:val="part_de1433eed7b140fa976824bbc14339e6"/>
                        <w:lock w:val="sdtLocked"/>
                        <w:richText/>
                      </w:sdtPr>
                      <w:sdtContent>
                        <w:p w14:paraId="4822FB20" w14:textId="1BC3F76A">
                          <w:pPr>
                            <w:widowControl w:val="0"/>
                            <w:jc w:val="both"/>
                            <w:rPr>
                              <w:rFonts w:ascii="Verdana" w:hAnsi="Verdana"/>
                              <w:color w:val="000000"/>
                              <w:sz w:val="20"/>
                            </w:rPr>
                          </w:pPr>
                          <w:r>
                            <w:rPr>
                              <w:rFonts w:ascii="Verdana" w:hAnsi="Verdana"/>
                              <w:color w:val="000000"/>
                              <w:sz w:val="20"/>
                            </w:rPr>
                            <w:t>„I. Papildoma informacija apie įsigyjantį asmenį, kai jis yra patikos fondas.</w:t>
                          </w:r>
                        </w:p>
                        <w:p w14:paraId="5F249550" w14:textId="77777777">
                          <w:pPr>
                            <w:rPr>
                              <w:rFonts w:ascii="Verdana" w:hAnsi="Verdana"/>
                              <w:sz w:val="20"/>
                            </w:rPr>
                          </w:pPr>
                        </w:p>
                      </w:sdtContent>
                    </w:sdt>
                  </w:sdtContent>
                </w:sdt>
              </w:sdtContent>
            </w:sdt>
          </w:sdtContent>
        </w:sdt>
        <w:sdt>
          <w:sdtPr>
            <w:alias w:val="1 p."/>
            <w:tag w:val="part_7289c8a9710f4275b4b0a9b6acb3ed7a"/>
            <w:lock w:val="sdtLocked"/>
            <w:richText/>
          </w:sdtPr>
          <w:sdtContent>
            <w:p w14:paraId="1980FDC0" w14:textId="43B976A5">
              <w:pPr>
                <w:jc w:val="both"/>
                <w:rPr>
                  <w:rFonts w:ascii="Verdana" w:eastAsia="Calibri" w:hAnsi="Verdana"/>
                  <w:b/>
                  <w:bCs/>
                  <w:sz w:val="20"/>
                </w:rPr>
              </w:pPr>
              <w:sdt>
                <w:sdtPr>
                  <w:alias w:val="Numeris"/>
                  <w:tag w:val="nr_7289c8a9710f4275b4b0a9b6acb3ed7a"/>
                  <w:lock w:val="sdtLocked"/>
                  <w:richText/>
                </w:sdtPr>
                <w:sdtContent>
                  <w:r>
                    <w:rPr>
                      <w:rFonts w:ascii="Verdana" w:eastAsia="Calibri" w:hAnsi="Verdana"/>
                      <w:sz w:val="20"/>
                    </w:rPr>
                    <w:t>1</w:t>
                  </w:r>
                </w:sdtContent>
              </w:sdt>
              <w:r>
                <w:rPr>
                  <w:rFonts w:ascii="Verdana" w:eastAsia="Calibri" w:hAnsi="Verdana"/>
                  <w:b/>
                  <w:bCs/>
                  <w:sz w:val="20"/>
                </w:rPr>
                <w:t xml:space="preserve">. Duomenys apie patikos fondą valdančius asmenis. </w:t>
              </w:r>
              <w:r>
                <w:rPr>
                  <w:rFonts w:ascii="Verdana" w:hAnsi="Verdana" w:cs="Arial"/>
                  <w:b/>
                  <w:bCs/>
                  <w:color w:val="000000"/>
                  <w:sz w:val="20"/>
                  <w:shd w:val="clear" w:color="auto" w:fill="FFFFFF"/>
                </w:rPr>
                <w:t>Šiuo tikslu turi būti pateikta kiekvieno asmens užpildyta ir pasirašyta šios formos I dalis.</w:t>
              </w:r>
            </w:p>
            <w:p w14:paraId="04936082" w14:textId="77777777">
              <w:pPr>
                <w:rPr>
                  <w:rFonts w:ascii="Verdana" w:hAnsi="Verdana"/>
                  <w:b/>
                  <w:bCs/>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4003FAEE"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24E9FFB8" w14:textId="1B5B47E2">
                    <w:pPr>
                      <w:rPr>
                        <w:rFonts w:ascii="Verdana" w:eastAsia="Calibri" w:hAnsi="Verdana"/>
                        <w:b/>
                        <w:bCs/>
                        <w:sz w:val="20"/>
                      </w:rPr>
                    </w:pPr>
                  </w:p>
                </w:tc>
              </w:tr>
            </w:tbl>
            <w:p w14:paraId="73BE4211" w14:textId="77777777">
              <w:pPr>
                <w:rPr>
                  <w:rFonts w:ascii="Verdana" w:hAnsi="Verdana"/>
                  <w:b/>
                  <w:bCs/>
                  <w:sz w:val="20"/>
                </w:rPr>
              </w:pPr>
            </w:p>
          </w:sdtContent>
        </w:sdt>
        <w:sdt>
          <w:sdtPr>
            <w:alias w:val="2 p."/>
            <w:tag w:val="part_09dec54d865742209f522f352c77aa04"/>
            <w:lock w:val="sdtLocked"/>
            <w:richText/>
          </w:sdtPr>
          <w:sdtContent>
            <w:p w14:paraId="64F97C90" w14:textId="12745BD3">
              <w:pPr>
                <w:jc w:val="both"/>
                <w:rPr>
                  <w:rFonts w:ascii="Verdana" w:eastAsia="Calibri" w:hAnsi="Verdana"/>
                  <w:b/>
                  <w:bCs/>
                  <w:sz w:val="20"/>
                </w:rPr>
              </w:pPr>
              <w:sdt>
                <w:sdtPr>
                  <w:alias w:val="Numeris"/>
                  <w:tag w:val="nr_09dec54d865742209f522f352c77aa04"/>
                  <w:lock w:val="sdtLocked"/>
                  <w:richText/>
                </w:sdtPr>
                <w:sdtContent>
                  <w:r>
                    <w:rPr>
                      <w:rFonts w:ascii="Verdana" w:eastAsia="Calibri" w:hAnsi="Verdana"/>
                      <w:b/>
                      <w:bCs/>
                      <w:sz w:val="20"/>
                    </w:rPr>
                    <w:t>2</w:t>
                  </w:r>
                </w:sdtContent>
              </w:sdt>
              <w:r>
                <w:rPr>
                  <w:rFonts w:ascii="Verdana" w:eastAsia="Calibri" w:hAnsi="Verdana"/>
                  <w:b/>
                  <w:bCs/>
                  <w:sz w:val="20"/>
                </w:rPr>
                <w:t>. Duomenys apie patikos fondo naudos gavėjus (nurodant naudos gavėjo vardą, pavardę, gyvenamosios vietos adresą, gimimo datą ir vietą, taip pat asmens kontaktinius duomenis bei asmens tapatybės dokumento nuorašą).</w:t>
              </w:r>
            </w:p>
            <w:p w14:paraId="522C79DA" w14:textId="77777777">
              <w:pPr>
                <w:rPr>
                  <w:rFonts w:ascii="Verdana" w:hAnsi="Verdana"/>
                  <w:b/>
                  <w:bCs/>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5DEE98EE"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0F4B7C5C" w14:textId="77777777">
                    <w:pPr>
                      <w:rPr>
                        <w:rFonts w:ascii="Verdana" w:eastAsia="Calibri" w:hAnsi="Verdana"/>
                        <w:b/>
                        <w:bCs/>
                        <w:sz w:val="20"/>
                      </w:rPr>
                    </w:pPr>
                  </w:p>
                </w:tc>
              </w:tr>
            </w:tbl>
            <w:p w14:paraId="256DD58E" w14:textId="77777777">
              <w:pPr>
                <w:rPr>
                  <w:rFonts w:ascii="Verdana" w:hAnsi="Verdana"/>
                  <w:b/>
                  <w:bCs/>
                  <w:sz w:val="20"/>
                </w:rPr>
              </w:pPr>
            </w:p>
          </w:sdtContent>
        </w:sdt>
        <w:sdt>
          <w:sdtPr>
            <w:alias w:val="3 p."/>
            <w:tag w:val="part_db573f3b9a8a4a0f8a9f49ad5e318811"/>
            <w:lock w:val="sdtLocked"/>
            <w:richText/>
          </w:sdtPr>
          <w:sdtContent>
            <w:p w14:paraId="01A65C11" w14:textId="4C8C0875">
              <w:pPr>
                <w:rPr>
                  <w:rFonts w:ascii="Verdana" w:eastAsia="Calibri" w:hAnsi="Verdana"/>
                  <w:b/>
                  <w:bCs/>
                  <w:sz w:val="20"/>
                </w:rPr>
              </w:pPr>
              <w:sdt>
                <w:sdtPr>
                  <w:alias w:val="Numeris"/>
                  <w:tag w:val="nr_db573f3b9a8a4a0f8a9f49ad5e318811"/>
                  <w:lock w:val="sdtLocked"/>
                  <w:richText/>
                </w:sdtPr>
                <w:sdtContent>
                  <w:r>
                    <w:rPr>
                      <w:rFonts w:ascii="Verdana" w:eastAsia="Calibri" w:hAnsi="Verdana"/>
                      <w:b/>
                      <w:bCs/>
                      <w:sz w:val="20"/>
                    </w:rPr>
                    <w:t>3</w:t>
                  </w:r>
                </w:sdtContent>
              </w:sdt>
              <w:r>
                <w:rPr>
                  <w:rFonts w:ascii="Verdana" w:eastAsia="Calibri" w:hAnsi="Verdana"/>
                  <w:b/>
                  <w:bCs/>
                  <w:sz w:val="20"/>
                </w:rPr>
                <w:t>. Informacija apie įsteigtą patikos fondą.</w:t>
              </w:r>
            </w:p>
            <w:p w14:paraId="6626A37B" w14:textId="77777777">
              <w:pPr>
                <w:rPr>
                  <w:rFonts w:ascii="Verdana" w:hAnsi="Verdana"/>
                  <w:b/>
                  <w:bCs/>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77899360"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735AA56F" w14:textId="725DC258">
                    <w:pPr>
                      <w:jc w:val="right"/>
                      <w:rPr>
                        <w:rFonts w:ascii="Verdana" w:eastAsia="Calibri" w:hAnsi="Verdana"/>
                        <w:b/>
                        <w:bCs/>
                        <w:sz w:val="20"/>
                      </w:rPr>
                    </w:pPr>
                    <w:r>
                      <w:rPr>
                        <w:rFonts w:ascii="Verdana" w:eastAsia="Calibri" w:hAnsi="Verdana"/>
                        <w:b/>
                        <w:bCs/>
                        <w:sz w:val="20"/>
                      </w:rPr>
                      <w:t>“</w:t>
                    </w:r>
                  </w:p>
                </w:tc>
              </w:tr>
            </w:tbl>
            <w:p w14:paraId="73B1AF02" w14:textId="26A11AAF">
              <w:pPr>
                <w:widowControl w:val="0"/>
                <w:jc w:val="both"/>
                <w:rPr>
                  <w:rFonts w:ascii="Verdana" w:hAnsi="Verdana"/>
                  <w:b/>
                  <w:bCs/>
                  <w:color w:val="000000"/>
                  <w:sz w:val="20"/>
                </w:rPr>
              </w:pPr>
            </w:p>
          </w:sdtContent>
        </w:sdt>
        <w:sdt>
          <w:sdtPr>
            <w:alias w:val="4 p."/>
            <w:tag w:val="part_64ee4ab15c7a4abab6e95aa7e53fe16f"/>
            <w:lock w:val="sdtLocked"/>
            <w:richText/>
          </w:sdtPr>
          <w:sdtContent>
            <w:p w14:paraId="02915DDF" w14:textId="2C055CFF">
              <w:pPr>
                <w:widowControl w:val="0"/>
                <w:jc w:val="both"/>
                <w:rPr>
                  <w:rFonts w:ascii="Verdana" w:hAnsi="Verdana"/>
                  <w:b/>
                  <w:bCs/>
                  <w:color w:val="000000"/>
                  <w:sz w:val="20"/>
                </w:rPr>
              </w:pPr>
              <w:sdt>
                <w:sdtPr>
                  <w:alias w:val="Numeris"/>
                  <w:tag w:val="nr_64ee4ab15c7a4abab6e95aa7e53fe16f"/>
                  <w:lock w:val="sdtLocked"/>
                  <w:richText/>
                </w:sdtPr>
                <w:sdtContent>
                  <w:r>
                    <w:rPr>
                      <w:rFonts w:ascii="Verdana" w:hAnsi="Verdana"/>
                      <w:b/>
                      <w:bCs/>
                      <w:color w:val="000000"/>
                      <w:sz w:val="20"/>
                    </w:rPr>
                    <w:t>4</w:t>
                  </w:r>
                </w:sdtContent>
              </w:sdt>
              <w:r>
                <w:rPr>
                  <w:rFonts w:ascii="Verdana" w:hAnsi="Verdana"/>
                  <w:b/>
                  <w:bCs/>
                  <w:color w:val="000000"/>
                  <w:sz w:val="20"/>
                </w:rPr>
                <w:t xml:space="preserve">. </w:t>
              </w:r>
              <w:r>
                <w:rPr>
                  <w:rFonts w:ascii="Verdana" w:eastAsia="Calibri" w:hAnsi="Verdana"/>
                  <w:b/>
                  <w:bCs/>
                  <w:sz w:val="20"/>
                </w:rPr>
                <w:t>Patikos fondo veiklos aprašymas, kartu nurodant ir valdomo turto vertę.</w:t>
              </w:r>
            </w:p>
            <w:p w14:paraId="0B38D920" w14:textId="77777777">
              <w:pPr>
                <w:rPr>
                  <w:rFonts w:ascii="Verdana" w:hAnsi="Verdana"/>
                  <w:b/>
                  <w:bCs/>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3B6D34F7"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1EEE6A35" w14:textId="77777777">
                    <w:pPr>
                      <w:jc w:val="right"/>
                      <w:rPr>
                        <w:rFonts w:ascii="Verdana" w:eastAsia="Calibri" w:hAnsi="Verdana"/>
                        <w:b/>
                        <w:bCs/>
                        <w:sz w:val="20"/>
                      </w:rPr>
                    </w:pPr>
                    <w:r>
                      <w:rPr>
                        <w:rFonts w:ascii="Verdana" w:eastAsia="Calibri" w:hAnsi="Verdana"/>
                        <w:b/>
                        <w:bCs/>
                        <w:sz w:val="20"/>
                      </w:rPr>
                      <w:t>“</w:t>
                    </w:r>
                  </w:p>
                </w:tc>
              </w:tr>
            </w:tbl>
            <w:p w14:paraId="6795CD08" w14:textId="77777777">
              <w:pPr>
                <w:widowControl w:val="0"/>
                <w:jc w:val="both"/>
                <w:rPr>
                  <w:rFonts w:ascii="Verdana" w:hAnsi="Verdana"/>
                  <w:b/>
                  <w:bCs/>
                  <w:color w:val="000000"/>
                  <w:sz w:val="20"/>
                </w:rPr>
              </w:pPr>
            </w:p>
          </w:sdtContent>
        </w:sdt>
        <w:sdt>
          <w:sdtPr>
            <w:alias w:val="5 p."/>
            <w:tag w:val="part_2d134259d828496497bc85d20c6c20c3"/>
            <w:lock w:val="sdtLocked"/>
            <w:richText/>
          </w:sdtPr>
          <w:sdtContent>
            <w:p w14:paraId="09F4B10C" w14:textId="5C1B5744">
              <w:pPr>
                <w:widowControl w:val="0"/>
                <w:jc w:val="both"/>
                <w:rPr>
                  <w:rFonts w:ascii="Verdana" w:hAnsi="Verdana"/>
                  <w:b/>
                  <w:bCs/>
                  <w:color w:val="000000"/>
                  <w:sz w:val="20"/>
                </w:rPr>
              </w:pPr>
              <w:sdt>
                <w:sdtPr>
                  <w:alias w:val="Numeris"/>
                  <w:tag w:val="nr_2d134259d828496497bc85d20c6c20c3"/>
                  <w:lock w:val="sdtLocked"/>
                  <w:richText/>
                </w:sdtPr>
                <w:sdtContent>
                  <w:r>
                    <w:rPr>
                      <w:rFonts w:ascii="Verdana" w:hAnsi="Verdana"/>
                      <w:b/>
                      <w:bCs/>
                      <w:color w:val="000000"/>
                      <w:sz w:val="20"/>
                    </w:rPr>
                    <w:t>5</w:t>
                  </w:r>
                </w:sdtContent>
              </w:sdt>
              <w:r>
                <w:rPr>
                  <w:rFonts w:ascii="Verdana" w:hAnsi="Verdana"/>
                  <w:b/>
                  <w:bCs/>
                  <w:color w:val="000000"/>
                  <w:sz w:val="20"/>
                </w:rPr>
                <w:t xml:space="preserve">. </w:t>
              </w:r>
              <w:r>
                <w:rPr>
                  <w:rFonts w:ascii="Verdana" w:eastAsia="Calibri" w:hAnsi="Verdana"/>
                  <w:b/>
                  <w:bCs/>
                  <w:sz w:val="20"/>
                </w:rPr>
                <w:t>Duomenys apie patikos fondo investavimo politiką ir investavimo apribojimus.</w:t>
              </w:r>
            </w:p>
            <w:p w14:paraId="374602A0" w14:textId="77777777">
              <w:pPr>
                <w:rPr>
                  <w:rFonts w:ascii="Verdana" w:hAnsi="Verdana"/>
                  <w:b/>
                  <w:bCs/>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020E31A4"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13DF8C18" w14:textId="77777777">
                    <w:pPr>
                      <w:jc w:val="right"/>
                      <w:rPr>
                        <w:rFonts w:ascii="Verdana" w:eastAsia="Calibri" w:hAnsi="Verdana"/>
                        <w:b/>
                        <w:bCs/>
                        <w:sz w:val="20"/>
                      </w:rPr>
                    </w:pPr>
                    <w:r>
                      <w:rPr>
                        <w:rFonts w:ascii="Verdana" w:eastAsia="Calibri" w:hAnsi="Verdana"/>
                        <w:b/>
                        <w:bCs/>
                        <w:sz w:val="20"/>
                      </w:rPr>
                      <w:t>“</w:t>
                    </w:r>
                  </w:p>
                </w:tc>
              </w:tr>
            </w:tbl>
            <w:p w14:paraId="7593078A" w14:textId="77777777">
              <w:pPr>
                <w:widowControl w:val="0"/>
                <w:jc w:val="both"/>
                <w:rPr>
                  <w:rFonts w:ascii="Verdana" w:hAnsi="Verdana"/>
                  <w:b/>
                  <w:bCs/>
                  <w:color w:val="000000"/>
                  <w:sz w:val="20"/>
                </w:rPr>
              </w:pPr>
            </w:p>
          </w:sdtContent>
        </w:sdt>
        <w:sdt>
          <w:sdtPr>
            <w:alias w:val="6 p."/>
            <w:tag w:val="part_32aa939221d74d6f859bf0437bf97c49"/>
            <w:lock w:val="sdtLocked"/>
            <w:richText/>
          </w:sdtPr>
          <w:sdtContent>
            <w:p w14:paraId="2495245C" w14:textId="22F00A9F">
              <w:pPr>
                <w:jc w:val="both"/>
                <w:rPr>
                  <w:rFonts w:ascii="Verdana" w:hAnsi="Verdana"/>
                  <w:b/>
                  <w:bCs/>
                  <w:sz w:val="20"/>
                </w:rPr>
              </w:pPr>
              <w:sdt>
                <w:sdtPr>
                  <w:alias w:val="Numeris"/>
                  <w:tag w:val="nr_32aa939221d74d6f859bf0437bf97c49"/>
                  <w:lock w:val="sdtLocked"/>
                  <w:richText/>
                </w:sdtPr>
                <w:sdtContent>
                  <w:r>
                    <w:rPr>
                      <w:rFonts w:ascii="Verdana" w:hAnsi="Verdana"/>
                      <w:b/>
                      <w:bCs/>
                      <w:sz w:val="20"/>
                    </w:rPr>
                    <w:t>6</w:t>
                  </w:r>
                </w:sdtContent>
              </w:sdt>
              <w:r>
                <w:rPr>
                  <w:rFonts w:ascii="Verdana" w:hAnsi="Verdana"/>
                  <w:b/>
                  <w:bCs/>
                  <w:sz w:val="20"/>
                </w:rPr>
                <w:t xml:space="preserve">. </w:t>
              </w:r>
              <w:r>
                <w:rPr>
                  <w:rFonts w:ascii="Verdana" w:eastAsia="Calibri" w:hAnsi="Verdana"/>
                  <w:b/>
                  <w:bCs/>
                  <w:sz w:val="20"/>
                </w:rPr>
                <w:t>Informacija apie patikos fondo pinigų plovimo ir teroristų finansavimo prevencijos politiką ir procedūras.</w:t>
              </w:r>
            </w:p>
            <w:p w14:paraId="572157F1" w14:textId="77777777">
              <w:pPr>
                <w:rPr>
                  <w:rFonts w:ascii="Verdana" w:hAnsi="Verdana"/>
                  <w:b/>
                  <w:bCs/>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15EBB650"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08A0A522" w14:textId="77777777">
                    <w:pPr>
                      <w:jc w:val="right"/>
                      <w:rPr>
                        <w:rFonts w:ascii="Verdana" w:eastAsia="Calibri" w:hAnsi="Verdana"/>
                        <w:sz w:val="20"/>
                      </w:rPr>
                    </w:pPr>
                    <w:r>
                      <w:rPr>
                        <w:rFonts w:ascii="Verdana" w:eastAsia="Calibri" w:hAnsi="Verdana"/>
                        <w:sz w:val="20"/>
                      </w:rPr>
                      <w:t>“</w:t>
                    </w:r>
                  </w:p>
                </w:tc>
              </w:tr>
            </w:tbl>
            <w:p w14:paraId="68559BC7" w14:textId="06FC9F78">
              <w:pPr>
                <w:widowControl w:val="0"/>
                <w:jc w:val="both"/>
                <w:rPr>
                  <w:rFonts w:ascii="Verdana" w:hAnsi="Verdana"/>
                  <w:color w:val="000000"/>
                  <w:sz w:val="20"/>
                </w:rPr>
              </w:pPr>
            </w:p>
            <w:p w14:paraId="35A22440" w14:textId="77777777">
              <w:pPr>
                <w:widowControl w:val="0"/>
                <w:ind w:firstLine="720"/>
                <w:jc w:val="both"/>
                <w:rPr>
                  <w:rFonts w:ascii="Verdana" w:hAnsi="Verdana"/>
                  <w:color w:val="000000"/>
                  <w:sz w:val="20"/>
                </w:rPr>
              </w:pPr>
            </w:p>
            <w:p w14:paraId="0108CC14" w14:textId="77777777">
              <w:pPr>
                <w:widowControl w:val="0"/>
                <w:ind w:firstLine="720"/>
                <w:jc w:val="both"/>
                <w:rPr>
                  <w:rFonts w:ascii="Verdana" w:hAnsi="Verdana"/>
                  <w:color w:val="000000"/>
                  <w:sz w:val="20"/>
                </w:rPr>
              </w:pPr>
            </w:p>
            <w:tbl>
              <w:tblPr>
                <w:tblW w:w="9747" w:type="dxa"/>
                <w:tblLayout w:type="fixed"/>
                <w:tblLook w:val="04A0" w:firstRow="1" w:lastRow="0" w:firstColumn="1" w:lastColumn="0" w:noHBand="0" w:noVBand="1"/>
              </w:tblPr>
              <w:tblGrid>
                <w:gridCol w:w="4873"/>
                <w:gridCol w:w="4874"/>
              </w:tblGrid>
              <w:tr w14:paraId="02084EAF" w14:textId="77777777">
                <w:tc>
                  <w:tcPr>
                    <w:tcW w:w="4873" w:type="dxa"/>
                    <w:hideMark/>
                  </w:tcPr>
                  <w:p w14:paraId="4989B963" w14:textId="77777777">
                    <w:pPr>
                      <w:rPr>
                        <w:rFonts w:ascii="Verdana" w:hAnsi="Verdana"/>
                        <w:sz w:val="20"/>
                      </w:rPr>
                    </w:pPr>
                    <w:r>
                      <w:rPr>
                        <w:rFonts w:ascii="Verdana" w:hAnsi="Verdana"/>
                        <w:sz w:val="20"/>
                      </w:rPr>
                      <w:t>Valdybos pirmininkas</w:t>
                    </w:r>
                  </w:p>
                </w:tc>
                <w:tc>
                  <w:tcPr>
                    <w:tcW w:w="4874" w:type="dxa"/>
                    <w:hideMark/>
                  </w:tcPr>
                  <w:p w14:paraId="4399E58E" w14:textId="77777777">
                    <w:pPr>
                      <w:keepNext/>
                      <w:widowControl w:val="0"/>
                      <w:jc w:val="right"/>
                      <w:outlineLvl w:val="2"/>
                      <w:rPr>
                        <w:rFonts w:ascii="Verdana" w:hAnsi="Verdana"/>
                        <w:sz w:val="20"/>
                      </w:rPr>
                    </w:pPr>
                  </w:p>
                </w:tc>
              </w:tr>
            </w:tbl>
            <w:p w14:paraId="29263B07" w14:textId="77777777">
              <w:pPr>
                <w:jc w:val="right"/>
                <w:rPr>
                  <w:rFonts w:ascii="Verdana" w:hAnsi="Verdana"/>
                  <w:bCs/>
                  <w:sz w:val="20"/>
                </w:rPr>
              </w:pPr>
            </w:p>
          </w:sdtContent>
        </w:sdt>
      </w:sdtContent>
    </w:sdt>
    <w:sectPr>
      <w:pgSz w:w="11907" w:h="16840" w:code="9"/>
      <w:pgMar w:top="1134" w:right="567" w:bottom="1134" w:left="1701" w:header="697" w:footer="833"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E3214" w14:textId="77777777">
      <w:r>
        <w:separator/>
      </w:r>
    </w:p>
  </w:endnote>
  <w:endnote w:type="continuationSeparator" w:id="0">
    <w:p w14:paraId="6E51DF9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B284E3" w14:textId="77777777">
      <w:r>
        <w:separator/>
      </w:r>
    </w:p>
  </w:footnote>
  <w:footnote w:type="continuationSeparator" w:id="0">
    <w:p w14:paraId="6EBFADE3"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170"/>
  <w:hyphenationZone w:val="396"/>
  <w:doNotHyphenateCaps/>
  <w:drawingGridHorizontalSpacing w:val="6"/>
  <w:drawingGridVerticalSpacing w:val="6"/>
  <w:displayHorizontalDrawingGridEvery w:val="0"/>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4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1E42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9617968">
      <w:bodyDiv w:val="1"/>
      <w:marLeft w:val="0"/>
      <w:marRight w:val="0"/>
      <w:marTop w:val="0"/>
      <w:marBottom w:val="0"/>
      <w:divBdr>
        <w:top w:val="none" w:sz="0" w:space="0" w:color="auto"/>
        <w:left w:val="none" w:sz="0" w:space="0" w:color="auto"/>
        <w:bottom w:val="none" w:sz="0" w:space="0" w:color="auto"/>
        <w:right w:val="none" w:sz="0" w:space="0" w:color="auto"/>
      </w:divBdr>
    </w:div>
    <w:div w:id="628703829">
      <w:bodyDiv w:val="1"/>
      <w:marLeft w:val="0"/>
      <w:marRight w:val="0"/>
      <w:marTop w:val="0"/>
      <w:marBottom w:val="0"/>
      <w:divBdr>
        <w:top w:val="none" w:sz="0" w:space="0" w:color="auto"/>
        <w:left w:val="none" w:sz="0" w:space="0" w:color="auto"/>
        <w:bottom w:val="none" w:sz="0" w:space="0" w:color="auto"/>
        <w:right w:val="none" w:sz="0" w:space="0" w:color="auto"/>
      </w:divBdr>
    </w:div>
    <w:div w:id="706835976">
      <w:bodyDiv w:val="1"/>
      <w:marLeft w:val="0"/>
      <w:marRight w:val="0"/>
      <w:marTop w:val="0"/>
      <w:marBottom w:val="0"/>
      <w:divBdr>
        <w:top w:val="none" w:sz="0" w:space="0" w:color="auto"/>
        <w:left w:val="none" w:sz="0" w:space="0" w:color="auto"/>
        <w:bottom w:val="none" w:sz="0" w:space="0" w:color="auto"/>
        <w:right w:val="none" w:sz="0" w:space="0" w:color="auto"/>
      </w:divBdr>
    </w:div>
    <w:div w:id="722603067">
      <w:bodyDiv w:val="1"/>
      <w:marLeft w:val="0"/>
      <w:marRight w:val="0"/>
      <w:marTop w:val="0"/>
      <w:marBottom w:val="0"/>
      <w:divBdr>
        <w:top w:val="none" w:sz="0" w:space="0" w:color="auto"/>
        <w:left w:val="none" w:sz="0" w:space="0" w:color="auto"/>
        <w:bottom w:val="none" w:sz="0" w:space="0" w:color="auto"/>
        <w:right w:val="none" w:sz="0" w:space="0" w:color="auto"/>
      </w:divBdr>
    </w:div>
    <w:div w:id="829325306">
      <w:bodyDiv w:val="1"/>
      <w:marLeft w:val="0"/>
      <w:marRight w:val="0"/>
      <w:marTop w:val="0"/>
      <w:marBottom w:val="0"/>
      <w:divBdr>
        <w:top w:val="none" w:sz="0" w:space="0" w:color="auto"/>
        <w:left w:val="none" w:sz="0" w:space="0" w:color="auto"/>
        <w:bottom w:val="none" w:sz="0" w:space="0" w:color="auto"/>
        <w:right w:val="none" w:sz="0" w:space="0" w:color="auto"/>
      </w:divBdr>
    </w:div>
    <w:div w:id="1450663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3" Type="http://schemas.openxmlformats.org/officeDocument/2006/relationships/fontTable" Target="fontTable.xml"/>
  <Relationship Id="rId14" Type="http://schemas.openxmlformats.org/officeDocument/2006/relationships/theme" Target="theme/theme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cfa555fe7864f36b83c4ef0172b3210" PartId="6034c6301e994b97a2d6b7583a7722ec">
    <Part Type="punktas" Nr="1" Abbr="1 p." DocPartId="0d4fb3f0142540b28f39fe3fc224f1eb" PartId="41cc54b051c44ac1a714a0395953be97">
      <Part Type="citata" DocPartId="c2ada5fd1bf149239a5e917056620592" PartId="d5a9770e16d54836a5a52e519c282e21">
        <Part Type="pastraipa" DocPartId="01592ad2092c4d289497857919485c1c" PartId="cb2c8049190e43c9b05fdc4dd6e03ccb"/>
      </Part>
    </Part>
    <Part Type="punktas" Nr="2" Abbr="2 p." DocPartId="23f9cf5154754d34ad12b0b4cb9df385" PartId="eca97843722c419a88ab5c1f4cc9901b">
      <Part Type="papunktis" Nr="2.1" Abbr="2.1 pp." DocPartId="9af0e439442648818a5aad57350063b1" PartId="811111a3c635422d9b195bcd8c1833a4">
        <Part Type="citata" DocPartId="11c75334df88450fbcb22b01433a004c" PartId="dae0c28ebd504aa5b758ad1652844a6e">
          <Part Type="punktas" Nr="1" Abbr="1 p." DocPartId="e85b7e9083ed41d19c1749308a4893e8" PartId="dbfec94462aa4d598d491cb764b4e844"/>
        </Part>
      </Part>
      <Part Type="papunktis" Nr="2.2" Abbr="2.2 pp." DocPartId="ccc7fd6e6bb2445d95b1edd016213888" PartId="6569c4de212945adb5e4f226b0d7066e">
        <Part Type="citata" DocPartId="e2b880dea90d418d92f720a9071d5ac9" PartId="9e93eebd3aff41d29e3d9bc6dafaaaec">
          <Part Type="papunktis" Nr="2.4" Abbr="2.4 pp." DocPartId="8524c7e87be34760bf5f96e4b98b76b5" PartId="4cc5bbdc5a564c669e47cf4104973aa4"/>
        </Part>
      </Part>
      <Part Type="papunktis" Nr="2.3" Abbr="2.3 pp." DocPartId="d383f27b2bb94e57a47cb9a4f46f7941" PartId="3c924e85c6024887ae3b04427b6eece4">
        <Part Type="citata" DocPartId="44a4358b692e4f9baa0b3bea7b6c055f" PartId="34e4f30027b24879b511435f942a765f">
          <Part Type="punktas" Nr="3" Abbr="3 p." DocPartId="320b5cb041fe41499862949afb44e94c" PartId="28b3206c6fcb4447a5f38fef8cc56f5b"/>
        </Part>
      </Part>
      <Part Type="papunktis" Nr="2.4" Abbr="2.4 pp." DocPartId="dd026e637f374a7fbaefe56f751fa210" PartId="72e95848b0284b1bb215c8ea947ff4e8">
        <Part Type="citata" DocPartId="f8069483a90c4e5db890fd394ac65723" PartId="d781a19c84f04ab3b3c1177ebd4dedca">
          <Part Type="skirsnis" Title="A. Asmens tapatybės duomenys" DocPartId="8bd81c1b27f548ab8c58308f9b4f4672" PartId="db1ca0c96678465aaf56c27274c0d09d"/>
          <Part Type="skirsnis" Title="Adresas" DocPartId="a1a81d8a0ab2422fb15682a075eae898" PartId="44aa73d63c1846c094b68fea0371c34d"/>
          <Part Type="skirsnis" Title="PASTABA. Kriptoturto paslaugų teikėjų ir su turtu susietų žetonų emitentų atvejais pateikiama paskutinių dešimties metų informacija apie nuolatinės gyvenamosios vietos adresus." DocPartId="b084ac4e06af40438c053cd03eb674e0" PartId="649ea8a663374f439d03caea1e578ea5"/>
          <Part Type="skirsnis" Title="Kontaktiniai duomenys" DocPartId="25ecb9fc9b194d128297f1f72f6c3b27" PartId="0d7b45cd38bb41d0806a5dcb62f00324">
            <Part Type="papunktis" Nr="2.5" Abbr="2.5 pp." DocPartId="b43df3e77ca6432eaf0d1f117ca4ad80" PartId="923a8c0270b34fa3bd6e432abd642882"/>
          </Part>
        </Part>
      </Part>
      <Part Type="papunktis" Nr="2.6" Abbr="2.6 pp." Notes="Numeris ne iš eilės. Trūksta dalių? [DocDalys]" DocPartId="7bf177ebd0e646d9880117f73134f36d" PartId="7d4551b69a7b498882552218ab97aac9">
        <Part Type="citata" DocPartId="4cf6c57aacca407f9a2df4bbabc31d17" PartId="830e601778504550b586b4428f810362">
          <Part Type="punktas" Nr="4-1" Abbr="4-1 p." DocPartId="272cfa0c3cd5439fa1bfdb1206f4cfdf" PartId="fee1ced313254f9a8cecc6738f872be4">
            <Part Type="strPapunktis" Nr="1" Abbr="4-1 p. 1 pp." DocPartId="83ba68ce1e914521be34611a8af2ba79" PartId="28ad088c9e9e4241a91b5d11ce74bc1f"/>
          </Part>
          <Part Type="skirsnis" Title="☐ Taip ☐ Ne" DocPartId="fc4b3600c79a48709f7bddf3428363fd" PartId="5404fc5c97b4453f97edab25c3a9b26f"/>
          <Part Type="skirsnis" Title="Jeigu Taip, pateikite komentarą" DocPartId="1ad7c6b830904b9497a0a96cc78d2b47" PartId="7c92a2b3700d4ac58edb1b62da1ed28b">
            <Part Type="strPapunktis" Nr="2" Abbr="2 pp." DocPartId="4d1740d1247a484b91f2a0e6514e4d0a" PartId="2dea478874c94ecfb7d607155dadc371"/>
          </Part>
          <Part Type="skirsnis" Title="☐ Taip ☐ Ne" DocPartId="2873fef0954147b5a96af870bedcbce6" PartId="8504a0a797f442e1aa391ba2ddb0a129"/>
          <Part Type="skirsnis" Title="Jeigu Taip, pateikite komentarą" DocPartId="5278ecf898cb4412b2af3703a7e64c89" PartId="15f531c6ed194646aad317be2d17ada6">
            <Part Type="papunktis" Nr="2.7" Abbr="2.7 pp." DocPartId="4e8a184d2d194b20ad614c7f266407f9" PartId="614ffb952ec24edb8658f5b04bac7687"/>
          </Part>
          <Part Type="skirsnis" Title="Kontaktiniai duomenys" DocPartId="2a0531e653e64e41a9654bc54eef2b1c" PartId="f631c558758c4161bef645849f57f6b4">
            <Part Type="papunktis" Nr="2.8" Abbr="2.8 pp." DocPartId="c84671c371c84c41aee115bc402f86c6" PartId="fdb5587dc32d4730afa1b887db157e33"/>
          </Part>
        </Part>
      </Part>
      <Part Type="papunktis" Nr="2.9" Abbr="2.9 pp." Notes="Numeris ne iš eilės. Trūksta dalių? [DocDalys]" DocPartId="c30567ba6a2449cb89b3b25eeea027a3" PartId="88af9473fe5a4cfbbb1ad7fe030afe06">
        <Part Type="citata" DocPartId="8caa31b5fe9f4fc0a5a860e050c8f0c9" PartId="6a352379ca1647e98f1a6fb16ac4045d">
          <Part Type="pastraipa" DocPartId="f65102a8b2da44ebb8bdc8de21115c76" PartId="de1433eed7b140fa976824bbc14339e6"/>
        </Part>
      </Part>
    </Part>
    <Part Type="punktas" Nr="1" Abbr="1 p." Notes="Numeris ne iš eilės. Trūksta dalių? [DocDalys]" DocPartId="62bd37f24d724e2e87077f369750c1d6" PartId="7289c8a9710f4275b4b0a9b6acb3ed7a"/>
    <Part Type="punktas" Nr="2" Abbr="2 p." DocPartId="3f51504c81564c18a6e8fc0bf7fff272" PartId="09dec54d865742209f522f352c77aa04"/>
    <Part Type="punktas" Nr="3" Abbr="3 p." DocPartId="4892497c60bd44f8a44f0797a9423051" PartId="db573f3b9a8a4a0f8a9f49ad5e318811"/>
    <Part Type="punktas" Nr="4" Abbr="4 p." DocPartId="4c21f7f764ed4cb786787a76b6424ebc" PartId="64ee4ab15c7a4abab6e95aa7e53fe16f"/>
    <Part Type="punktas" Nr="5" Abbr="5 p." DocPartId="7a689841fd154b6484c5186f8c0fad59" PartId="2d134259d828496497bc85d20c6c20c3"/>
    <Part Type="punktas" Nr="6" Abbr="6 p." DocPartId="9b8a25c0d0424ebe9e7c25312f99bc93" PartId="32aa939221d74d6f859bf0437bf97c49"/>
  </Part>
</Parts>
</file>

<file path=customXml/itemProps1.xml><?xml version="1.0" encoding="utf-8"?>
<ds:datastoreItem xmlns:ds="http://schemas.openxmlformats.org/officeDocument/2006/customXml" ds:itemID="{7A249060-9A05-4744-9387-5DE65BC75D0C}">
  <ds:schemaRefs>
    <ds:schemaRef ds:uri="http://schemas.openxmlformats.org/officeDocument/2006/bibliography"/>
  </ds:schemaRefs>
</ds:datastoreItem>
</file>

<file path=customXml/itemProps2.xml><?xml version="1.0" encoding="utf-8"?>
<ds:datastoreItem xmlns:ds="http://schemas.openxmlformats.org/officeDocument/2006/customXml" ds:itemID="{7D005C67-E6E5-4072-8EB2-5D6BF3F0E4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1370</Words>
  <Characters>9316</Characters>
  <Application>Microsoft Office Word</Application>
  <DocSecurity>4</DocSecurity>
  <Lines>251</Lines>
  <Paragraphs>94</Paragraphs>
  <ScaleCrop>false</ScaleCrop>
  <Company/>
  <LinksUpToDate>false</LinksUpToDate>
  <CharactersWithSpaces>10592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2024-09-20T11:49:00Z</dcterms:created>
  <dcterms:modified xsi:type="dcterms:W3CDTF">2024-09-20T11:49:00Z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5564178-1ca1-4992-b45e-fdaf9919e704_Enabled">
    <vt:lpwstr>true</vt:lpwstr>
  </property>
  <property fmtid="{D5CDD505-2E9C-101B-9397-08002B2CF9AE}" pid="3" name="MSIP_Label_e5564178-1ca1-4992-b45e-fdaf9919e704_SetDate">
    <vt:lpwstr>2024-09-20T09:20:13Z</vt:lpwstr>
  </property>
  <property fmtid="{D5CDD505-2E9C-101B-9397-08002B2CF9AE}" pid="4" name="MSIP_Label_e5564178-1ca1-4992-b45e-fdaf9919e704_Method">
    <vt:lpwstr>Privileged</vt:lpwstr>
  </property>
  <property fmtid="{D5CDD505-2E9C-101B-9397-08002B2CF9AE}" pid="5" name="MSIP_Label_e5564178-1ca1-4992-b45e-fdaf9919e704_Name">
    <vt:lpwstr>LB VIEŠA (ECB PUBLIC)</vt:lpwstr>
  </property>
  <property fmtid="{D5CDD505-2E9C-101B-9397-08002B2CF9AE}" pid="6" name="MSIP_Label_e5564178-1ca1-4992-b45e-fdaf9919e704_SiteId">
    <vt:lpwstr>5a40b399-6903-4594-ad73-dc4ed7ed91c0</vt:lpwstr>
  </property>
  <property fmtid="{D5CDD505-2E9C-101B-9397-08002B2CF9AE}" pid="7" name="MSIP_Label_e5564178-1ca1-4992-b45e-fdaf9919e704_ActionId">
    <vt:lpwstr>b3dd8aab-d47d-4767-ac41-6585cdbd2e7f</vt:lpwstr>
  </property>
  <property fmtid="{D5CDD505-2E9C-101B-9397-08002B2CF9AE}" pid="8" name="MSIP_Label_e5564178-1ca1-4992-b45e-fdaf9919e704_ContentBits">
    <vt:lpwstr>0</vt:lpwstr>
  </property>
</Properties>
</file>