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0bbc148ce0473799f16a9ca79787b5"/>
        <w:lock w:val="sdtLocked"/>
        <w:richText/>
      </w:sdtPr>
      <w:sdtContent>
        <w:p w14:paraId="13FE1C1F" w14:textId="3EB639A5">
          <w:pPr>
            <w:ind w:firstLine="5561"/>
            <w:jc w:val="center"/>
            <w:rPr>
              <w:rFonts w:ascii="Verdana" w:hAnsi="Verdana"/>
              <w:b/>
              <w:sz w:val="20"/>
            </w:rPr>
          </w:pPr>
          <w:r>
            <w:rPr>
              <w:rFonts w:ascii="Verdana" w:hAnsi="Verdana"/>
              <w:b/>
              <w:sz w:val="20"/>
            </w:rPr>
            <w:t>Projekto</w:t>
          </w:r>
        </w:p>
        <w:p w14:paraId="5325F8D4" w14:textId="05ADABD3">
          <w:pPr>
            <w:jc w:val="right"/>
            <w:rPr>
              <w:rFonts w:ascii="Verdana" w:hAnsi="Verdana"/>
              <w:bCs/>
              <w:sz w:val="20"/>
            </w:rPr>
          </w:pPr>
          <w:r>
            <w:rPr>
              <w:rFonts w:ascii="Verdana" w:hAnsi="Verdana"/>
              <w:b/>
              <w:sz w:val="20"/>
            </w:rPr>
            <w:t>lyginamasis variantas</w:t>
          </w:r>
        </w:p>
        <w:p w14:paraId="51C65B94" w14:textId="77777777">
          <w:pPr>
            <w:jc w:val="right"/>
            <w:rPr>
              <w:rFonts w:ascii="Verdana" w:hAnsi="Verdana"/>
              <w:bCs/>
              <w:sz w:val="20"/>
            </w:rPr>
          </w:pPr>
        </w:p>
        <w:p w14:paraId="659011B4" w14:textId="77777777">
          <w:pPr>
            <w:jc w:val="right"/>
            <w:rPr>
              <w:rFonts w:ascii="Verdana" w:hAnsi="Verdana"/>
              <w:bCs/>
              <w:sz w:val="20"/>
            </w:rPr>
          </w:pPr>
        </w:p>
        <w:tbl>
          <w:tblPr>
            <w:tblW w:w="19278" w:type="dxa"/>
            <w:tblInd w:w="108" w:type="dxa"/>
            <w:tblLayout w:type="fixed"/>
            <w:tblLook w:val="00A0" w:firstRow="1" w:lastRow="0" w:firstColumn="1" w:lastColumn="0" w:noHBand="0" w:noVBand="0"/>
          </w:tblPr>
          <w:tblGrid>
            <w:gridCol w:w="9639"/>
            <w:gridCol w:w="9639"/>
          </w:tblGrid>
          <w:tr w14:paraId="5D1DA8B6" w14:textId="51E81BC0">
            <w:trPr>
              <w:trHeight w:hRule="exact" w:val="1055"/>
              <w:hidden/>
            </w:trPr>
            <w:tc>
              <w:tcPr>
                <w:tcW w:w="9639" w:type="dxa"/>
              </w:tcPr>
              <w:p w14:paraId="466CF5C7" w14:textId="77777777">
                <w:pPr>
                  <w:spacing w:line="240" w:lineRule="atLeast"/>
                  <w:jc w:val="center"/>
                  <w:rPr>
                    <w:rFonts w:ascii="Verdana" w:hAnsi="Verdana"/>
                    <w:vanish/>
                    <w:color w:val="000000"/>
                    <w:sz w:val="20"/>
                  </w:rPr>
                </w:pPr>
              </w:p>
            </w:tc>
            <w:tc>
              <w:tcPr>
                <w:tcW w:w="9639" w:type="dxa"/>
              </w:tcPr>
              <w:p w14:paraId="507D6CB7" w14:textId="77777777">
                <w:pPr>
                  <w:spacing w:line="240" w:lineRule="atLeast"/>
                  <w:jc w:val="center"/>
                  <w:rPr>
                    <w:rFonts w:ascii="Verdana" w:hAnsi="Verdana"/>
                    <w:vanish/>
                    <w:color w:val="000000"/>
                    <w:sz w:val="20"/>
                  </w:rPr>
                </w:pPr>
              </w:p>
            </w:tc>
          </w:tr>
          <w:tr w14:paraId="47172F05" w14:textId="76C08BC2">
            <w:trPr>
              <w:trHeight w:hRule="exact" w:val="935"/>
            </w:trPr>
            <w:tc>
              <w:tcPr>
                <w:tcW w:w="9639" w:type="dxa"/>
              </w:tcPr>
              <w:p w14:paraId="55DE2AA7" w14:textId="77777777">
                <w:pPr>
                  <w:jc w:val="center"/>
                  <w:rPr>
                    <w:rFonts w:ascii="Verdana" w:hAnsi="Verdana"/>
                    <w:b/>
                    <w:color w:val="000000"/>
                    <w:szCs w:val="24"/>
                  </w:rPr>
                </w:pPr>
                <w:r>
                  <w:rPr>
                    <w:rFonts w:ascii="Verdana" w:hAnsi="Verdana"/>
                    <w:b/>
                    <w:szCs w:val="24"/>
                  </w:rPr>
                  <w:t>LIETUVOS BANKO VALDYBA</w:t>
                </w:r>
              </w:p>
            </w:tc>
            <w:tc>
              <w:tcPr>
                <w:tcW w:w="9639" w:type="dxa"/>
              </w:tcPr>
              <w:p w14:paraId="53BE852A" w14:textId="77777777">
                <w:pPr>
                  <w:jc w:val="center"/>
                  <w:rPr>
                    <w:rFonts w:ascii="Verdana" w:hAnsi="Verdana"/>
                    <w:b/>
                    <w:sz w:val="20"/>
                  </w:rPr>
                </w:pPr>
              </w:p>
            </w:tc>
          </w:tr>
          <w:tr w14:paraId="7465B2AF" w14:textId="4F07877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F73B14D" w14:textId="77777777">
                <w:pPr>
                  <w:jc w:val="center"/>
                  <w:rPr>
                    <w:rFonts w:ascii="Verdana" w:hAnsi="Verdana"/>
                    <w:b/>
                    <w:sz w:val="20"/>
                  </w:rPr>
                </w:pPr>
                <w:r>
                  <w:rPr>
                    <w:rFonts w:ascii="Verdana" w:hAnsi="Verdana"/>
                    <w:b/>
                    <w:sz w:val="20"/>
                  </w:rPr>
                  <w:t>NUTARIMAS</w:t>
                </w:r>
              </w:p>
            </w:tc>
            <w:tc>
              <w:tcPr>
                <w:tcW w:w="9639" w:type="dxa"/>
                <w:tcBorders>
                  <w:top w:val="nil"/>
                  <w:left w:val="nil"/>
                  <w:bottom w:val="nil"/>
                  <w:right w:val="nil"/>
                </w:tcBorders>
              </w:tcPr>
              <w:p w14:paraId="6EE550BF" w14:textId="77777777">
                <w:pPr>
                  <w:jc w:val="center"/>
                  <w:rPr>
                    <w:rFonts w:ascii="Verdana" w:hAnsi="Verdana"/>
                    <w:b/>
                    <w:sz w:val="20"/>
                  </w:rPr>
                </w:pPr>
              </w:p>
            </w:tc>
          </w:tr>
          <w:tr w14:paraId="0D464788" w14:textId="6E57B2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7C84C9FF" w14:textId="77777777">
                <w:pPr>
                  <w:jc w:val="center"/>
                  <w:rPr>
                    <w:rFonts w:ascii="Verdana" w:hAnsi="Verdana"/>
                    <w:b/>
                    <w:sz w:val="20"/>
                  </w:rPr>
                </w:pPr>
                <w:r>
                  <w:rPr>
                    <w:rFonts w:ascii="Verdana" w:hAnsi="Verdana"/>
                    <w:b/>
                    <w:sz w:val="20"/>
                  </w:rPr>
                  <w:t>DĖL LIETUVOS BANKO VALDYBOS 2013 M. LAPKRIČIO 14 D. NUTARIMO NR. 03-181 „DĖL LIETUVOS BANKO PRIŽIŪRIMŲ FINANSŲ RINKOS DALYVIŲ VADOVŲ IR PAGRINDINES FUNKCIJAS ATLIEKANČIŲ ASMENŲ VERTINIMO NUOSTATŲ PATVIRTINIMO“ PAKEITIMO</w:t>
                </w:r>
              </w:p>
            </w:tc>
            <w:tc>
              <w:tcPr>
                <w:tcW w:w="9639" w:type="dxa"/>
                <w:tcBorders>
                  <w:top w:val="nil"/>
                  <w:left w:val="nil"/>
                  <w:bottom w:val="nil"/>
                  <w:right w:val="nil"/>
                </w:tcBorders>
              </w:tcPr>
              <w:p w14:paraId="3559C135" w14:textId="77777777">
                <w:pPr>
                  <w:jc w:val="center"/>
                  <w:rPr>
                    <w:rFonts w:ascii="Verdana" w:hAnsi="Verdana"/>
                    <w:b/>
                    <w:sz w:val="20"/>
                  </w:rPr>
                </w:pPr>
              </w:p>
            </w:tc>
          </w:tr>
          <w:tr w14:paraId="277BAA80" w14:textId="4F55D5A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5C32E4AD" w14:textId="77777777">
                <w:pPr>
                  <w:rPr>
                    <w:rFonts w:ascii="Verdana" w:hAnsi="Verdana"/>
                    <w:b/>
                    <w:sz w:val="20"/>
                  </w:rPr>
                </w:pPr>
              </w:p>
            </w:tc>
            <w:tc>
              <w:tcPr>
                <w:tcW w:w="9639" w:type="dxa"/>
                <w:tcBorders>
                  <w:top w:val="nil"/>
                  <w:left w:val="nil"/>
                  <w:bottom w:val="nil"/>
                  <w:right w:val="nil"/>
                </w:tcBorders>
              </w:tcPr>
              <w:p w14:paraId="2AF29235" w14:textId="77777777">
                <w:pPr>
                  <w:rPr>
                    <w:rFonts w:ascii="Verdana" w:hAnsi="Verdana"/>
                    <w:b/>
                    <w:sz w:val="20"/>
                  </w:rPr>
                </w:pPr>
              </w:p>
            </w:tc>
          </w:tr>
          <w:tr w14:paraId="546E37FE" w14:textId="36DFBE9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4E48A852" w14:textId="7DF92940">
                <w:pPr>
                  <w:jc w:val="center"/>
                  <w:rPr>
                    <w:rFonts w:ascii="Verdana" w:hAnsi="Verdana"/>
                    <w:sz w:val="20"/>
                  </w:rPr>
                </w:pPr>
                <w:r>
                  <w:rPr>
                    <w:rFonts w:ascii="Verdana" w:hAnsi="Verdana"/>
                    <w:sz w:val="20"/>
                  </w:rPr>
                  <w:t xml:space="preserve">2024 m.            d. Nr. 03-</w:t>
                </w:r>
              </w:p>
            </w:tc>
            <w:tc>
              <w:tcPr>
                <w:tcW w:w="9639" w:type="dxa"/>
                <w:tcBorders>
                  <w:top w:val="nil"/>
                  <w:left w:val="nil"/>
                  <w:bottom w:val="nil"/>
                  <w:right w:val="nil"/>
                </w:tcBorders>
              </w:tcPr>
              <w:p w14:paraId="40A07230" w14:textId="77777777">
                <w:pPr>
                  <w:jc w:val="center"/>
                  <w:rPr>
                    <w:rFonts w:ascii="Verdana" w:hAnsi="Verdana"/>
                    <w:sz w:val="20"/>
                  </w:rPr>
                </w:pPr>
              </w:p>
            </w:tc>
          </w:tr>
          <w:tr w14:paraId="3C0BEB3E" w14:textId="66497D8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639" w:type="dxa"/>
                <w:tcBorders>
                  <w:top w:val="nil"/>
                  <w:left w:val="nil"/>
                  <w:bottom w:val="nil"/>
                  <w:right w:val="nil"/>
                </w:tcBorders>
              </w:tcPr>
              <w:p w14:paraId="2366DBD3" w14:textId="77777777">
                <w:pPr>
                  <w:jc w:val="center"/>
                  <w:rPr>
                    <w:rFonts w:ascii="Verdana" w:hAnsi="Verdana"/>
                    <w:sz w:val="20"/>
                  </w:rPr>
                </w:pPr>
                <w:r>
                  <w:rPr>
                    <w:rFonts w:ascii="Verdana" w:hAnsi="Verdana"/>
                    <w:sz w:val="20"/>
                  </w:rPr>
                  <w:t>Vilnius</w:t>
                </w:r>
              </w:p>
            </w:tc>
            <w:tc>
              <w:tcPr>
                <w:tcW w:w="9639" w:type="dxa"/>
                <w:tcBorders>
                  <w:top w:val="nil"/>
                  <w:left w:val="nil"/>
                  <w:bottom w:val="nil"/>
                  <w:right w:val="nil"/>
                </w:tcBorders>
              </w:tcPr>
              <w:p w14:paraId="2C61283E" w14:textId="77777777">
                <w:pPr>
                  <w:jc w:val="center"/>
                  <w:rPr>
                    <w:rFonts w:ascii="Verdana" w:hAnsi="Verdana"/>
                    <w:sz w:val="20"/>
                  </w:rPr>
                </w:pPr>
              </w:p>
            </w:tc>
          </w:tr>
        </w:tbl>
        <w:p w14:paraId="304C8F34" w14:textId="77777777">
          <w:pPr>
            <w:widowControl w:val="0"/>
            <w:jc w:val="both"/>
            <w:rPr>
              <w:rFonts w:ascii="Verdana" w:hAnsi="Verdana"/>
              <w:sz w:val="20"/>
            </w:rPr>
          </w:pPr>
        </w:p>
        <w:p w14:paraId="041E8407" w14:textId="77777777">
          <w:pPr>
            <w:widowControl w:val="0"/>
            <w:jc w:val="both"/>
            <w:rPr>
              <w:rFonts w:ascii="Verdana" w:hAnsi="Verdana"/>
              <w:sz w:val="20"/>
            </w:rPr>
          </w:pPr>
        </w:p>
        <w:p w14:paraId="21BBB49F" w14:textId="77777777">
          <w:pPr>
            <w:ind w:firstLine="720"/>
            <w:jc w:val="both"/>
            <w:rPr>
              <w:rFonts w:ascii="Verdana" w:hAnsi="Verdana"/>
              <w:sz w:val="20"/>
            </w:rPr>
          </w:pPr>
          <w:r>
            <w:rPr>
              <w:rFonts w:ascii="Verdana" w:hAnsi="Verdana"/>
              <w:sz w:val="20"/>
            </w:rPr>
            <w:t>Lietuvos banko valdyba n u t a r i a:</w:t>
          </w:r>
        </w:p>
        <w:sdt>
          <w:sdtPr>
            <w:alias w:val="1 p."/>
            <w:tag w:val="part_3462d09d064b4ec596f4dba3cf3014a1"/>
            <w:lock w:val="sdtLocked"/>
            <w:richText/>
          </w:sdtPr>
          <w:sdtContent>
            <w:p w14:paraId="2CD70601" w14:textId="0DDC2D2E">
              <w:pPr>
                <w:shd w:val="clear" w:color="auto" w:fill="FFFFFF"/>
                <w:ind w:firstLine="720"/>
                <w:jc w:val="both"/>
                <w:rPr>
                  <w:rFonts w:ascii="Verdana" w:hAnsi="Verdana" w:cs="Arial"/>
                  <w:color w:val="000000"/>
                  <w:sz w:val="20"/>
                  <w:lang w:eastAsia="lt-LT"/>
                </w:rPr>
              </w:pPr>
              <w:sdt>
                <w:sdtPr>
                  <w:alias w:val="Numeris"/>
                  <w:tag w:val="nr_3462d09d064b4ec596f4dba3cf3014a1"/>
                  <w:lock w:val="sdtLocked"/>
                  <w:richText/>
                </w:sdtPr>
                <w:sdtContent>
                  <w:r>
                    <w:rPr>
                      <w:rFonts w:ascii="Verdana" w:hAnsi="Verdana" w:cs="Arial"/>
                      <w:color w:val="000000"/>
                      <w:sz w:val="20"/>
                      <w:lang w:eastAsia="lt-LT"/>
                    </w:rPr>
                    <w:t>1</w:t>
                  </w:r>
                </w:sdtContent>
              </w:sdt>
              <w:r>
                <w:rPr>
                  <w:rFonts w:ascii="Verdana" w:hAnsi="Verdana" w:cs="Arial"/>
                  <w:color w:val="000000"/>
                  <w:sz w:val="20"/>
                  <w:lang w:eastAsia="lt-LT"/>
                </w:rPr>
                <w:t>. Pakeisti Lietuvos banko valdybos 2013 m. lapkričio 14 d. nutarimo Nr. 03-181 „Dėl Lietuvos banko prižiūrimų finansų rinkos dalyvių vadovų ir pagrindines funkcijas atliekančių asmenų vertinimo nuostatų patvirtinimo“ preambulę ir išdėstyti ją taip:</w:t>
              </w:r>
            </w:p>
            <w:sdt>
              <w:sdtPr>
                <w:alias w:val="citata"/>
                <w:tag w:val="part_be824d67354a409ba4e157b3fc4e611b"/>
                <w:lock w:val="sdtLocked"/>
                <w:richText/>
              </w:sdtPr>
              <w:sdtContent>
                <w:sdt>
                  <w:sdtPr>
                    <w:alias w:val="pastraipa"/>
                    <w:tag w:val="part_b8962ea9a4974f9286904f13dd09c9a1"/>
                    <w:lock w:val="sdtLocked"/>
                    <w:richText/>
                  </w:sdtPr>
                  <w:sdtContent>
                    <w:p w14:paraId="500E1FD1" w14:textId="392E5872">
                      <w:pPr>
                        <w:shd w:val="clear" w:color="auto" w:fill="FFFFFF"/>
                        <w:ind w:firstLine="720"/>
                        <w:jc w:val="both"/>
                        <w:rPr>
                          <w:rFonts w:ascii="Verdana" w:hAnsi="Verdana" w:cs="Arial"/>
                          <w:color w:val="000000"/>
                          <w:sz w:val="20"/>
                          <w:lang w:eastAsia="lt-LT"/>
                        </w:rPr>
                      </w:pPr>
                      <w:r>
                        <w:rPr>
                          <w:rFonts w:ascii="Verdana" w:hAnsi="Verdana" w:cs="Arial"/>
                          <w:color w:val="000000"/>
                          <w:sz w:val="20"/>
                          <w:lang w:eastAsia="lt-LT"/>
                        </w:rPr>
                        <w:t xml:space="preserve">„Vadovaudamasi Lietuvos Respublikos Lietuvos banko įstatymo 42 straipsnio 4 dalies 1 punktu, Lietuvos Respublikos bankų įstatymo 34 straipsnio 2 dalimi, Lietuvos Respublikos centrinių kredito unijų įstatymo 22 straipsnio 2 dalimi, Lietuvos Respublikos kredito unijų įstatymo 27 straipsnio 2 dalimi, Lietuvos Respublikos </w:t>
                      </w:r>
                      <w:r>
                        <w:rPr>
                          <w:rFonts w:ascii="Verdana" w:hAnsi="Verdana" w:cs="Arial"/>
                          <w:color w:val="000000"/>
                          <w:sz w:val="20"/>
                          <w:lang w:eastAsia="lt-LT"/>
                        </w:rPr>
                        <w:t>mokėjimo įstaigų įstatymo</w:t>
                      </w:r>
                      <w:r>
                        <w:rPr>
                          <w:rFonts w:ascii="Verdana" w:hAnsi="Verdana" w:cs="Arial"/>
                          <w:color w:val="000000"/>
                          <w:sz w:val="20"/>
                          <w:lang w:eastAsia="lt-LT"/>
                        </w:rPr>
                        <w:t xml:space="preserve"> </w:t>
                      </w:r>
                      <w:r>
                        <w:rPr>
                          <w:rFonts w:ascii="Verdana" w:hAnsi="Verdana" w:cs="Arial"/>
                          <w:color w:val="000000"/>
                          <w:sz w:val="20"/>
                          <w:lang w:eastAsia="lt-LT"/>
                        </w:rPr>
                        <w:t>9</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elektroninių pinigų ir elektroninių pinigų įstaigų įstatymo</w:t>
                      </w:r>
                      <w:r>
                        <w:rPr>
                          <w:rFonts w:ascii="Verdana" w:hAnsi="Verdana" w:cs="Arial"/>
                          <w:color w:val="000000"/>
                          <w:sz w:val="20"/>
                          <w:lang w:eastAsia="lt-LT"/>
                        </w:rPr>
                        <w:t xml:space="preserve"> </w:t>
                      </w:r>
                      <w:r>
                        <w:rPr>
                          <w:rFonts w:ascii="Verdana" w:hAnsi="Verdana" w:cs="Arial"/>
                          <w:color w:val="000000"/>
                          <w:sz w:val="20"/>
                          <w:lang w:eastAsia="lt-LT"/>
                        </w:rPr>
                        <w:t>16</w:t>
                      </w:r>
                      <w:r>
                        <w:rPr>
                          <w:rFonts w:ascii="Verdana" w:hAnsi="Verdana" w:cs="Arial"/>
                          <w:color w:val="000000"/>
                          <w:sz w:val="20"/>
                          <w:lang w:eastAsia="lt-LT"/>
                        </w:rPr>
                        <w:t xml:space="preserve"> straipsniu, Lietuvos Respublikos vartojimo kredito įstatymo 22 ir </w:t>
                      </w:r>
                      <w:r>
                        <w:rPr>
                          <w:rFonts w:ascii="Verdana" w:hAnsi="Verdana" w:cs="Arial"/>
                          <w:color w:val="000000"/>
                          <w:sz w:val="20"/>
                          <w:lang w:eastAsia="lt-LT"/>
                        </w:rPr>
                        <w:t>25</w:t>
                      </w:r>
                      <w:r>
                        <w:rPr>
                          <w:rFonts w:ascii="Verdana" w:hAnsi="Verdana" w:cs="Arial"/>
                          <w:color w:val="000000"/>
                          <w:sz w:val="20"/>
                          <w:vertAlign w:val="superscript"/>
                          <w:lang w:eastAsia="lt-LT"/>
                        </w:rPr>
                        <w:t>1</w:t>
                      </w:r>
                      <w:r>
                        <w:rPr>
                          <w:rFonts w:ascii="Verdana" w:hAnsi="Verdana" w:cs="Arial"/>
                          <w:color w:val="000000"/>
                          <w:sz w:val="20"/>
                          <w:lang w:eastAsia="lt-LT"/>
                        </w:rPr>
                        <w:t xml:space="preserve"> straipsniais, Lietuvos Respublikos </w:t>
                      </w:r>
                      <w:r>
                        <w:rPr>
                          <w:rFonts w:ascii="Verdana" w:hAnsi="Verdana" w:cs="Arial"/>
                          <w:color w:val="000000"/>
                          <w:sz w:val="20"/>
                          <w:lang w:eastAsia="lt-LT"/>
                        </w:rPr>
                        <w:t>su nekilnojamuoju turtu susijusio kredito įstatymo</w:t>
                      </w:r>
                      <w:r>
                        <w:rPr>
                          <w:rFonts w:ascii="Verdana" w:hAnsi="Verdana" w:cs="Arial"/>
                          <w:color w:val="000000"/>
                          <w:sz w:val="20"/>
                          <w:lang w:eastAsia="lt-LT"/>
                        </w:rPr>
                        <w:t xml:space="preserve"> 31 straipsnio 13 dalimi ir 37 straipsnio 2 dalimi, 2020 m. spalio 7 d. Europos Parlamento ir Tarybos reglamento </w:t>
                      </w:r>
                      <w:fldSimple w:instr="HYPERLINK http://eur-lex.europa.eu/legal-content/LIT/TXT/?uri=CELEX:32020R1503&amp;locale=lt \t _blank">
                        <w:r>
                          <w:rPr>
                            <w:rFonts w:ascii="Verdana" w:hAnsi="Verdana" w:cs="Arial"/>
                            <w:color w:val="0000FF" w:themeColor="hyperlink"/>
                            <w:sz w:val="20"/>
                            <w:lang w:eastAsia="lt-LT"/>
                            <w:u w:val="single"/>
                          </w:rPr>
                          <w:t>(ES) 2020/1503</w:t>
                        </w:r>
                      </w:fldSimple>
                      <w:r>
                        <w:rPr>
                          <w:rFonts w:ascii="Verdana" w:hAnsi="Verdana" w:cs="Arial"/>
                          <w:color w:val="000000"/>
                          <w:sz w:val="20"/>
                          <w:lang w:eastAsia="lt-LT"/>
                        </w:rPr>
                        <w:t xml:space="preserve"> dėl Europos sutelktinio finansavimo paslaugų verslui teikėjų, kuriuo iš dalies keičiamas Reglamentas </w:t>
                      </w:r>
                      <w:fldSimple w:instr="HYPERLINK http://eur-lex.europa.eu/legal-content/LIT/TXT/?uri=CELEX:32017R1129&amp;locale=lt \t _blank">
                        <w:r>
                          <w:rPr>
                            <w:rFonts w:ascii="Verdana" w:hAnsi="Verdana" w:cs="Arial"/>
                            <w:color w:val="0000FF" w:themeColor="hyperlink"/>
                            <w:sz w:val="20"/>
                            <w:lang w:eastAsia="lt-LT"/>
                            <w:u w:val="single"/>
                          </w:rPr>
                          <w:t>(ES) 2017/1129</w:t>
                        </w:r>
                      </w:fldSimple>
                      <w:r>
                        <w:rPr>
                          <w:rFonts w:ascii="Verdana" w:hAnsi="Verdana" w:cs="Arial"/>
                          <w:color w:val="000000"/>
                          <w:sz w:val="20"/>
                          <w:lang w:eastAsia="lt-LT"/>
                        </w:rPr>
                        <w:t xml:space="preserve"> ir Direktyva </w:t>
                      </w:r>
                      <w:fldSimple w:instr="HYPERLINK http://eur-lex.europa.eu/legal-content/LIT/TXT/?uri=CELEX:32019L1937&amp;locale=lt \t _blank">
                        <w:r>
                          <w:rPr>
                            <w:rFonts w:ascii="Verdana" w:hAnsi="Verdana" w:cs="Arial"/>
                            <w:color w:val="0000FF" w:themeColor="hyperlink"/>
                            <w:sz w:val="20"/>
                            <w:lang w:eastAsia="lt-LT"/>
                            <w:u w:val="single"/>
                          </w:rPr>
                          <w:t>(ES) 2019/1937</w:t>
                        </w:r>
                      </w:fldSimple>
                      <w:r>
                        <w:rPr>
                          <w:rFonts w:ascii="Verdana" w:hAnsi="Verdana" w:cs="Arial"/>
                          <w:color w:val="000000"/>
                          <w:sz w:val="20"/>
                          <w:lang w:eastAsia="lt-LT"/>
                        </w:rPr>
                        <w:t xml:space="preserve">, 12 straipsnio 2 dalies k ir l punktais, 3 dalimi, 15 straipsniu ir 30 straipsnio 1 dalies a ir b punktais, Lietuvos Respublikos </w:t>
                      </w:r>
                      <w:r>
                        <w:rPr>
                          <w:rFonts w:ascii="Verdana" w:hAnsi="Verdana" w:cs="Arial"/>
                          <w:color w:val="000000"/>
                          <w:sz w:val="20"/>
                          <w:lang w:eastAsia="lt-LT"/>
                        </w:rPr>
                        <w:t>valiutos keityklos operatorių įstatymo</w:t>
                      </w:r>
                      <w:r>
                        <w:rPr>
                          <w:rFonts w:ascii="Verdana" w:hAnsi="Verdana" w:cs="Arial"/>
                          <w:color w:val="000000"/>
                          <w:sz w:val="20"/>
                          <w:lang w:eastAsia="lt-LT"/>
                        </w:rPr>
                        <w:t xml:space="preserve"> </w:t>
                      </w:r>
                      <w:r>
                        <w:rPr>
                          <w:rFonts w:ascii="Verdana" w:hAnsi="Verdana" w:cs="Arial"/>
                          <w:color w:val="000000"/>
                          <w:sz w:val="20"/>
                          <w:lang w:eastAsia="lt-LT"/>
                        </w:rPr>
                        <w:t>5</w:t>
                      </w:r>
                      <w:r>
                        <w:rPr>
                          <w:rFonts w:ascii="Verdana" w:hAnsi="Verdana" w:cs="Arial"/>
                          <w:color w:val="000000"/>
                          <w:sz w:val="20"/>
                          <w:lang w:eastAsia="lt-LT"/>
                        </w:rPr>
                        <w:t xml:space="preserve"> straipsniu, Lietuvos Respublikos draudimo įstatymo 11 straipsniu, Lietuvos Respublikos kolektyvinio investavimo subjektų įstatymo </w:t>
                      </w:r>
                      <w:r>
                        <w:rPr>
                          <w:rFonts w:ascii="Verdana" w:hAnsi="Verdana" w:cs="Arial"/>
                          <w:color w:val="000000"/>
                          <w:sz w:val="20"/>
                          <w:lang w:eastAsia="lt-LT"/>
                        </w:rPr>
                        <w:t>9</w:t>
                      </w:r>
                      <w:r>
                        <w:rPr>
                          <w:rFonts w:ascii="Verdana" w:hAnsi="Verdana" w:cs="Arial"/>
                          <w:color w:val="000000"/>
                          <w:sz w:val="20"/>
                          <w:lang w:eastAsia="lt-LT"/>
                        </w:rPr>
                        <w:t xml:space="preserve"> straipsniu, Lietuvos Respublikos </w:t>
                      </w:r>
                      <w:r>
                        <w:rPr>
                          <w:rFonts w:ascii="Verdana" w:hAnsi="Verdana" w:cs="Arial"/>
                          <w:color w:val="000000"/>
                          <w:sz w:val="20"/>
                          <w:lang w:eastAsia="lt-LT"/>
                        </w:rPr>
                        <w:t>alternatyviųjų kolektyvinio investavimo subjektų valdytojų įstatymo</w:t>
                      </w:r>
                      <w:r>
                        <w:rPr>
                          <w:rFonts w:ascii="Verdana" w:hAnsi="Verdana" w:cs="Arial"/>
                          <w:color w:val="000000"/>
                          <w:sz w:val="20"/>
                          <w:lang w:eastAsia="lt-LT"/>
                        </w:rPr>
                        <w:t xml:space="preserve"> </w:t>
                      </w:r>
                      <w:r>
                        <w:rPr>
                          <w:rFonts w:ascii="Verdana" w:hAnsi="Verdana" w:cs="Arial"/>
                          <w:color w:val="000000"/>
                          <w:sz w:val="20"/>
                          <w:lang w:eastAsia="lt-LT"/>
                        </w:rPr>
                        <w:t>13</w:t>
                      </w:r>
                      <w:r>
                        <w:rPr>
                          <w:rFonts w:ascii="Verdana" w:hAnsi="Verdana" w:cs="Arial"/>
                          <w:color w:val="000000"/>
                          <w:sz w:val="20"/>
                          <w:lang w:eastAsia="lt-LT"/>
                        </w:rPr>
                        <w:t xml:space="preserve"> straipsnio 2 dalimi, Lietuvos Respublikos papildomo savanoriško pensijų kaupimo įstatymo 6 straipsnio 1 dalies 10 punktu, Lietuvos Respublikos informuotiesiems investuotojams skirtų kolektyvinio investavimo subjektų įstatymo 11 straipsniu, Lietuvos Respublikos profesinių pensijų kaupimo įstatymo 13 straipsnio 6 dalimi, 15 straipsnio 7, 8 ir 9 dalimis, 41 straipsnio 4 dalimi, Lietuvos Respublikos finansinių priemonių rinkų įstatymo </w:t>
                      </w:r>
                      <w:r>
                        <w:rPr>
                          <w:rFonts w:ascii="Verdana" w:hAnsi="Verdana" w:cs="Arial"/>
                          <w:color w:val="000000"/>
                          <w:sz w:val="20"/>
                          <w:lang w:eastAsia="lt-LT"/>
                        </w:rPr>
                        <w:t>9</w:t>
                      </w:r>
                      <w:r>
                        <w:rPr>
                          <w:rFonts w:ascii="Verdana" w:hAnsi="Verdana" w:cs="Arial"/>
                          <w:color w:val="000000"/>
                          <w:sz w:val="20"/>
                          <w:lang w:eastAsia="lt-LT"/>
                        </w:rPr>
                        <w:t xml:space="preserve"> ir </w:t>
                      </w:r>
                      <w:r>
                        <w:rPr>
                          <w:rFonts w:ascii="Verdana" w:hAnsi="Verdana" w:cs="Arial"/>
                          <w:color w:val="000000"/>
                          <w:sz w:val="20"/>
                          <w:lang w:eastAsia="lt-LT"/>
                        </w:rPr>
                        <w:t>58</w:t>
                      </w:r>
                      <w:r>
                        <w:rPr>
                          <w:rFonts w:ascii="Verdana" w:hAnsi="Verdana" w:cs="Arial"/>
                          <w:color w:val="000000"/>
                          <w:sz w:val="20"/>
                          <w:lang w:eastAsia="lt-LT"/>
                        </w:rPr>
                        <w:t xml:space="preserve"> straipsniais, Lietuvos Respublikos </w:t>
                      </w:r>
                      <w:r>
                        <w:rPr>
                          <w:rFonts w:ascii="Verdana" w:hAnsi="Verdana" w:cs="Arial"/>
                          <w:color w:val="000000"/>
                          <w:sz w:val="20"/>
                          <w:lang w:eastAsia="lt-LT"/>
                        </w:rPr>
                        <w:t>pensijų kaupimo įstatymo</w:t>
                      </w:r>
                      <w:r>
                        <w:rPr>
                          <w:rFonts w:ascii="Verdana" w:hAnsi="Verdana" w:cs="Arial"/>
                          <w:color w:val="000000"/>
                          <w:sz w:val="20"/>
                          <w:lang w:eastAsia="lt-LT"/>
                        </w:rPr>
                        <w:t xml:space="preserve"> 35</w:t>
                      </w:r>
                      <w:r>
                        <w:rPr>
                          <w:rFonts w:ascii="Verdana" w:hAnsi="Verdana" w:cs="Arial"/>
                          <w:color w:val="000000"/>
                          <w:sz w:val="20"/>
                          <w:vertAlign w:val="superscript"/>
                          <w:lang w:eastAsia="lt-LT"/>
                        </w:rPr>
                        <w:t>3</w:t>
                      </w:r>
                      <w:r>
                        <w:rPr>
                          <w:rFonts w:ascii="Verdana" w:hAnsi="Verdana" w:cs="Arial"/>
                          <w:color w:val="000000"/>
                          <w:sz w:val="20"/>
                          <w:lang w:eastAsia="lt-LT"/>
                        </w:rPr>
                        <w:t xml:space="preserve"> straipsniu, Lietuvos Respublikos kredito administratorių ir kredito pirkėjų įstatymo 8 straipsniu, </w:t>
                      </w:r>
                      <w:r>
                        <w:rPr>
                          <w:rFonts w:ascii="Verdana" w:hAnsi="Verdana" w:cs="Arial"/>
                          <w:b/>
                          <w:bCs/>
                          <w:color w:val="000000"/>
                          <w:sz w:val="20"/>
                          <w:lang w:eastAsia="lt-LT"/>
                        </w:rPr>
                        <w:t>Lietuvos Respublikos kriptoturto rinkų įstatymo 4 straipsnio 4 dalimi</w:t>
                      </w:r>
                      <w:r>
                        <w:rPr>
                          <w:rFonts w:ascii="Verdana" w:hAnsi="Verdana" w:cs="Arial"/>
                          <w:color w:val="000000"/>
                          <w:sz w:val="20"/>
                          <w:lang w:eastAsia="lt-LT"/>
                        </w:rPr>
                        <w:t>, Lietuvos banko valdyba nutaria:“.</w:t>
                      </w:r>
                    </w:p>
                  </w:sdtContent>
                </w:sdt>
              </w:sdtContent>
            </w:sdt>
          </w:sdtContent>
        </w:sdt>
        <w:sdt>
          <w:sdtPr>
            <w:alias w:val="2 p."/>
            <w:tag w:val="part_14d9123744494e76b6cc49a76a33eb92"/>
            <w:lock w:val="sdtLocked"/>
            <w:richText/>
          </w:sdtPr>
          <w:sdtContent>
            <w:p w14:paraId="4491D4BC" w14:textId="0DD4A693">
              <w:pPr>
                <w:shd w:val="clear" w:color="auto" w:fill="FFFFFF"/>
                <w:ind w:firstLine="720"/>
                <w:jc w:val="both"/>
                <w:rPr>
                  <w:rFonts w:ascii="Verdana" w:hAnsi="Verdana" w:cs="Arial"/>
                  <w:color w:val="000000"/>
                  <w:sz w:val="20"/>
                  <w:lang w:eastAsia="lt-LT"/>
                </w:rPr>
              </w:pPr>
              <w:sdt>
                <w:sdtPr>
                  <w:alias w:val="Numeris"/>
                  <w:tag w:val="nr_14d9123744494e76b6cc49a76a33eb92"/>
                  <w:lock w:val="sdtLocked"/>
                  <w:richText/>
                </w:sdtPr>
                <w:sdtContent>
                  <w:r>
                    <w:rPr>
                      <w:rFonts w:ascii="Verdana" w:hAnsi="Verdana" w:cs="Arial"/>
                      <w:color w:val="000000"/>
                      <w:sz w:val="20"/>
                      <w:lang w:eastAsia="lt-LT"/>
                    </w:rPr>
                    <w:t>2</w:t>
                  </w:r>
                </w:sdtContent>
              </w:sdt>
              <w:r>
                <w:rPr>
                  <w:rFonts w:ascii="Verdana" w:hAnsi="Verdana" w:cs="Arial"/>
                  <w:color w:val="000000"/>
                  <w:sz w:val="20"/>
                  <w:lang w:eastAsia="lt-LT"/>
                </w:rPr>
                <w:t xml:space="preserve">. Pakeisti nurodytu nutarimu patvirtintus </w:t>
              </w:r>
              <w:r>
                <w:rPr>
                  <w:rFonts w:ascii="Verdana" w:hAnsi="Verdana" w:cs="Arial"/>
                  <w:color w:val="000000"/>
                  <w:sz w:val="20"/>
                  <w:lang w:eastAsia="lt-LT"/>
                </w:rPr>
                <w:t>Lietuvos banko prižiūrimų finansų rinkos dalyvių vadovų ir pagrindines funkcijas atliekančių asmenų vertinimo nuostatus</w:t>
              </w:r>
              <w:r>
                <w:rPr>
                  <w:rFonts w:ascii="Verdana" w:hAnsi="Verdana" w:cs="Arial"/>
                  <w:color w:val="000000"/>
                  <w:sz w:val="20"/>
                  <w:lang w:eastAsia="lt-LT"/>
                </w:rPr>
                <w:t>:</w:t>
              </w:r>
            </w:p>
            <w:sdt>
              <w:sdtPr>
                <w:alias w:val="2.1 pp."/>
                <w:tag w:val="part_6fc58ddd0d424fa8a02470a4dea84ce9"/>
                <w:lock w:val="sdtLocked"/>
                <w:richText/>
              </w:sdtPr>
              <w:sdtContent>
                <w:p w14:paraId="116F1CB6" w14:textId="6C048762">
                  <w:pPr>
                    <w:widowControl w:val="0"/>
                    <w:ind w:firstLine="720"/>
                    <w:jc w:val="both"/>
                    <w:rPr>
                      <w:rFonts w:ascii="Verdana" w:hAnsi="Verdana"/>
                      <w:sz w:val="20"/>
                    </w:rPr>
                  </w:pPr>
                  <w:sdt>
                    <w:sdtPr>
                      <w:alias w:val="Numeris"/>
                      <w:tag w:val="nr_6fc58ddd0d424fa8a02470a4dea84ce9"/>
                      <w:lock w:val="sdtLocked"/>
                      <w:richText/>
                    </w:sdtPr>
                    <w:sdtContent>
                      <w:r>
                        <w:rPr>
                          <w:rFonts w:ascii="Verdana" w:hAnsi="Verdana"/>
                          <w:sz w:val="20"/>
                        </w:rPr>
                        <w:t>2.1</w:t>
                      </w:r>
                    </w:sdtContent>
                  </w:sdt>
                  <w:r>
                    <w:rPr>
                      <w:rFonts w:ascii="Verdana" w:hAnsi="Verdana"/>
                      <w:sz w:val="20"/>
                    </w:rPr>
                    <w:t>. Pakeisti 4 punktą ir jį išdėstyti taip:</w:t>
                  </w:r>
                </w:p>
                <w:sdt>
                  <w:sdtPr>
                    <w:alias w:val="citata"/>
                    <w:tag w:val="part_fb9cc64665984845ba117643a0b41ba7"/>
                    <w:lock w:val="sdtLocked"/>
                    <w:richText/>
                  </w:sdtPr>
                  <w:sdtContent>
                    <w:sdt>
                      <w:sdtPr>
                        <w:alias w:val="4 p."/>
                        <w:tag w:val="part_32a73d558ae042f690af34cc4088ecd4"/>
                        <w:lock w:val="sdtLocked"/>
                        <w:richText/>
                      </w:sdtPr>
                      <w:sdtContent>
                        <w:p w14:paraId="0650E9D2" w14:textId="6BA21032">
                          <w:pPr>
                            <w:widowControl w:val="0"/>
                            <w:ind w:firstLine="720"/>
                            <w:jc w:val="both"/>
                            <w:rPr>
                              <w:rFonts w:ascii="Verdana" w:hAnsi="Verdana" w:cs="Arial"/>
                              <w:b/>
                              <w:bCs/>
                              <w:color w:val="000000"/>
                              <w:sz w:val="20"/>
                              <w:shd w:val="clear" w:color="auto" w:fill="FFFFFF"/>
                              <w:lang w:val="en-US"/>
                            </w:rPr>
                          </w:pPr>
                          <w:r>
                            <w:rPr>
                              <w:rFonts w:ascii="Verdana" w:hAnsi="Verdana" w:cs="Arial"/>
                              <w:color w:val="000000"/>
                              <w:sz w:val="20"/>
                              <w:shd w:val="clear" w:color="auto" w:fill="FFFFFF"/>
                            </w:rPr>
                            <w:t>„</w:t>
                          </w:r>
                          <w:sdt>
                            <w:sdtPr>
                              <w:alias w:val="Numeris"/>
                              <w:tag w:val="nr_32a73d558ae042f690af34cc4088ecd4"/>
                              <w:lock w:val="sdtLocked"/>
                              <w:richText/>
                            </w:sdtPr>
                            <w:sdtContent>
                              <w:r>
                                <w:rPr>
                                  <w:rFonts w:ascii="Verdana" w:hAnsi="Verdana" w:cs="Arial"/>
                                  <w:color w:val="000000"/>
                                  <w:sz w:val="20"/>
                                  <w:shd w:val="clear" w:color="auto" w:fill="FFFFFF"/>
                                </w:rPr>
                                <w:t>4</w:t>
                              </w:r>
                            </w:sdtContent>
                          </w:sdt>
                          <w:r>
                            <w:rPr>
                              <w:rFonts w:ascii="Verdana" w:hAnsi="Verdana" w:cs="Arial"/>
                              <w:color w:val="000000"/>
                              <w:sz w:val="20"/>
                              <w:shd w:val="clear" w:color="auto" w:fill="FFFFFF"/>
                            </w:rPr>
                            <w:t xml:space="preserve">. Nuostatai parengti atsižvelgiant į Europos bankininkystės institucijos ir Europos vertybinių popierių ir rinkų institucijos priimtas </w:t>
                          </w:r>
                          <w:r>
                            <w:rPr>
                              <w:rFonts w:ascii="Verdana" w:hAnsi="Verdana" w:cs="Arial"/>
                              <w:color w:val="000000"/>
                              <w:sz w:val="20"/>
                              <w:shd w:val="clear" w:color="auto" w:fill="FFFFFF"/>
                            </w:rPr>
                            <w:t>Gaires dėl valdymo organo narių ir pagrindines funkcijas atliekančių asmenų tinkamumo vertinimo</w:t>
                          </w:r>
                          <w:r>
                            <w:rPr>
                              <w:rFonts w:ascii="Verdana" w:hAnsi="Verdana" w:cs="Arial"/>
                              <w:color w:val="000000"/>
                              <w:sz w:val="20"/>
                              <w:shd w:val="clear" w:color="auto" w:fill="FFFFFF"/>
                            </w:rPr>
                            <w:t xml:space="preserve"> </w:t>
                          </w:r>
                          <w:r>
                            <w:rPr>
                              <w:rFonts w:ascii="Verdana" w:hAnsi="Verdana" w:cs="Arial"/>
                              <w:b/>
                              <w:bCs/>
                              <w:color w:val="000000"/>
                              <w:sz w:val="20"/>
                              <w:shd w:val="clear" w:color="auto" w:fill="FFFFFF"/>
                            </w:rPr>
                            <w:t xml:space="preserve">(angl. </w:t>
                          </w:r>
                          <w:r>
                            <w:rPr>
                              <w:rFonts w:ascii="Verdana" w:hAnsi="Verdana"/>
                              <w:b/>
                              <w:bCs/>
                              <w:i/>
                              <w:iCs/>
                              <w:sz w:val="20"/>
                            </w:rPr>
                            <w:t>Guidelines on the assessment of the suitability of members of the management body and key function holders</w:t>
                          </w:r>
                          <w:r>
                            <w:rPr>
                              <w:rFonts w:ascii="Verdana" w:hAnsi="Verdana"/>
                              <w:b/>
                              <w:bCs/>
                              <w:sz w:val="20"/>
                            </w:rPr>
                            <w:t>)</w:t>
                          </w:r>
                          <w:r>
                            <w:rPr>
                              <w:rFonts w:ascii="Verdana" w:hAnsi="Verdana"/>
                              <w:sz w:val="20"/>
                            </w:rPr>
                            <w:t xml:space="preserve"> </w:t>
                          </w:r>
                          <w:r>
                            <w:rPr>
                              <w:rFonts w:ascii="Verdana" w:hAnsi="Verdana" w:cs="Arial"/>
                              <w:color w:val="000000"/>
                              <w:sz w:val="20"/>
                              <w:shd w:val="clear" w:color="auto" w:fill="FFFFFF"/>
                            </w:rPr>
                            <w:t xml:space="preserve">(EBA/GL/2021/06, ESMA35-36-2319), Europos bankininkystės institucijos priimtas Gaires dėl vertinimo, ar kredito administratorių valdymo arba administravimo organas kaip visuma turi reikiamų žinių ir patirties, pagal Direktyvą </w:t>
                          </w:r>
                          <w:fldSimple w:instr="HYPERLINK http://eur-lex.europa.eu/legal-content/LIT/TXT/?uri=CELEX:32021L2167&amp;locale=lt \t _blank">
                            <w:r>
                              <w:rPr>
                                <w:rFonts w:ascii="Verdana" w:hAnsi="Verdana" w:cs="Arial"/>
                                <w:color w:val="0000FF" w:themeColor="hyperlink"/>
                                <w:sz w:val="20"/>
                                <w:shd w:val="clear" w:color="auto" w:fill="FFFFFF"/>
                                <w:u w:val="single"/>
                              </w:rPr>
                              <w:t>(ES) 2021/2167</w:t>
                            </w:r>
                          </w:fldSimple>
                          <w:r>
                            <w:rPr>
                              <w:rFonts w:ascii="Verdana" w:hAnsi="Verdana" w:cs="Arial"/>
                              <w:color w:val="000000"/>
                              <w:sz w:val="20"/>
                              <w:shd w:val="clear" w:color="auto" w:fill="FFFFFF"/>
                            </w:rPr>
                            <w:t xml:space="preserve"> </w:t>
                          </w:r>
                          <w:r>
                            <w:rPr>
                              <w:rFonts w:ascii="Verdana" w:hAnsi="Verdana" w:cs="Arial"/>
                              <w:b/>
                              <w:bCs/>
                              <w:color w:val="000000"/>
                              <w:sz w:val="20"/>
                              <w:shd w:val="clear" w:color="auto" w:fill="FFFFFF"/>
                            </w:rPr>
                            <w:t xml:space="preserve">(angl. </w:t>
                          </w:r>
                          <w:r>
                            <w:rPr>
                              <w:rFonts w:ascii="Verdana" w:hAnsi="Verdana"/>
                              <w:b/>
                              <w:bCs/>
                              <w:i/>
                              <w:iCs/>
                              <w:sz w:val="20"/>
                            </w:rPr>
                            <w:t>Guidelines on the assessment of adequate knowledge and experience of the management or administrative organ of credit servicers, as a whole, under Directive (EU) 2021/2167</w:t>
                          </w:r>
                          <w:r>
                            <w:rPr>
                              <w:rFonts w:ascii="Verdana" w:hAnsi="Verdana"/>
                              <w:b/>
                              <w:bCs/>
                              <w:sz w:val="20"/>
                            </w:rPr>
                            <w:t>)</w:t>
                          </w:r>
                          <w:r>
                            <w:rPr>
                              <w:rFonts w:ascii="Verdana" w:hAnsi="Verdana" w:cs="Arial"/>
                              <w:color w:val="000000"/>
                              <w:sz w:val="20"/>
                              <w:shd w:val="clear" w:color="auto" w:fill="FFFFFF"/>
                            </w:rPr>
                            <w:t xml:space="preserve"> (EBA/GL/2023/09), </w:t>
                          </w:r>
                          <w:r>
                            <w:rPr>
                              <w:rFonts w:ascii="Verdana" w:hAnsi="Verdana" w:cs="Arial"/>
                              <w:b/>
                              <w:bCs/>
                              <w:color w:val="000000"/>
                              <w:sz w:val="20"/>
                              <w:shd w:val="clear" w:color="auto" w:fill="FFFFFF"/>
                            </w:rPr>
                            <w:t xml:space="preserve">Europos bankininkystės institucijos ir Europos vertybinių popierių ir rinkų institucijos priimtas Bendras gaires dėl </w:t>
                          </w:r>
                          <w:r>
                            <w:rPr>
                              <w:rFonts w:ascii="Verdana" w:hAnsi="Verdana"/>
                              <w:b/>
                              <w:bCs/>
                              <w:sz w:val="20"/>
                            </w:rPr>
                            <w:t xml:space="preserve">su turtu susietų žetonų emitentų ir kriptoturto paslaugų teikėjų valdymo organo narių tinkamumo vertinimo (angl. </w:t>
                          </w:r>
                          <w:r>
                            <w:rPr>
                              <w:rFonts w:ascii="Verdana" w:hAnsi="Verdana"/>
                              <w:b/>
                              <w:bCs/>
                              <w:i/>
                              <w:iCs/>
                              <w:sz w:val="20"/>
                            </w:rPr>
                            <w:t>Joint EBA and ESMA Guidelines on the assessment of the suitability of the members of the management body of issuers of asset-referenced tokens and of crypto-asset service providers</w:t>
                          </w:r>
                          <w:r>
                            <w:rPr>
                              <w:rFonts w:ascii="Verdana" w:hAnsi="Verdana"/>
                              <w:b/>
                              <w:bCs/>
                              <w:sz w:val="20"/>
                            </w:rPr>
                            <w:t>) (EBA/GL/2024/09, ESMA75-453128700-10)</w:t>
                          </w:r>
                          <w:r>
                            <w:rPr>
                              <w:rFonts w:ascii="Verdana" w:hAnsi="Verdana" w:cs="Arial"/>
                              <w:color w:val="000000"/>
                              <w:sz w:val="20"/>
                              <w:shd w:val="clear" w:color="auto" w:fill="FFFFFF"/>
                            </w:rPr>
                            <w:t xml:space="preserve"> ir yra taikomi kartu.“;</w:t>
                          </w:r>
                        </w:p>
                      </w:sdtContent>
                    </w:sdt>
                  </w:sdtContent>
                </w:sdt>
              </w:sdtContent>
            </w:sdt>
            <w:sdt>
              <w:sdtPr>
                <w:alias w:val="2.2 pp."/>
                <w:tag w:val="part_e04458fcfffe41d2ae703855dff131b0"/>
                <w:lock w:val="sdtLocked"/>
                <w:richText/>
              </w:sdtPr>
              <w:sdtContent>
                <w:p w14:paraId="32E0E434" w14:textId="632870DD">
                  <w:pPr>
                    <w:widowControl w:val="0"/>
                    <w:ind w:firstLine="720"/>
                    <w:jc w:val="both"/>
                    <w:rPr>
                      <w:rFonts w:ascii="Verdana" w:hAnsi="Verdana"/>
                      <w:sz w:val="20"/>
                    </w:rPr>
                  </w:pPr>
                  <w:sdt>
                    <w:sdtPr>
                      <w:alias w:val="Numeris"/>
                      <w:tag w:val="nr_e04458fcfffe41d2ae703855dff131b0"/>
                      <w:lock w:val="sdtLocked"/>
                      <w:richText/>
                    </w:sdtPr>
                    <w:sdtContent>
                      <w:r>
                        <w:rPr>
                          <w:rFonts w:ascii="Verdana" w:hAnsi="Verdana"/>
                          <w:sz w:val="20"/>
                        </w:rPr>
                        <w:t>2.2</w:t>
                      </w:r>
                    </w:sdtContent>
                  </w:sdt>
                  <w:r>
                    <w:rPr>
                      <w:rFonts w:ascii="Verdana" w:hAnsi="Verdana"/>
                      <w:sz w:val="20"/>
                    </w:rPr>
                    <w:t>. Pakeisti 17.4 papunktį ir jį išdėstyti taip:</w:t>
                  </w:r>
                </w:p>
                <w:sdt>
                  <w:sdtPr>
                    <w:alias w:val="citata"/>
                    <w:tag w:val="part_c20114af511b42f587f249f567d8b581"/>
                    <w:lock w:val="sdtLocked"/>
                    <w:richText/>
                  </w:sdtPr>
                  <w:sdtContent>
                    <w:sdt>
                      <w:sdtPr>
                        <w:alias w:val="17.4 pp."/>
                        <w:tag w:val="part_d2b8eceb2d91485eadbd9dafbf5f6a70"/>
                        <w:lock w:val="sdtLocked"/>
                        <w:richText/>
                      </w:sdtPr>
                      <w:sdtContent>
                        <w:p w14:paraId="1B3FC410" w14:textId="6AE1D70C">
                          <w:pPr>
                            <w:widowControl w:val="0"/>
                            <w:ind w:firstLine="720"/>
                            <w:jc w:val="both"/>
                            <w:rPr>
                              <w:rFonts w:ascii="Verdana" w:hAnsi="Verdana" w:cs="Arial"/>
                              <w:color w:val="000000"/>
                              <w:sz w:val="20"/>
                              <w:shd w:val="clear" w:color="auto" w:fill="FFFFFF"/>
                            </w:rPr>
                          </w:pPr>
                          <w:r>
                            <w:rPr>
                              <w:rFonts w:ascii="Verdana" w:hAnsi="Verdana"/>
                              <w:sz w:val="20"/>
                            </w:rPr>
                            <w:t>„</w:t>
                          </w:r>
                          <w:sdt>
                            <w:sdtPr>
                              <w:alias w:val="Numeris"/>
                              <w:tag w:val="nr_d2b8eceb2d91485eadbd9dafbf5f6a70"/>
                              <w:lock w:val="sdtLocked"/>
                              <w:richText/>
                            </w:sdtPr>
                            <w:sdtContent>
                              <w:r>
                                <w:rPr>
                                  <w:rFonts w:ascii="Verdana" w:hAnsi="Verdana"/>
                                  <w:sz w:val="20"/>
                                </w:rPr>
                                <w:t>17.4</w:t>
                              </w:r>
                            </w:sdtContent>
                          </w:sdt>
                          <w:r>
                            <w:rPr>
                              <w:rFonts w:ascii="Verdana" w:hAnsi="Verdana"/>
                              <w:sz w:val="20"/>
                            </w:rPr>
                            <w:t xml:space="preserve">. </w:t>
                          </w:r>
                          <w:r>
                            <w:rPr>
                              <w:rFonts w:ascii="Verdana" w:hAnsi="Verdana" w:cs="Arial"/>
                              <w:color w:val="000000"/>
                              <w:sz w:val="20"/>
                              <w:shd w:val="clear" w:color="auto" w:fill="FFFFFF"/>
                            </w:rPr>
                            <w:t xml:space="preserve">kitos valstybės kompetentingos institucijos (kai asmuo yra kitos valstybės pilietis arba jo nuolatinė gyvenamoji vieta ar buveinė yra ne Lietuvos Respublikoje) ne vėliau kaip prieš šešis mėnesius parengtą dokumentą, kuriame nurodyta asmens reputacijai vertinti aktuali informacija (teistumo nebuvimas, pritaikytų poveikio priemonių neturėjimas ir pan.). </w:t>
                          </w:r>
                          <w:r>
                            <w:rPr>
                              <w:rFonts w:ascii="Verdana" w:hAnsi="Verdana" w:cs="Arial"/>
                              <w:b/>
                              <w:bCs/>
                              <w:color w:val="000000"/>
                              <w:sz w:val="20"/>
                              <w:shd w:val="clear" w:color="auto" w:fill="FFFFFF"/>
                            </w:rPr>
                            <w:t>Kriptoturto paslaugų teikėjų ir su turtu susietų žetonų emitentų vadovų atžvilgiu dokumento, kuriame nurodyta asmens reputacijai vertinti aktuali informacija, parengimo data turi būti ne vėlesnė kaip trys mėnesiai ir pateikiama iš kiekvienos nuolatinės gyvenamosios vietos ar buveinės ne Lietuvos Respublikoje per paskutinius dešimt metų;</w:t>
                          </w:r>
                          <w:r>
                            <w:rPr>
                              <w:rFonts w:ascii="Verdana" w:hAnsi="Verdana" w:cs="Arial"/>
                              <w:color w:val="000000"/>
                              <w:sz w:val="20"/>
                              <w:shd w:val="clear" w:color="auto" w:fill="FFFFFF"/>
                            </w:rPr>
                            <w:t>“;</w:t>
                          </w:r>
                        </w:p>
                      </w:sdtContent>
                    </w:sdt>
                  </w:sdtContent>
                </w:sdt>
              </w:sdtContent>
            </w:sdt>
            <w:sdt>
              <w:sdtPr>
                <w:alias w:val="2.3 pp."/>
                <w:tag w:val="part_706e8bcd223a4ff68251de509fed90e9"/>
                <w:lock w:val="sdtLocked"/>
                <w:richText/>
              </w:sdtPr>
              <w:sdtContent>
                <w:p w14:paraId="7F8690B8" w14:textId="4FFDAB78">
                  <w:pPr>
                    <w:widowControl w:val="0"/>
                    <w:ind w:firstLine="720"/>
                    <w:jc w:val="both"/>
                    <w:rPr>
                      <w:rFonts w:ascii="Verdana" w:hAnsi="Verdana" w:cs="Arial"/>
                      <w:color w:val="000000"/>
                      <w:sz w:val="20"/>
                      <w:shd w:val="clear" w:color="auto" w:fill="FFFFFF"/>
                    </w:rPr>
                  </w:pPr>
                  <w:sdt>
                    <w:sdtPr>
                      <w:alias w:val="Numeris"/>
                      <w:tag w:val="nr_706e8bcd223a4ff68251de509fed90e9"/>
                      <w:lock w:val="sdtLocked"/>
                      <w:richText/>
                    </w:sdtPr>
                    <w:sdtContent>
                      <w:r>
                        <w:rPr>
                          <w:rFonts w:ascii="Verdana" w:hAnsi="Verdana" w:cs="Arial"/>
                          <w:color w:val="000000"/>
                          <w:sz w:val="20"/>
                          <w:shd w:val="clear" w:color="auto" w:fill="FFFFFF"/>
                        </w:rPr>
                        <w:t>2.3</w:t>
                      </w:r>
                    </w:sdtContent>
                  </w:sdt>
                  <w:r>
                    <w:rPr>
                      <w:rFonts w:ascii="Verdana" w:hAnsi="Verdana" w:cs="Arial"/>
                      <w:color w:val="000000"/>
                      <w:sz w:val="20"/>
                      <w:shd w:val="clear" w:color="auto" w:fill="FFFFFF"/>
                    </w:rPr>
                    <w:t>. Pakeisti 1 priedo I dalį ir ją išdėstyti taip:</w:t>
                  </w:r>
                </w:p>
                <w:sdt>
                  <w:sdtPr>
                    <w:alias w:val="citata"/>
                    <w:tag w:val="part_7a339f26041e41ae9b3524effab3ccad"/>
                    <w:lock w:val="sdtLocked"/>
                    <w:richText/>
                  </w:sdtPr>
                  <w:sdtContent>
                    <w:sdt>
                      <w:sdtPr>
                        <w:alias w:val="skirsnis"/>
                        <w:tag w:val="part_a4934764e9714cd9afdb8f165a4e401d"/>
                        <w:lock w:val="sdtLocked"/>
                        <w:richText/>
                      </w:sdtPr>
                      <w:sdtContent>
                        <w:p w14:paraId="049F309D" w14:textId="77777777">
                          <w:pPr>
                            <w:rPr>
                              <w:rFonts w:ascii="Verdana" w:eastAsia="Calibri" w:hAnsi="Verdana"/>
                              <w:b/>
                              <w:sz w:val="20"/>
                            </w:rPr>
                          </w:pPr>
                          <w:r>
                            <w:rPr>
                              <w:rFonts w:ascii="Verdana" w:hAnsi="Verdana" w:cs="Arial"/>
                              <w:color w:val="000000"/>
                              <w:sz w:val="20"/>
                              <w:shd w:val="clear" w:color="auto" w:fill="FFFFFF"/>
                            </w:rPr>
                            <w:t>„</w:t>
                          </w:r>
                          <w:sdt>
                            <w:sdtPr>
                              <w:alias w:val="Pavadinimas"/>
                              <w:tag w:val="title_a4934764e9714cd9afdb8f165a4e401d"/>
                              <w:lock w:val="sdtLocked"/>
                              <w:richText/>
                            </w:sdtPr>
                            <w:sdtContent>
                              <w:r>
                                <w:rPr>
                                  <w:rFonts w:ascii="Verdana" w:eastAsia="Calibri" w:hAnsi="Verdana"/>
                                  <w:b/>
                                  <w:sz w:val="20"/>
                                </w:rPr>
                                <w:t xml:space="preserve">I DALIS. FINANSŲ RINKOS DALYVIO IR SKIRIAMO ASMENS IDENTIFIKACINIAI DUOMENYS </w:t>
                              </w:r>
                            </w:sdtContent>
                          </w:sdt>
                        </w:p>
                        <w:p w14:paraId="6A18A258" w14:textId="77777777">
                          <w:pPr>
                            <w:rPr>
                              <w:rFonts w:ascii="Verdana" w:hAnsi="Verdana"/>
                              <w:sz w:val="20"/>
                            </w:rPr>
                          </w:pPr>
                        </w:p>
                      </w:sdtContent>
                    </w:sdt>
                    <w:sdt>
                      <w:sdtPr>
                        <w:alias w:val="skirsnis"/>
                        <w:tag w:val="part_483c60e5b629425497a2b795332e440d"/>
                        <w:lock w:val="sdtLocked"/>
                        <w:richText/>
                      </w:sdtPr>
                      <w:sdtContent>
                        <w:p w14:paraId="4E18F1BB" w14:textId="77777777">
                          <w:pPr>
                            <w:rPr>
                              <w:rFonts w:ascii="Verdana" w:eastAsia="Calibri" w:hAnsi="Verdana"/>
                              <w:b/>
                              <w:sz w:val="20"/>
                            </w:rPr>
                          </w:pPr>
                          <w:sdt>
                            <w:sdtPr>
                              <w:alias w:val="Pavadinimas"/>
                              <w:tag w:val="title_483c60e5b629425497a2b795332e440d"/>
                              <w:lock w:val="sdtLocked"/>
                              <w:richText/>
                            </w:sdtPr>
                            <w:sdtContent>
                              <w:r>
                                <w:rPr>
                                  <w:rFonts w:ascii="Verdana" w:eastAsia="Calibri" w:hAnsi="Verdana"/>
                                  <w:b/>
                                  <w:sz w:val="20"/>
                                </w:rPr>
                                <w:t>Informacija apie finansų rinkos dalyvį</w:t>
                              </w:r>
                            </w:sdtContent>
                          </w:sdt>
                        </w:p>
                        <w:p w14:paraId="2DFE6BE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68"/>
                            <w:gridCol w:w="5369"/>
                          </w:tblGrid>
                          <w:tr w14:paraId="4704ADEB" w14:textId="77777777">
                            <w:trPr>
                              <w:trHeight w:val="420"/>
                            </w:trPr>
                            <w:tc>
                              <w:tcPr>
                                <w:tcW w:w="4265" w:type="dxa"/>
                                <w:tcBorders>
                                  <w:top w:val="single" w:sz="4" w:space="0" w:color="auto"/>
                                  <w:left w:val="single" w:sz="4" w:space="0" w:color="auto"/>
                                  <w:bottom w:val="single" w:sz="4" w:space="0" w:color="auto"/>
                                  <w:right w:val="single" w:sz="4" w:space="0" w:color="auto"/>
                                </w:tcBorders>
                                <w:shd w:val="clear" w:color="auto" w:fill="D9D9D9"/>
                              </w:tcPr>
                              <w:p w14:paraId="147D3B28" w14:textId="77777777">
                                <w:pPr>
                                  <w:rPr>
                                    <w:rFonts w:ascii="Verdana" w:eastAsia="Calibri" w:hAnsi="Verdana"/>
                                    <w:sz w:val="20"/>
                                  </w:rPr>
                                </w:pPr>
                                <w:r>
                                  <w:rPr>
                                    <w:rFonts w:ascii="Verdana" w:eastAsia="Calibri" w:hAnsi="Verdana"/>
                                    <w:sz w:val="20"/>
                                  </w:rPr>
                                  <w:t>Pavadinimas</w:t>
                                </w:r>
                              </w:p>
                            </w:tc>
                            <w:tc>
                              <w:tcPr>
                                <w:tcW w:w="5365" w:type="dxa"/>
                                <w:tcBorders>
                                  <w:top w:val="single" w:sz="4" w:space="0" w:color="auto"/>
                                  <w:left w:val="single" w:sz="4" w:space="0" w:color="auto"/>
                                  <w:bottom w:val="single" w:sz="4" w:space="0" w:color="auto"/>
                                  <w:right w:val="single" w:sz="4" w:space="0" w:color="auto"/>
                                </w:tcBorders>
                              </w:tcPr>
                              <w:p w14:paraId="23532BA6" w14:textId="77777777">
                                <w:pPr>
                                  <w:rPr>
                                    <w:rFonts w:ascii="Verdana" w:eastAsia="Calibri" w:hAnsi="Verdana"/>
                                    <w:sz w:val="20"/>
                                  </w:rPr>
                                </w:pPr>
                              </w:p>
                              <w:p w14:paraId="48BE4909" w14:textId="77777777">
                                <w:pPr>
                                  <w:rPr>
                                    <w:rFonts w:ascii="Verdana" w:eastAsia="Calibri" w:hAnsi="Verdana"/>
                                    <w:sz w:val="20"/>
                                  </w:rPr>
                                </w:pPr>
                              </w:p>
                            </w:tc>
                          </w:tr>
                          <w:tr w14:paraId="2D4F7760" w14:textId="77777777">
                            <w:trPr>
                              <w:trHeight w:val="420"/>
                            </w:trPr>
                            <w:tc>
                              <w:tcPr>
                                <w:tcW w:w="4265" w:type="dxa"/>
                                <w:tcBorders>
                                  <w:top w:val="single" w:sz="4" w:space="0" w:color="auto"/>
                                  <w:left w:val="single" w:sz="4" w:space="0" w:color="auto"/>
                                  <w:bottom w:val="single" w:sz="4" w:space="0" w:color="auto"/>
                                  <w:right w:val="single" w:sz="4" w:space="0" w:color="auto"/>
                                </w:tcBorders>
                                <w:shd w:val="clear" w:color="auto" w:fill="D9D9D9"/>
                              </w:tcPr>
                              <w:p w14:paraId="1990ED6F" w14:textId="77777777">
                                <w:pPr>
                                  <w:rPr>
                                    <w:rFonts w:ascii="Verdana" w:eastAsia="Calibri" w:hAnsi="Verdana"/>
                                    <w:sz w:val="20"/>
                                  </w:rPr>
                                </w:pPr>
                                <w:r>
                                  <w:rPr>
                                    <w:rFonts w:ascii="Verdana" w:eastAsia="Calibri" w:hAnsi="Verdana"/>
                                    <w:sz w:val="20"/>
                                  </w:rPr>
                                  <w:t>Kodas</w:t>
                                </w:r>
                              </w:p>
                            </w:tc>
                            <w:tc>
                              <w:tcPr>
                                <w:tcW w:w="5365" w:type="dxa"/>
                                <w:tcBorders>
                                  <w:top w:val="single" w:sz="4" w:space="0" w:color="auto"/>
                                  <w:left w:val="single" w:sz="4" w:space="0" w:color="auto"/>
                                  <w:bottom w:val="single" w:sz="4" w:space="0" w:color="auto"/>
                                  <w:right w:val="single" w:sz="4" w:space="0" w:color="auto"/>
                                </w:tcBorders>
                              </w:tcPr>
                              <w:p w14:paraId="67F185BA" w14:textId="77777777">
                                <w:pPr>
                                  <w:rPr>
                                    <w:rFonts w:ascii="Verdana" w:eastAsia="Calibri" w:hAnsi="Verdana"/>
                                    <w:sz w:val="20"/>
                                  </w:rPr>
                                </w:pPr>
                              </w:p>
                              <w:p w14:paraId="37A41892" w14:textId="77777777">
                                <w:pPr>
                                  <w:rPr>
                                    <w:rFonts w:ascii="Verdana" w:eastAsia="Calibri" w:hAnsi="Verdana"/>
                                    <w:sz w:val="20"/>
                                  </w:rPr>
                                </w:pPr>
                              </w:p>
                            </w:tc>
                          </w:tr>
                        </w:tbl>
                        <w:p w14:paraId="5CA36BA6" w14:textId="77777777">
                          <w:pPr>
                            <w:rPr>
                              <w:rFonts w:ascii="Verdana" w:hAnsi="Verdana"/>
                              <w:sz w:val="20"/>
                            </w:rPr>
                          </w:pPr>
                        </w:p>
                      </w:sdtContent>
                    </w:sdt>
                    <w:sdt>
                      <w:sdtPr>
                        <w:alias w:val="skirsnis"/>
                        <w:tag w:val="part_f7aa2c8efd05409eaf2d90dc3b147acc"/>
                        <w:lock w:val="sdtLocked"/>
                        <w:richText/>
                      </w:sdtPr>
                      <w:sdtContent>
                        <w:p w14:paraId="0465ADFA" w14:textId="77777777">
                          <w:pPr>
                            <w:rPr>
                              <w:rFonts w:ascii="Verdana" w:eastAsia="Calibri" w:hAnsi="Verdana"/>
                              <w:b/>
                              <w:sz w:val="20"/>
                            </w:rPr>
                          </w:pPr>
                          <w:sdt>
                            <w:sdtPr>
                              <w:alias w:val="Pavadinimas"/>
                              <w:tag w:val="title_f7aa2c8efd05409eaf2d90dc3b147acc"/>
                              <w:lock w:val="sdtLocked"/>
                              <w:richText/>
                            </w:sdtPr>
                            <w:sdtContent>
                              <w:r>
                                <w:rPr>
                                  <w:rFonts w:ascii="Verdana" w:eastAsia="Calibri" w:hAnsi="Verdana"/>
                                  <w:b/>
                                  <w:sz w:val="20"/>
                                </w:rPr>
                                <w:t>Informacija apie skiriamą asmenį</w:t>
                              </w:r>
                            </w:sdtContent>
                          </w:sdt>
                        </w:p>
                        <w:p w14:paraId="4BD00E29"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5"/>
                            <w:gridCol w:w="5352"/>
                          </w:tblGrid>
                          <w:tr w14:paraId="27149040" w14:textId="77777777">
                            <w:trPr>
                              <w:trHeight w:val="420"/>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7BC1988" w14:textId="77777777">
                                <w:pPr>
                                  <w:rPr>
                                    <w:rFonts w:ascii="Verdana" w:eastAsia="Calibri" w:hAnsi="Verdana"/>
                                    <w:sz w:val="20"/>
                                  </w:rPr>
                                </w:pPr>
                                <w:r>
                                  <w:rPr>
                                    <w:rFonts w:ascii="Verdana" w:eastAsia="Calibri" w:hAnsi="Verdana"/>
                                    <w:sz w:val="20"/>
                                  </w:rPr>
                                  <w:t>Vardas ir pavardė</w:t>
                                </w:r>
                              </w:p>
                            </w:tc>
                            <w:tc>
                              <w:tcPr>
                                <w:tcW w:w="5348" w:type="dxa"/>
                                <w:tcBorders>
                                  <w:top w:val="single" w:sz="4" w:space="0" w:color="auto"/>
                                  <w:left w:val="single" w:sz="4" w:space="0" w:color="auto"/>
                                  <w:bottom w:val="single" w:sz="4" w:space="0" w:color="auto"/>
                                  <w:right w:val="single" w:sz="4" w:space="0" w:color="auto"/>
                                </w:tcBorders>
                              </w:tcPr>
                              <w:p w14:paraId="562C39B1" w14:textId="77777777">
                                <w:pPr>
                                  <w:rPr>
                                    <w:rFonts w:ascii="Verdana" w:eastAsia="Calibri" w:hAnsi="Verdana"/>
                                    <w:sz w:val="20"/>
                                  </w:rPr>
                                </w:pPr>
                              </w:p>
                              <w:p w14:paraId="79AE197C" w14:textId="77777777">
                                <w:pPr>
                                  <w:rPr>
                                    <w:rFonts w:ascii="Verdana" w:eastAsia="Calibri" w:hAnsi="Verdana"/>
                                    <w:sz w:val="20"/>
                                  </w:rPr>
                                </w:pPr>
                              </w:p>
                            </w:tc>
                          </w:tr>
                          <w:tr w14:paraId="44AF1FE8" w14:textId="77777777">
                            <w:trPr>
                              <w:trHeight w:val="420"/>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5AEEB7CC" w14:textId="77777777">
                                <w:pPr>
                                  <w:rPr>
                                    <w:rFonts w:ascii="Verdana" w:eastAsia="Calibri" w:hAnsi="Verdana"/>
                                    <w:sz w:val="20"/>
                                  </w:rPr>
                                </w:pPr>
                                <w:r>
                                  <w:rPr>
                                    <w:rFonts w:ascii="Verdana" w:eastAsia="Calibri" w:hAnsi="Verdana"/>
                                    <w:sz w:val="20"/>
                                  </w:rPr>
                                  <w:t>Anksčiau turėta pavardė (jei keitėsi)</w:t>
                                </w:r>
                              </w:p>
                            </w:tc>
                            <w:tc>
                              <w:tcPr>
                                <w:tcW w:w="5348" w:type="dxa"/>
                                <w:tcBorders>
                                  <w:top w:val="single" w:sz="4" w:space="0" w:color="auto"/>
                                  <w:left w:val="single" w:sz="4" w:space="0" w:color="auto"/>
                                  <w:bottom w:val="single" w:sz="4" w:space="0" w:color="auto"/>
                                  <w:right w:val="single" w:sz="4" w:space="0" w:color="auto"/>
                                </w:tcBorders>
                              </w:tcPr>
                              <w:p w14:paraId="130DF111" w14:textId="77777777">
                                <w:pPr>
                                  <w:rPr>
                                    <w:rFonts w:ascii="Verdana" w:eastAsia="Calibri" w:hAnsi="Verdana"/>
                                    <w:sz w:val="20"/>
                                  </w:rPr>
                                </w:pPr>
                              </w:p>
                              <w:p w14:paraId="18E5D87E" w14:textId="77777777">
                                <w:pPr>
                                  <w:rPr>
                                    <w:rFonts w:ascii="Verdana" w:eastAsia="Calibri" w:hAnsi="Verdana"/>
                                    <w:sz w:val="20"/>
                                  </w:rPr>
                                </w:pPr>
                              </w:p>
                            </w:tc>
                          </w:tr>
                          <w:tr w14:paraId="10EC8058" w14:textId="77777777">
                            <w:trPr>
                              <w:trHeight w:val="796"/>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D67E1B9" w14:textId="77777777">
                                <w:pPr>
                                  <w:rPr>
                                    <w:rFonts w:ascii="Verdana" w:eastAsia="Calibri" w:hAnsi="Verdana"/>
                                    <w:sz w:val="20"/>
                                  </w:rPr>
                                </w:pPr>
                                <w:r>
                                  <w:rPr>
                                    <w:rFonts w:ascii="Verdana" w:eastAsia="Calibri" w:hAnsi="Verdana"/>
                                    <w:sz w:val="20"/>
                                  </w:rPr>
                                  <w:t>Asmens kodas (jeigu turite)</w:t>
                                </w:r>
                              </w:p>
                            </w:tc>
                            <w:tc>
                              <w:tcPr>
                                <w:tcW w:w="5348" w:type="dxa"/>
                                <w:tcBorders>
                                  <w:top w:val="single" w:sz="4" w:space="0" w:color="auto"/>
                                  <w:left w:val="single" w:sz="4" w:space="0" w:color="auto"/>
                                  <w:bottom w:val="single" w:sz="4" w:space="0" w:color="auto"/>
                                  <w:right w:val="single" w:sz="4" w:space="0" w:color="auto"/>
                                </w:tcBorders>
                              </w:tcPr>
                              <w:p w14:paraId="654B32E6" w14:textId="77777777">
                                <w:pPr>
                                  <w:rPr>
                                    <w:rFonts w:ascii="Verdana" w:eastAsia="Calibri" w:hAnsi="Verdana"/>
                                    <w:sz w:val="20"/>
                                  </w:rPr>
                                </w:pPr>
                              </w:p>
                            </w:tc>
                          </w:tr>
                          <w:tr w14:paraId="63A23582" w14:textId="77777777">
                            <w:trPr>
                              <w:trHeight w:val="465"/>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5C045AD4" w14:textId="77777777">
                                <w:pPr>
                                  <w:rPr>
                                    <w:rFonts w:ascii="Verdana" w:eastAsia="Calibri" w:hAnsi="Verdana"/>
                                    <w:sz w:val="20"/>
                                  </w:rPr>
                                </w:pPr>
                                <w:r>
                                  <w:rPr>
                                    <w:rFonts w:ascii="Verdana" w:eastAsia="Calibri" w:hAnsi="Verdana"/>
                                    <w:sz w:val="20"/>
                                  </w:rPr>
                                  <w:t>Gimimo vieta ir data (jeigu neturite asmens kodo)</w:t>
                                </w:r>
                              </w:p>
                            </w:tc>
                            <w:tc>
                              <w:tcPr>
                                <w:tcW w:w="5348" w:type="dxa"/>
                                <w:tcBorders>
                                  <w:top w:val="single" w:sz="4" w:space="0" w:color="auto"/>
                                  <w:left w:val="single" w:sz="4" w:space="0" w:color="auto"/>
                                  <w:bottom w:val="single" w:sz="4" w:space="0" w:color="auto"/>
                                  <w:right w:val="single" w:sz="4" w:space="0" w:color="auto"/>
                                </w:tcBorders>
                              </w:tcPr>
                              <w:p w14:paraId="2E1D4CF6" w14:textId="77777777">
                                <w:pPr>
                                  <w:rPr>
                                    <w:rFonts w:ascii="Verdana" w:eastAsia="Calibri" w:hAnsi="Verdana"/>
                                    <w:sz w:val="20"/>
                                  </w:rPr>
                                </w:pPr>
                              </w:p>
                              <w:p w14:paraId="351E39F5" w14:textId="77777777">
                                <w:pPr>
                                  <w:rPr>
                                    <w:rFonts w:ascii="Verdana" w:eastAsia="Calibri" w:hAnsi="Verdana"/>
                                    <w:sz w:val="20"/>
                                  </w:rPr>
                                </w:pPr>
                              </w:p>
                            </w:tc>
                          </w:tr>
                          <w:tr w14:paraId="70F50C9D" w14:textId="77777777">
                            <w:trPr>
                              <w:trHeight w:val="691"/>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60EB9D55" w14:textId="77777777">
                                <w:pPr>
                                  <w:rPr>
                                    <w:rFonts w:ascii="Verdana" w:eastAsia="Calibri" w:hAnsi="Verdana"/>
                                    <w:sz w:val="20"/>
                                  </w:rPr>
                                </w:pPr>
                                <w:r>
                                  <w:rPr>
                                    <w:rFonts w:ascii="Verdana" w:eastAsia="Calibri" w:hAnsi="Verdana"/>
                                    <w:sz w:val="20"/>
                                  </w:rPr>
                                  <w:t>Pilietybė (pilietybės)</w:t>
                                </w:r>
                              </w:p>
                            </w:tc>
                            <w:tc>
                              <w:tcPr>
                                <w:tcW w:w="5348" w:type="dxa"/>
                                <w:tcBorders>
                                  <w:top w:val="single" w:sz="4" w:space="0" w:color="auto"/>
                                  <w:left w:val="single" w:sz="4" w:space="0" w:color="auto"/>
                                  <w:bottom w:val="single" w:sz="4" w:space="0" w:color="auto"/>
                                  <w:right w:val="single" w:sz="4" w:space="0" w:color="auto"/>
                                </w:tcBorders>
                              </w:tcPr>
                              <w:p w14:paraId="49FFAF4D" w14:textId="77777777">
                                <w:pPr>
                                  <w:rPr>
                                    <w:rFonts w:ascii="Verdana" w:eastAsia="Calibri" w:hAnsi="Verdana"/>
                                    <w:sz w:val="20"/>
                                  </w:rPr>
                                </w:pPr>
                              </w:p>
                            </w:tc>
                          </w:tr>
                          <w:tr w14:paraId="58FA988A" w14:textId="77777777">
                            <w:trPr>
                              <w:trHeight w:val="735"/>
                            </w:trPr>
                            <w:tc>
                              <w:tcPr>
                                <w:tcW w:w="4282" w:type="dxa"/>
                                <w:tcBorders>
                                  <w:top w:val="single" w:sz="4" w:space="0" w:color="auto"/>
                                  <w:left w:val="single" w:sz="4" w:space="0" w:color="auto"/>
                                  <w:bottom w:val="single" w:sz="4" w:space="0" w:color="auto"/>
                                  <w:right w:val="single" w:sz="4" w:space="0" w:color="auto"/>
                                </w:tcBorders>
                                <w:shd w:val="clear" w:color="auto" w:fill="D9D9D9"/>
                              </w:tcPr>
                              <w:p w14:paraId="03F1D59B" w14:textId="77777777">
                                <w:pPr>
                                  <w:rPr>
                                    <w:rFonts w:ascii="Verdana" w:eastAsia="Calibri" w:hAnsi="Verdana"/>
                                    <w:sz w:val="20"/>
                                  </w:rPr>
                                </w:pPr>
                                <w:r>
                                  <w:rPr>
                                    <w:rFonts w:ascii="Verdana" w:eastAsia="Calibri" w:hAnsi="Verdana"/>
                                    <w:sz w:val="20"/>
                                  </w:rPr>
                                  <w:t>Anksčiau turėta pilietybė (pilietybės), jeigu keitėsi</w:t>
                                </w:r>
                              </w:p>
                            </w:tc>
                            <w:tc>
                              <w:tcPr>
                                <w:tcW w:w="5348" w:type="dxa"/>
                                <w:tcBorders>
                                  <w:top w:val="single" w:sz="4" w:space="0" w:color="auto"/>
                                  <w:left w:val="single" w:sz="4" w:space="0" w:color="auto"/>
                                  <w:bottom w:val="single" w:sz="4" w:space="0" w:color="auto"/>
                                  <w:right w:val="single" w:sz="4" w:space="0" w:color="auto"/>
                                </w:tcBorders>
                              </w:tcPr>
                              <w:p w14:paraId="6F9C4471" w14:textId="77777777">
                                <w:pPr>
                                  <w:rPr>
                                    <w:rFonts w:ascii="Verdana" w:eastAsia="Calibri" w:hAnsi="Verdana"/>
                                    <w:sz w:val="20"/>
                                  </w:rPr>
                                </w:pPr>
                              </w:p>
                            </w:tc>
                          </w:tr>
                        </w:tbl>
                        <w:p w14:paraId="20BAB8C8" w14:textId="77777777">
                          <w:pPr>
                            <w:jc w:val="both"/>
                            <w:rPr>
                              <w:rFonts w:ascii="Verdana" w:eastAsia="Calibri" w:hAnsi="Verdana"/>
                              <w:sz w:val="20"/>
                            </w:rPr>
                          </w:pPr>
                        </w:p>
                        <w:p w14:paraId="364F918C" w14:textId="77777777">
                          <w:pPr>
                            <w:jc w:val="both"/>
                            <w:rPr>
                              <w:rFonts w:ascii="Verdana" w:eastAsia="Calibri" w:hAnsi="Verdana"/>
                              <w:sz w:val="20"/>
                            </w:rPr>
                          </w:pPr>
                          <w:r>
                            <w:rPr>
                              <w:rFonts w:ascii="Verdana" w:eastAsia="Calibri" w:hAnsi="Verdana"/>
                              <w:sz w:val="20"/>
                            </w:rPr>
                            <w:t>Pateikite asmens tapatybės dokumento kopiją.</w:t>
                          </w:r>
                        </w:p>
                        <w:p w14:paraId="258F66E0" w14:textId="77777777">
                          <w:pPr>
                            <w:rPr>
                              <w:rFonts w:ascii="Verdana" w:hAnsi="Verdana"/>
                              <w:sz w:val="20"/>
                            </w:rPr>
                          </w:pPr>
                        </w:p>
                      </w:sdtContent>
                    </w:sdt>
                    <w:sdt>
                      <w:sdtPr>
                        <w:alias w:val="skirsnis"/>
                        <w:tag w:val="part_a1ef521e0851458596e9180100b1af39"/>
                        <w:lock w:val="sdtLocked"/>
                        <w:richText/>
                      </w:sdtPr>
                      <w:sdtContent>
                        <w:p w14:paraId="096A7000" w14:textId="77777777">
                          <w:pPr>
                            <w:rPr>
                              <w:rFonts w:ascii="Verdana" w:eastAsia="Calibri" w:hAnsi="Verdana"/>
                              <w:b/>
                              <w:sz w:val="20"/>
                            </w:rPr>
                          </w:pPr>
                          <w:sdt>
                            <w:sdtPr>
                              <w:alias w:val="Pavadinimas"/>
                              <w:tag w:val="title_a1ef521e0851458596e9180100b1af39"/>
                              <w:lock w:val="sdtLocked"/>
                              <w:richText/>
                            </w:sdtPr>
                            <w:sdtContent>
                              <w:r>
                                <w:rPr>
                                  <w:rFonts w:ascii="Verdana" w:eastAsia="Calibri" w:hAnsi="Verdana"/>
                                  <w:b/>
                                  <w:sz w:val="20"/>
                                </w:rPr>
                                <w:t>Adresas</w:t>
                              </w:r>
                            </w:sdtContent>
                          </w:sdt>
                        </w:p>
                        <w:p w14:paraId="5357748F"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81"/>
                            <w:gridCol w:w="5356"/>
                          </w:tblGrid>
                          <w:tr w14:paraId="621EEB36" w14:textId="77777777">
                            <w:tc>
                              <w:tcPr>
                                <w:tcW w:w="4278" w:type="dxa"/>
                                <w:tcBorders>
                                  <w:top w:val="single" w:sz="4" w:space="0" w:color="auto"/>
                                  <w:left w:val="single" w:sz="4" w:space="0" w:color="auto"/>
                                  <w:bottom w:val="single" w:sz="4" w:space="0" w:color="auto"/>
                                  <w:right w:val="single" w:sz="4" w:space="0" w:color="auto"/>
                                </w:tcBorders>
                                <w:shd w:val="clear" w:color="auto" w:fill="D9D9D9"/>
                              </w:tcPr>
                              <w:p w14:paraId="5D1F7381" w14:textId="77777777">
                                <w:pPr>
                                  <w:rPr>
                                    <w:rFonts w:ascii="Verdana" w:eastAsia="Calibri" w:hAnsi="Verdana"/>
                                    <w:sz w:val="20"/>
                                  </w:rPr>
                                </w:pPr>
                                <w:r>
                                  <w:rPr>
                                    <w:rFonts w:ascii="Verdana" w:eastAsia="Calibri" w:hAnsi="Verdana"/>
                                    <w:sz w:val="20"/>
                                  </w:rPr>
                                  <w:t xml:space="preserve">Nuolatinės gyvenamosios vietos adresas </w:t>
                                </w:r>
                              </w:p>
                            </w:tc>
                            <w:tc>
                              <w:tcPr>
                                <w:tcW w:w="5352" w:type="dxa"/>
                                <w:tcBorders>
                                  <w:top w:val="single" w:sz="4" w:space="0" w:color="auto"/>
                                  <w:left w:val="single" w:sz="4" w:space="0" w:color="auto"/>
                                  <w:bottom w:val="single" w:sz="4" w:space="0" w:color="auto"/>
                                  <w:right w:val="single" w:sz="4" w:space="0" w:color="auto"/>
                                </w:tcBorders>
                              </w:tcPr>
                              <w:p w14:paraId="1A9F08BD" w14:textId="77777777">
                                <w:pPr>
                                  <w:rPr>
                                    <w:rFonts w:ascii="Verdana" w:eastAsia="Calibri" w:hAnsi="Verdana"/>
                                    <w:sz w:val="20"/>
                                  </w:rPr>
                                </w:pPr>
                              </w:p>
                            </w:tc>
                          </w:tr>
                        </w:tbl>
                        <w:p w14:paraId="57326B6E" w14:textId="77777777">
                          <w:pPr>
                            <w:rPr>
                              <w:rFonts w:ascii="Verdana" w:hAnsi="Verdana"/>
                              <w:sz w:val="20"/>
                            </w:rPr>
                          </w:pPr>
                        </w:p>
                      </w:sdtContent>
                    </w:sdt>
                    <w:sdt>
                      <w:sdtPr>
                        <w:alias w:val="skirsnis"/>
                        <w:tag w:val="part_24f802ca02ae4c9f82340c1235df0167"/>
                        <w:lock w:val="sdtLocked"/>
                        <w:richText/>
                      </w:sdtPr>
                      <w:sdtContent>
                        <w:p w14:paraId="0BCBCE6A" w14:textId="7FA12061">
                          <w:pPr>
                            <w:jc w:val="both"/>
                            <w:rPr>
                              <w:rFonts w:ascii="Verdana" w:hAnsi="Verdana"/>
                              <w:sz w:val="20"/>
                            </w:rPr>
                          </w:pPr>
                          <w:sdt>
                            <w:sdtPr>
                              <w:alias w:val="Pavadinimas"/>
                              <w:tag w:val="title_24f802ca02ae4c9f82340c1235df0167"/>
                              <w:lock w:val="sdtLocked"/>
                              <w:richText/>
                            </w:sdtPr>
                            <w:sdtContent>
                              <w:r>
                                <w:rPr>
                                  <w:rFonts w:ascii="Verdana" w:hAnsi="Verdana"/>
                                  <w:b/>
                                  <w:bCs/>
                                  <w:sz w:val="20"/>
                                </w:rPr>
                                <w:t>PASTABA.</w:t>
                              </w:r>
                              <w:r>
                                <w:rPr>
                                  <w:rFonts w:ascii="Verdana" w:hAnsi="Verdana"/>
                                  <w:sz w:val="20"/>
                                </w:rPr>
                                <w:t xml:space="preserve"> </w:t>
                              </w:r>
                              <w:r>
                                <w:rPr>
                                  <w:rFonts w:ascii="Verdana" w:hAnsi="Verdana" w:cs="Arial"/>
                                  <w:b/>
                                  <w:bCs/>
                                  <w:color w:val="000000"/>
                                  <w:sz w:val="20"/>
                                  <w:shd w:val="clear" w:color="auto" w:fill="FFFFFF"/>
                                </w:rPr>
                                <w:t>Kriptoturto paslaugų teikėjų ir su turtu susietų žetonų emitentų vadovai pateikia paskutinių dešimties metų informaciją apie nuolatinės gyvenamosios vietos adresus.</w:t>
                              </w:r>
                            </w:sdtContent>
                          </w:sdt>
                        </w:p>
                        <w:p w14:paraId="21F52FE1" w14:textId="77777777">
                          <w:pPr>
                            <w:rPr>
                              <w:rFonts w:ascii="Verdana" w:hAnsi="Verdana"/>
                              <w:sz w:val="20"/>
                            </w:rPr>
                          </w:pPr>
                        </w:p>
                      </w:sdtContent>
                    </w:sdt>
                    <w:sdt>
                      <w:sdtPr>
                        <w:alias w:val="skirsnis"/>
                        <w:tag w:val="part_fa5f764e83934cfea82815190bd61bd9"/>
                        <w:lock w:val="sdtLocked"/>
                        <w:richText/>
                      </w:sdtPr>
                      <w:sdtContent>
                        <w:p w14:paraId="44503B9E" w14:textId="77777777">
                          <w:pPr>
                            <w:rPr>
                              <w:rFonts w:ascii="Verdana" w:eastAsia="Calibri" w:hAnsi="Verdana"/>
                              <w:b/>
                              <w:sz w:val="20"/>
                            </w:rPr>
                          </w:pPr>
                          <w:sdt>
                            <w:sdtPr>
                              <w:alias w:val="Pavadinimas"/>
                              <w:tag w:val="title_fa5f764e83934cfea82815190bd61bd9"/>
                              <w:lock w:val="sdtLocked"/>
                              <w:richText/>
                            </w:sdtPr>
                            <w:sdtContent>
                              <w:r>
                                <w:rPr>
                                  <w:rFonts w:ascii="Verdana" w:eastAsia="Calibri" w:hAnsi="Verdana"/>
                                  <w:b/>
                                  <w:sz w:val="20"/>
                                </w:rPr>
                                <w:t>Kontaktiniai duomenys</w:t>
                              </w:r>
                            </w:sdtContent>
                          </w:sdt>
                        </w:p>
                        <w:p w14:paraId="550C0260" w14:textId="77777777">
                          <w:pPr>
                            <w:rPr>
                              <w:rFonts w:ascii="Verdana" w:hAnsi="Verdana"/>
                              <w:sz w:val="2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293"/>
                            <w:gridCol w:w="5344"/>
                          </w:tblGrid>
                          <w:tr w14:paraId="3E5A73A4"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48C3FEE2" w14:textId="77777777">
                                <w:pPr>
                                  <w:rPr>
                                    <w:rFonts w:ascii="Verdana" w:eastAsia="Calibri" w:hAnsi="Verdana"/>
                                    <w:sz w:val="20"/>
                                  </w:rPr>
                                </w:pPr>
                                <w:r>
                                  <w:rPr>
                                    <w:rFonts w:ascii="Verdana" w:eastAsia="Calibri" w:hAnsi="Verdana"/>
                                    <w:sz w:val="20"/>
                                  </w:rPr>
                                  <w:t>Korespondencijos adresas (pildoma, jeigu skiriasi nuo nuolatinės gyvenamosios vietos adreso)</w:t>
                                </w:r>
                              </w:p>
                            </w:tc>
                            <w:tc>
                              <w:tcPr>
                                <w:tcW w:w="5340" w:type="dxa"/>
                                <w:tcBorders>
                                  <w:top w:val="single" w:sz="4" w:space="0" w:color="auto"/>
                                  <w:left w:val="single" w:sz="4" w:space="0" w:color="auto"/>
                                  <w:bottom w:val="single" w:sz="4" w:space="0" w:color="auto"/>
                                  <w:right w:val="single" w:sz="4" w:space="0" w:color="auto"/>
                                </w:tcBorders>
                              </w:tcPr>
                              <w:p w14:paraId="2215EE0F" w14:textId="77777777">
                                <w:pPr>
                                  <w:rPr>
                                    <w:rFonts w:ascii="Verdana" w:eastAsia="Calibri" w:hAnsi="Verdana"/>
                                    <w:sz w:val="20"/>
                                  </w:rPr>
                                </w:pPr>
                              </w:p>
                            </w:tc>
                          </w:tr>
                          <w:tr w14:paraId="1EE23D3A"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2F132B47" w14:textId="77777777">
                                <w:pPr>
                                  <w:rPr>
                                    <w:rFonts w:ascii="Verdana" w:eastAsia="Calibri" w:hAnsi="Verdana"/>
                                    <w:sz w:val="20"/>
                                  </w:rPr>
                                </w:pPr>
                                <w:r>
                                  <w:rPr>
                                    <w:rFonts w:ascii="Verdana" w:eastAsia="Calibri" w:hAnsi="Verdana"/>
                                    <w:sz w:val="20"/>
                                  </w:rPr>
                                  <w:t>Telefonas</w:t>
                                </w:r>
                              </w:p>
                            </w:tc>
                            <w:tc>
                              <w:tcPr>
                                <w:tcW w:w="5340" w:type="dxa"/>
                                <w:tcBorders>
                                  <w:top w:val="single" w:sz="4" w:space="0" w:color="auto"/>
                                  <w:left w:val="single" w:sz="4" w:space="0" w:color="auto"/>
                                  <w:bottom w:val="single" w:sz="4" w:space="0" w:color="auto"/>
                                  <w:right w:val="single" w:sz="4" w:space="0" w:color="auto"/>
                                </w:tcBorders>
                              </w:tcPr>
                              <w:p w14:paraId="0D700E53" w14:textId="77777777">
                                <w:pPr>
                                  <w:rPr>
                                    <w:rFonts w:ascii="Verdana" w:eastAsia="Calibri" w:hAnsi="Verdana"/>
                                    <w:sz w:val="20"/>
                                  </w:rPr>
                                </w:pPr>
                              </w:p>
                            </w:tc>
                          </w:tr>
                          <w:tr w14:paraId="57A02D7A" w14:textId="77777777">
                            <w:tc>
                              <w:tcPr>
                                <w:tcW w:w="4290" w:type="dxa"/>
                                <w:tcBorders>
                                  <w:top w:val="single" w:sz="4" w:space="0" w:color="auto"/>
                                  <w:left w:val="single" w:sz="4" w:space="0" w:color="auto"/>
                                  <w:bottom w:val="single" w:sz="4" w:space="0" w:color="auto"/>
                                  <w:right w:val="single" w:sz="4" w:space="0" w:color="auto"/>
                                </w:tcBorders>
                                <w:shd w:val="clear" w:color="auto" w:fill="D9D9D9"/>
                              </w:tcPr>
                              <w:p w14:paraId="6853A0F3" w14:textId="77777777">
                                <w:pPr>
                                  <w:rPr>
                                    <w:rFonts w:ascii="Verdana" w:eastAsia="Calibri" w:hAnsi="Verdana"/>
                                    <w:sz w:val="20"/>
                                  </w:rPr>
                                </w:pPr>
                                <w:r>
                                  <w:rPr>
                                    <w:rFonts w:ascii="Verdana" w:eastAsia="Calibri" w:hAnsi="Verdana"/>
                                    <w:sz w:val="20"/>
                                  </w:rPr>
                                  <w:t>Elektroninis paštas</w:t>
                                </w:r>
                              </w:p>
                            </w:tc>
                            <w:tc>
                              <w:tcPr>
                                <w:tcW w:w="5340" w:type="dxa"/>
                                <w:tcBorders>
                                  <w:top w:val="single" w:sz="4" w:space="0" w:color="auto"/>
                                  <w:left w:val="single" w:sz="4" w:space="0" w:color="auto"/>
                                  <w:bottom w:val="single" w:sz="4" w:space="0" w:color="auto"/>
                                  <w:right w:val="single" w:sz="4" w:space="0" w:color="auto"/>
                                </w:tcBorders>
                              </w:tcPr>
                              <w:p w14:paraId="6B528409" w14:textId="379F0D4B">
                                <w:pPr>
                                  <w:jc w:val="right"/>
                                  <w:rPr>
                                    <w:rFonts w:ascii="Verdana" w:eastAsia="Calibri" w:hAnsi="Verdana"/>
                                    <w:sz w:val="20"/>
                                  </w:rPr>
                                </w:pPr>
                                <w:r>
                                  <w:rPr>
                                    <w:rFonts w:ascii="Verdana" w:eastAsia="Calibri" w:hAnsi="Verdana"/>
                                    <w:sz w:val="20"/>
                                  </w:rPr>
                                  <w:t>“</w:t>
                                </w:r>
                              </w:p>
                            </w:tc>
                          </w:tr>
                        </w:tbl>
                        <w:p w14:paraId="6611067D" w14:textId="55479EAC">
                          <w:pPr>
                            <w:widowControl w:val="0"/>
                            <w:jc w:val="both"/>
                            <w:rPr>
                              <w:rFonts w:ascii="Verdana" w:hAnsi="Verdana" w:cs="Arial"/>
                              <w:color w:val="000000"/>
                              <w:sz w:val="20"/>
                              <w:shd w:val="clear" w:color="auto" w:fill="FFFFFF"/>
                            </w:rPr>
                          </w:pPr>
                        </w:p>
                      </w:sdtContent>
                    </w:sdt>
                  </w:sdtContent>
                </w:sdt>
              </w:sdtContent>
            </w:sdt>
            <w:sdt>
              <w:sdtPr>
                <w:alias w:val="2.4 pp."/>
                <w:tag w:val="part_76545641a5d84eb0b6a98ee1cab8e69d"/>
                <w:lock w:val="sdtLocked"/>
                <w:richText/>
              </w:sdtPr>
              <w:sdtContent>
                <w:p w14:paraId="442E4C13" w14:textId="7F053415">
                  <w:pPr>
                    <w:widowControl w:val="0"/>
                    <w:ind w:firstLine="720"/>
                    <w:jc w:val="both"/>
                    <w:rPr>
                      <w:rFonts w:ascii="Verdana" w:hAnsi="Verdana" w:cs="Arial"/>
                      <w:color w:val="000000"/>
                      <w:sz w:val="20"/>
                      <w:shd w:val="clear" w:color="auto" w:fill="FFFFFF"/>
                    </w:rPr>
                  </w:pPr>
                  <w:sdt>
                    <w:sdtPr>
                      <w:alias w:val="Numeris"/>
                      <w:tag w:val="nr_76545641a5d84eb0b6a98ee1cab8e69d"/>
                      <w:lock w:val="sdtLocked"/>
                      <w:richText/>
                    </w:sdtPr>
                    <w:sdtContent>
                      <w:r>
                        <w:rPr>
                          <w:rFonts w:ascii="Verdana" w:hAnsi="Verdana" w:cs="Arial"/>
                          <w:color w:val="000000"/>
                          <w:sz w:val="20"/>
                          <w:shd w:val="clear" w:color="auto" w:fill="FFFFFF"/>
                        </w:rPr>
                        <w:t>2.4</w:t>
                      </w:r>
                    </w:sdtContent>
                  </w:sdt>
                  <w:r>
                    <w:rPr>
                      <w:rFonts w:ascii="Verdana" w:hAnsi="Verdana" w:cs="Arial"/>
                      <w:color w:val="000000"/>
                      <w:sz w:val="20"/>
                      <w:shd w:val="clear" w:color="auto" w:fill="FFFFFF"/>
                    </w:rPr>
                    <w:t>. Papildyti 1 priedo IV dalį nauju 4</w:t>
                  </w:r>
                  <w:r>
                    <w:rPr>
                      <w:rFonts w:ascii="Verdana" w:hAnsi="Verdana" w:cs="Arial"/>
                      <w:color w:val="000000"/>
                      <w:sz w:val="20"/>
                      <w:shd w:val="clear" w:color="auto" w:fill="FFFFFF"/>
                      <w:vertAlign w:val="superscript"/>
                    </w:rPr>
                    <w:t>1</w:t>
                  </w:r>
                  <w:r>
                    <w:rPr>
                      <w:rFonts w:ascii="Verdana" w:hAnsi="Verdana" w:cs="Arial"/>
                      <w:color w:val="000000"/>
                      <w:sz w:val="20"/>
                      <w:shd w:val="clear" w:color="auto" w:fill="FFFFFF"/>
                    </w:rPr>
                    <w:t xml:space="preserve"> punktu ir jį išdėstyti taip:</w:t>
                  </w:r>
                </w:p>
                <w:p w14:paraId="3F2952A3" w14:textId="77777777">
                  <w:pPr>
                    <w:widowControl w:val="0"/>
                    <w:jc w:val="both"/>
                    <w:rPr>
                      <w:rFonts w:ascii="Verdana" w:hAnsi="Verdana" w:cs="Arial"/>
                      <w:color w:val="000000"/>
                      <w:sz w:val="20"/>
                      <w:shd w:val="clear" w:color="auto" w:fill="FFFFFF"/>
                    </w:rPr>
                  </w:pPr>
                  <w:r>
                    <w:rPr>
                      <w:rFonts w:ascii="Verdana" w:hAnsi="Verdana" w:cs="Arial"/>
                      <w:b/>
                      <w:bCs/>
                      <w:color w:val="000000"/>
                      <w:sz w:val="20"/>
                      <w:shd w:val="clear" w:color="auto" w:fill="FFFFFF"/>
                    </w:rPr>
                    <w:t>„4</w:t>
                  </w:r>
                  <w:r>
                    <w:rPr>
                      <w:rFonts w:ascii="Verdana" w:hAnsi="Verdana" w:cs="Arial"/>
                      <w:b/>
                      <w:bCs/>
                      <w:color w:val="000000"/>
                      <w:sz w:val="20"/>
                      <w:shd w:val="clear" w:color="auto" w:fill="FFFFFF"/>
                      <w:vertAlign w:val="superscript"/>
                    </w:rPr>
                    <w:t>1</w:t>
                  </w:r>
                  <w:r>
                    <w:rPr>
                      <w:rFonts w:ascii="Verdana" w:hAnsi="Verdana" w:cs="Arial"/>
                      <w:b/>
                      <w:bCs/>
                      <w:color w:val="000000"/>
                      <w:sz w:val="20"/>
                      <w:shd w:val="clear" w:color="auto" w:fill="FFFFFF"/>
                    </w:rPr>
                    <w:t>. Patvirtinu, kad:</w:t>
                  </w:r>
                  <w:r>
                    <w:rPr>
                      <w:rFonts w:ascii="Verdana" w:hAnsi="Verdana" w:cs="Arial"/>
                      <w:color w:val="000000"/>
                      <w:sz w:val="20"/>
                      <w:shd w:val="clear" w:color="auto" w:fill="FFFFFF"/>
                    </w:rPr>
                    <w:t xml:space="preserve"> </w:t>
                  </w:r>
                </w:p>
                <w:sdt>
                  <w:sdtPr>
                    <w:alias w:val="2.4 pp. 1 pp."/>
                    <w:tag w:val="part_279f60347e1f41eaad9909fde47d1fa1"/>
                    <w:lock w:val="sdtLocked"/>
                    <w:richText/>
                  </w:sdtPr>
                  <w:sdtContent>
                    <w:p w14:paraId="2F5419F9" w14:textId="77777777">
                      <w:pPr>
                        <w:widowControl w:val="0"/>
                        <w:jc w:val="both"/>
                        <w:rPr>
                          <w:rFonts w:ascii="Verdana" w:hAnsi="Verdana" w:cs="Arial"/>
                          <w:b/>
                          <w:bCs/>
                          <w:color w:val="000000"/>
                          <w:sz w:val="20"/>
                          <w:shd w:val="clear" w:color="auto" w:fill="FFFFFF"/>
                        </w:rPr>
                      </w:pPr>
                      <w:sdt>
                        <w:sdtPr>
                          <w:alias w:val="Numeris"/>
                          <w:tag w:val="nr_279f60347e1f41eaad9909fde47d1fa1"/>
                          <w:lock w:val="sdtLocked"/>
                          <w:richText/>
                        </w:sdtPr>
                        <w:sdtContent>
                          <w:r>
                            <w:rPr>
                              <w:rFonts w:ascii="Verdana" w:hAnsi="Verdana" w:cs="Arial"/>
                              <w:b/>
                              <w:bCs/>
                              <w:color w:val="000000"/>
                              <w:sz w:val="20"/>
                              <w:shd w:val="clear" w:color="auto" w:fill="FFFFFF"/>
                            </w:rPr>
                            <w:t>1</w:t>
                          </w:r>
                        </w:sdtContent>
                      </w:sdt>
                      <w:r>
                        <w:rPr>
                          <w:rFonts w:ascii="Verdana" w:hAnsi="Verdana" w:cs="Arial"/>
                          <w:b/>
                          <w:bCs/>
                          <w:color w:val="000000"/>
                          <w:sz w:val="20"/>
                          <w:shd w:val="clear" w:color="auto" w:fill="FFFFFF"/>
                        </w:rPr>
                        <w:t xml:space="preserve">) pagal mano turimą informaciją, su manimi Lietuvos Respublikos finansų įstaigų įstatymo 2 straipsnio 1 ar 2 dalyje apibrėžtais ryšiais susijęs asmuo nėra pripažintas kaltu padaręs Lietuvos Respublikos baudžiamajame kodekse numatytą sunkų, labai sunkų nusikaltimą arba tyčinį nusikaltimą nuosavybei, turtinėms teisėms ir turtiniams interesams, ekonomikai ir verslo tvarkai, finansų sistemai, visuomenės saugumui, valstybės tarnybai ir viešiesiems interesams ar juos atitinkančias nusikalstamas veikas pagal kitų valstybių baudžiamuosius įstatymus, nepaisant to, ar teistumas yra išnykęs arba panaikintas; </w:t>
                      </w:r>
                    </w:p>
                    <w:p w14:paraId="4875285E" w14:textId="77777777">
                      <w:pPr>
                        <w:widowControl w:val="0"/>
                        <w:jc w:val="both"/>
                        <w:rPr>
                          <w:rFonts w:ascii="Verdana" w:hAnsi="Verdana" w:cs="Arial"/>
                          <w:b/>
                          <w:bCs/>
                          <w:color w:val="000000"/>
                          <w:sz w:val="20"/>
                          <w:shd w:val="clear" w:color="auto" w:fill="FFFFFF"/>
                        </w:rPr>
                      </w:pPr>
                    </w:p>
                  </w:sdtContent>
                </w:sdt>
              </w:sdtContent>
            </w:sdt>
          </w:sdtContent>
        </w:sdt>
        <w:sdt>
          <w:sdtPr>
            <w:alias w:val="skirsnis"/>
            <w:tag w:val="part_c9e30eecccce491784bffd22538a7704"/>
            <w:lock w:val="sdtLocked"/>
            <w:richText/>
          </w:sdtPr>
          <w:sdtContent>
            <w:p w14:paraId="519A7FDB" w14:textId="77777777">
              <w:pPr>
                <w:widowControl w:val="0"/>
                <w:jc w:val="both"/>
                <w:rPr>
                  <w:rFonts w:ascii="Verdana" w:hAnsi="Verdana" w:cs="Arial"/>
                  <w:b/>
                  <w:bCs/>
                  <w:color w:val="000000"/>
                  <w:sz w:val="20"/>
                  <w:shd w:val="clear" w:color="auto" w:fill="FFFFFF"/>
                </w:rPr>
              </w:pPr>
              <w:sdt>
                <w:sdtPr>
                  <w:alias w:val="Pavadinimas"/>
                  <w:tag w:val="title_c9e30eecccce491784bffd22538a7704"/>
                  <w:lock w:val="sdtLocked"/>
                  <w:richText/>
                </w:sdtPr>
                <w:sdtContent>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Taip </w:t>
                  </w:r>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Ne</w:t>
                  </w:r>
                </w:sdtContent>
              </w:sdt>
            </w:p>
            <w:p w14:paraId="2F27C901" w14:textId="77777777">
              <w:pPr>
                <w:widowControl w:val="0"/>
                <w:jc w:val="both"/>
                <w:rPr>
                  <w:rFonts w:ascii="Verdana" w:hAnsi="Verdana" w:cs="Arial"/>
                  <w:b/>
                  <w:bCs/>
                  <w:color w:val="000000"/>
                  <w:sz w:val="20"/>
                  <w:shd w:val="clear" w:color="auto" w:fill="FFFFFF"/>
                </w:rPr>
              </w:pPr>
            </w:p>
          </w:sdtContent>
        </w:sdt>
        <w:sdt>
          <w:sdtPr>
            <w:alias w:val="skirsnis"/>
            <w:tag w:val="part_a874d808ef494d06aef267d625076e69"/>
            <w:lock w:val="sdtLocked"/>
            <w:richText/>
          </w:sdtPr>
          <w:sdtContent>
            <w:p w14:paraId="2456FA0A" w14:textId="77777777">
              <w:pPr>
                <w:widowControl w:val="0"/>
                <w:jc w:val="both"/>
                <w:rPr>
                  <w:rFonts w:ascii="Verdana" w:hAnsi="Verdana" w:cs="Arial"/>
                  <w:b/>
                  <w:bCs/>
                  <w:color w:val="000000"/>
                  <w:sz w:val="20"/>
                  <w:shd w:val="clear" w:color="auto" w:fill="FFFFFF"/>
                </w:rPr>
              </w:pPr>
              <w:sdt>
                <w:sdtPr>
                  <w:alias w:val="Pavadinimas"/>
                  <w:tag w:val="title_a874d808ef494d06aef267d625076e69"/>
                  <w:lock w:val="sdtLocked"/>
                  <w:richText/>
                </w:sdtPr>
                <w:sdtContent>
                  <w:r>
                    <w:rPr>
                      <w:rFonts w:ascii="Verdana" w:hAnsi="Verdana" w:cs="Arial"/>
                      <w:b/>
                      <w:bCs/>
                      <w:color w:val="000000"/>
                      <w:sz w:val="20"/>
                      <w:shd w:val="clear" w:color="auto" w:fill="FFFFFF"/>
                    </w:rPr>
                    <w:t>Jeigu Taip, pateikite komentarą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53CF64FE" w14:textId="77777777">
                <w:tc>
                  <w:tcPr>
                    <w:tcW w:w="9629" w:type="dxa"/>
                  </w:tcPr>
                  <w:p w14:paraId="37C320D5" w14:textId="77777777">
                    <w:pPr>
                      <w:widowControl w:val="0"/>
                      <w:jc w:val="both"/>
                      <w:rPr>
                        <w:rFonts w:ascii="Verdana" w:hAnsi="Verdana" w:cs="Arial"/>
                        <w:b/>
                        <w:bCs/>
                        <w:color w:val="000000"/>
                        <w:sz w:val="20"/>
                        <w:szCs w:val="22"/>
                        <w:shd w:val="clear" w:color="auto" w:fill="FFFFFF"/>
                      </w:rPr>
                    </w:pPr>
                  </w:p>
                </w:tc>
              </w:tr>
            </w:tbl>
            <w:p w14:paraId="56624767" w14:textId="77777777">
              <w:pPr>
                <w:widowControl w:val="0"/>
                <w:jc w:val="both"/>
                <w:rPr>
                  <w:rFonts w:ascii="Verdana" w:hAnsi="Verdana" w:cs="Arial"/>
                  <w:b/>
                  <w:bCs/>
                  <w:color w:val="000000"/>
                  <w:sz w:val="20"/>
                  <w:shd w:val="clear" w:color="auto" w:fill="FFFFFF"/>
                </w:rPr>
              </w:pPr>
            </w:p>
            <w:sdt>
              <w:sdtPr>
                <w:alias w:val="2 pp."/>
                <w:tag w:val="part_bdc39c33631343adb1249a2f85d5aa17"/>
                <w:lock w:val="sdtLocked"/>
                <w:richText/>
              </w:sdtPr>
              <w:sdtContent>
                <w:p w14:paraId="135A202C" w14:textId="77777777">
                  <w:pPr>
                    <w:widowControl w:val="0"/>
                    <w:jc w:val="both"/>
                    <w:rPr>
                      <w:rFonts w:ascii="Verdana" w:hAnsi="Verdana" w:cs="Arial"/>
                      <w:b/>
                      <w:bCs/>
                      <w:color w:val="000000"/>
                      <w:sz w:val="20"/>
                      <w:shd w:val="clear" w:color="auto" w:fill="FFFFFF"/>
                    </w:rPr>
                  </w:pPr>
                  <w:sdt>
                    <w:sdtPr>
                      <w:alias w:val="Numeris"/>
                      <w:tag w:val="nr_bdc39c33631343adb1249a2f85d5aa17"/>
                      <w:lock w:val="sdtLocked"/>
                      <w:richText/>
                    </w:sdtPr>
                    <w:sdtContent>
                      <w:r>
                        <w:rPr>
                          <w:rFonts w:ascii="Verdana" w:hAnsi="Verdana" w:cs="Arial"/>
                          <w:b/>
                          <w:bCs/>
                          <w:color w:val="000000"/>
                          <w:sz w:val="20"/>
                          <w:shd w:val="clear" w:color="auto" w:fill="FFFFFF"/>
                        </w:rPr>
                        <w:t>2</w:t>
                      </w:r>
                    </w:sdtContent>
                  </w:sdt>
                  <w:r>
                    <w:rPr>
                      <w:rFonts w:ascii="Verdana" w:hAnsi="Verdana" w:cs="Arial"/>
                      <w:b/>
                      <w:bCs/>
                      <w:color w:val="000000"/>
                      <w:sz w:val="20"/>
                      <w:shd w:val="clear" w:color="auto" w:fill="FFFFFF"/>
                    </w:rPr>
                    <w:t>) nėra jokių aplinkybių, kurios leistų pagrįstai manyti, kad su manimi Lietuvos Respublikos finansų įstaigų įstatymo 2 straipsnio 1 ar 2 dalyje apibrėžtais ryšiais susijusio asmens man daroma įtaka galėtų susilpninti mano gebėjimą užtikrinti patikimą ir apdairų finansų rinkos dalyvio valdymą arba kitaip kelti pavojų finansų rinkos dalyvio veiklos saugumui bei patikimumui.</w:t>
                  </w:r>
                </w:p>
                <w:p w14:paraId="03910517" w14:textId="77777777">
                  <w:pPr>
                    <w:widowControl w:val="0"/>
                    <w:jc w:val="both"/>
                    <w:rPr>
                      <w:rFonts w:ascii="Verdana" w:hAnsi="Verdana" w:cs="Arial"/>
                      <w:b/>
                      <w:bCs/>
                      <w:color w:val="000000"/>
                      <w:sz w:val="20"/>
                      <w:shd w:val="clear" w:color="auto" w:fill="FFFFFF"/>
                    </w:rPr>
                  </w:pPr>
                </w:p>
              </w:sdtContent>
            </w:sdt>
          </w:sdtContent>
        </w:sdt>
        <w:sdt>
          <w:sdtPr>
            <w:alias w:val="skirsnis"/>
            <w:tag w:val="part_67826b1e68ce4ff890fb3fbb21ab7ad1"/>
            <w:lock w:val="sdtLocked"/>
            <w:richText/>
          </w:sdtPr>
          <w:sdtContent>
            <w:p w14:paraId="6D7CF34F" w14:textId="77777777">
              <w:pPr>
                <w:widowControl w:val="0"/>
                <w:jc w:val="both"/>
                <w:rPr>
                  <w:rFonts w:ascii="Verdana" w:hAnsi="Verdana" w:cs="Arial"/>
                  <w:b/>
                  <w:bCs/>
                  <w:color w:val="000000"/>
                  <w:sz w:val="20"/>
                  <w:shd w:val="clear" w:color="auto" w:fill="FFFFFF"/>
                </w:rPr>
              </w:pPr>
              <w:sdt>
                <w:sdtPr>
                  <w:alias w:val="Pavadinimas"/>
                  <w:tag w:val="title_67826b1e68ce4ff890fb3fbb21ab7ad1"/>
                  <w:lock w:val="sdtLocked"/>
                  <w:richText/>
                </w:sdtPr>
                <w:sdtContent>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Taip </w:t>
                  </w:r>
                  <w:r>
                    <w:rPr>
                      <w:rFonts w:ascii="MS Gothic" w:eastAsia="MS Gothic" w:hAnsi="MS Gothic" w:cs="Arial"/>
                      <w:b/>
                      <w:bCs/>
                      <w:color w:val="000000"/>
                      <w:sz w:val="20"/>
                      <w:shd w:val="clear" w:color="auto" w:fill="FFFFFF"/>
                    </w:rPr>
                    <w:t>☐</w:t>
                  </w:r>
                  <w:r>
                    <w:rPr>
                      <w:rFonts w:ascii="Verdana" w:hAnsi="Verdana" w:cs="Arial"/>
                      <w:b/>
                      <w:bCs/>
                      <w:color w:val="000000"/>
                      <w:sz w:val="20"/>
                      <w:shd w:val="clear" w:color="auto" w:fill="FFFFFF"/>
                    </w:rPr>
                    <w:t xml:space="preserve"> Ne</w:t>
                  </w:r>
                </w:sdtContent>
              </w:sdt>
            </w:p>
            <w:p w14:paraId="6D8F0120" w14:textId="77777777">
              <w:pPr>
                <w:widowControl w:val="0"/>
                <w:jc w:val="both"/>
                <w:rPr>
                  <w:rFonts w:ascii="Verdana" w:hAnsi="Verdana" w:cs="Arial"/>
                  <w:b/>
                  <w:bCs/>
                  <w:color w:val="000000"/>
                  <w:sz w:val="20"/>
                  <w:shd w:val="clear" w:color="auto" w:fill="FFFFFF"/>
                </w:rPr>
              </w:pPr>
            </w:p>
          </w:sdtContent>
        </w:sdt>
        <w:sdt>
          <w:sdtPr>
            <w:alias w:val="skirsnis"/>
            <w:tag w:val="part_9812b6735e34493c81021354457226dc"/>
            <w:lock w:val="sdtLocked"/>
            <w:richText/>
          </w:sdtPr>
          <w:sdtContent>
            <w:p w14:paraId="222B2A54" w14:textId="77777777">
              <w:pPr>
                <w:widowControl w:val="0"/>
                <w:jc w:val="both"/>
                <w:rPr>
                  <w:rFonts w:ascii="Verdana" w:hAnsi="Verdana" w:cs="Arial"/>
                  <w:b/>
                  <w:bCs/>
                  <w:color w:val="000000"/>
                  <w:sz w:val="20"/>
                  <w:shd w:val="clear" w:color="auto" w:fill="FFFFFF"/>
                </w:rPr>
              </w:pPr>
              <w:sdt>
                <w:sdtPr>
                  <w:alias w:val="Pavadinimas"/>
                  <w:tag w:val="title_9812b6735e34493c81021354457226dc"/>
                  <w:lock w:val="sdtLocked"/>
                  <w:richText/>
                </w:sdtPr>
                <w:sdtContent>
                  <w:r>
                    <w:rPr>
                      <w:rFonts w:ascii="Verdana" w:hAnsi="Verdana" w:cs="Arial"/>
                      <w:b/>
                      <w:bCs/>
                      <w:color w:val="000000"/>
                      <w:sz w:val="20"/>
                      <w:shd w:val="clear" w:color="auto" w:fill="FFFFFF"/>
                    </w:rPr>
                    <w:t>Jeigu Taip, pateikite komentarą</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14:paraId="3E8B4503" w14:textId="77777777">
                <w:tc>
                  <w:tcPr>
                    <w:tcW w:w="9629" w:type="dxa"/>
                  </w:tcPr>
                  <w:p w14:paraId="6D039C2C" w14:textId="77777777">
                    <w:pPr>
                      <w:widowControl w:val="0"/>
                      <w:jc w:val="both"/>
                      <w:rPr>
                        <w:rFonts w:ascii="Verdana" w:hAnsi="Verdana" w:cs="Arial"/>
                        <w:color w:val="000000"/>
                        <w:sz w:val="20"/>
                        <w:szCs w:val="22"/>
                        <w:shd w:val="clear" w:color="auto" w:fill="FFFFFF"/>
                      </w:rPr>
                    </w:pPr>
                  </w:p>
                </w:tc>
              </w:tr>
            </w:tbl>
            <w:p w14:paraId="7FE355D5" w14:textId="77777777">
              <w:pPr>
                <w:widowControl w:val="0"/>
                <w:jc w:val="both"/>
                <w:rPr>
                  <w:rFonts w:ascii="Verdana" w:hAnsi="Verdana" w:cs="Arial"/>
                  <w:color w:val="000000"/>
                  <w:sz w:val="20"/>
                  <w:shd w:val="clear" w:color="auto" w:fill="FFFFFF"/>
                </w:rPr>
              </w:pPr>
            </w:p>
            <w:p w14:paraId="4F60D319" w14:textId="77777777">
              <w:pPr>
                <w:widowControl w:val="0"/>
                <w:jc w:val="both"/>
                <w:rPr>
                  <w:rFonts w:ascii="Verdana" w:hAnsi="Verdana"/>
                  <w:sz w:val="20"/>
                </w:rPr>
              </w:pPr>
            </w:p>
            <w:p w14:paraId="4E0815A0" w14:textId="77777777">
              <w:pPr>
                <w:widowControl w:val="0"/>
                <w:jc w:val="both"/>
                <w:rPr>
                  <w:rFonts w:ascii="Verdana" w:hAnsi="Verdana"/>
                  <w:sz w:val="20"/>
                </w:rPr>
              </w:pPr>
            </w:p>
            <w:p w14:paraId="0DAB8DB9" w14:textId="77777777">
              <w:pPr>
                <w:jc w:val="both"/>
                <w:rPr>
                  <w:rFonts w:ascii="Verdana" w:hAnsi="Verdana"/>
                  <w:sz w:val="20"/>
                </w:rPr>
              </w:pPr>
            </w:p>
            <w:tbl>
              <w:tblPr>
                <w:tblW w:w="9747" w:type="dxa"/>
                <w:tblLayout w:type="fixed"/>
                <w:tblLook w:val="04A0" w:firstRow="1" w:lastRow="0" w:firstColumn="1" w:lastColumn="0" w:noHBand="0" w:noVBand="1"/>
              </w:tblPr>
              <w:tblGrid>
                <w:gridCol w:w="4873"/>
                <w:gridCol w:w="4874"/>
              </w:tblGrid>
              <w:tr w14:paraId="5C438A9C" w14:textId="77777777">
                <w:tc>
                  <w:tcPr>
                    <w:tcW w:w="4873" w:type="dxa"/>
                    <w:hideMark/>
                  </w:tcPr>
                  <w:p w14:paraId="0968AF0D" w14:textId="77777777">
                    <w:pPr>
                      <w:rPr>
                        <w:rFonts w:ascii="Verdana" w:hAnsi="Verdana"/>
                        <w:sz w:val="20"/>
                      </w:rPr>
                    </w:pPr>
                    <w:r>
                      <w:rPr>
                        <w:rFonts w:ascii="Verdana" w:hAnsi="Verdana"/>
                        <w:sz w:val="20"/>
                      </w:rPr>
                      <w:t>Valdybos pirmininkas</w:t>
                    </w:r>
                  </w:p>
                </w:tc>
                <w:tc>
                  <w:tcPr>
                    <w:tcW w:w="4874" w:type="dxa"/>
                    <w:hideMark/>
                  </w:tcPr>
                  <w:p w14:paraId="10104C15" w14:textId="77777777">
                    <w:pPr>
                      <w:keepNext/>
                      <w:widowControl w:val="0"/>
                      <w:jc w:val="right"/>
                      <w:outlineLvl w:val="2"/>
                      <w:rPr>
                        <w:rFonts w:ascii="Verdana" w:hAnsi="Verdana"/>
                        <w:sz w:val="20"/>
                      </w:rPr>
                    </w:pPr>
                  </w:p>
                </w:tc>
              </w:tr>
            </w:tbl>
            <w:p w14:paraId="479DE032" w14:textId="77777777">
              <w:pPr>
                <w:jc w:val="both"/>
                <w:rPr>
                  <w:rFonts w:ascii="Verdana" w:hAnsi="Verdana"/>
                  <w:sz w:val="20"/>
                </w:rPr>
              </w:pPr>
            </w:p>
          </w:sdtContent>
        </w:sdt>
      </w:sdtContent>
    </w:sdt>
    <w:sectPr>
      <w:pgSz w:w="11907" w:h="16840" w:code="9"/>
      <w:pgMar w:top="1134" w:right="567" w:bottom="1134" w:left="1701" w:header="697" w:footer="833"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AA3DFD" w14:textId="77777777">
      <w:r>
        <w:separator/>
      </w:r>
    </w:p>
  </w:endnote>
  <w:endnote w:type="continuationSeparator" w:id="0">
    <w:p w14:paraId="4B456A2F"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0B446F" w14:textId="77777777">
      <w:r>
        <w:separator/>
      </w:r>
    </w:p>
  </w:footnote>
  <w:footnote w:type="continuationSeparator" w:id="0">
    <w:p w14:paraId="3DAB4A8C" w14:textId="77777777">
      <w: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70"/>
  <w:hyphenationZone w:val="396"/>
  <w:doNotHyphenateCaps/>
  <w:drawingGridHorizontalSpacing w:val="6"/>
  <w:drawingGridVerticalSpacing w:val="6"/>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4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E424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0015767">
      <w:bodyDiv w:val="1"/>
      <w:marLeft w:val="0"/>
      <w:marRight w:val="0"/>
      <w:marTop w:val="0"/>
      <w:marBottom w:val="0"/>
      <w:divBdr>
        <w:top w:val="none" w:sz="0" w:space="0" w:color="auto"/>
        <w:left w:val="none" w:sz="0" w:space="0" w:color="auto"/>
        <w:bottom w:val="none" w:sz="0" w:space="0" w:color="auto"/>
        <w:right w:val="none" w:sz="0" w:space="0" w:color="auto"/>
      </w:divBdr>
    </w:div>
    <w:div w:id="488401155">
      <w:bodyDiv w:val="1"/>
      <w:marLeft w:val="0"/>
      <w:marRight w:val="0"/>
      <w:marTop w:val="0"/>
      <w:marBottom w:val="0"/>
      <w:divBdr>
        <w:top w:val="none" w:sz="0" w:space="0" w:color="auto"/>
        <w:left w:val="none" w:sz="0" w:space="0" w:color="auto"/>
        <w:bottom w:val="none" w:sz="0" w:space="0" w:color="auto"/>
        <w:right w:val="none" w:sz="0" w:space="0" w:color="auto"/>
      </w:divBdr>
    </w:div>
    <w:div w:id="674648318">
      <w:bodyDiv w:val="1"/>
      <w:marLeft w:val="0"/>
      <w:marRight w:val="0"/>
      <w:marTop w:val="0"/>
      <w:marBottom w:val="0"/>
      <w:divBdr>
        <w:top w:val="none" w:sz="0" w:space="0" w:color="auto"/>
        <w:left w:val="none" w:sz="0" w:space="0" w:color="auto"/>
        <w:bottom w:val="none" w:sz="0" w:space="0" w:color="auto"/>
        <w:right w:val="none" w:sz="0" w:space="0" w:color="auto"/>
      </w:divBdr>
    </w:div>
    <w:div w:id="706835976">
      <w:bodyDiv w:val="1"/>
      <w:marLeft w:val="0"/>
      <w:marRight w:val="0"/>
      <w:marTop w:val="0"/>
      <w:marBottom w:val="0"/>
      <w:divBdr>
        <w:top w:val="none" w:sz="0" w:space="0" w:color="auto"/>
        <w:left w:val="none" w:sz="0" w:space="0" w:color="auto"/>
        <w:bottom w:val="none" w:sz="0" w:space="0" w:color="auto"/>
        <w:right w:val="none" w:sz="0" w:space="0" w:color="auto"/>
      </w:divBdr>
    </w:div>
    <w:div w:id="722603067">
      <w:bodyDiv w:val="1"/>
      <w:marLeft w:val="0"/>
      <w:marRight w:val="0"/>
      <w:marTop w:val="0"/>
      <w:marBottom w:val="0"/>
      <w:divBdr>
        <w:top w:val="none" w:sz="0" w:space="0" w:color="auto"/>
        <w:left w:val="none" w:sz="0" w:space="0" w:color="auto"/>
        <w:bottom w:val="none" w:sz="0" w:space="0" w:color="auto"/>
        <w:right w:val="none" w:sz="0" w:space="0" w:color="auto"/>
      </w:divBdr>
    </w:div>
    <w:div w:id="829325306">
      <w:bodyDiv w:val="1"/>
      <w:marLeft w:val="0"/>
      <w:marRight w:val="0"/>
      <w:marTop w:val="0"/>
      <w:marBottom w:val="0"/>
      <w:divBdr>
        <w:top w:val="none" w:sz="0" w:space="0" w:color="auto"/>
        <w:left w:val="none" w:sz="0" w:space="0" w:color="auto"/>
        <w:bottom w:val="none" w:sz="0" w:space="0" w:color="auto"/>
        <w:right w:val="none" w:sz="0" w:space="0" w:color="auto"/>
      </w:divBdr>
    </w:div>
    <w:div w:id="1450663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02ce667a3b445b7ab20cc9f39b3405e" PartId="e40bbc148ce0473799f16a9ca79787b5">
    <Part Type="punktas" Nr="1" Abbr="1 p." DocPartId="74e810a425224e0c998ba140dc06fc78" PartId="3462d09d064b4ec596f4dba3cf3014a1">
      <Part Type="citata" DocPartId="e197c7846f8141a2be2153a2da55992e" PartId="be824d67354a409ba4e157b3fc4e611b">
        <Part Type="pastraipa" DocPartId="033c959a62d0462f86e2ce843ce4c71a" PartId="b8962ea9a4974f9286904f13dd09c9a1"/>
      </Part>
    </Part>
    <Part Type="punktas" Nr="2" Abbr="2 p." DocPartId="a6af30691e6e45178425f3d227ef7b52" PartId="14d9123744494e76b6cc49a76a33eb92">
      <Part Type="papunktis" Nr="2.1" Abbr="2.1 pp." DocPartId="8b3a59b9aea844e5b2388be8edf66e65" PartId="6fc58ddd0d424fa8a02470a4dea84ce9">
        <Part Type="citata" DocPartId="8ff75331c62d499bb773fe7c634f1a31" PartId="fb9cc64665984845ba117643a0b41ba7">
          <Part Type="punktas" Nr="4" Abbr="4 p." DocPartId="85e39b8467b74df1a4c8ff5abec5a963" PartId="32a73d558ae042f690af34cc4088ecd4"/>
        </Part>
      </Part>
      <Part Type="papunktis" Nr="2.2" Abbr="2.2 pp." DocPartId="f0d9531d88424c848b9f6da6e619b04e" PartId="e04458fcfffe41d2ae703855dff131b0">
        <Part Type="citata" DocPartId="70cfd8da54704927a5c2f818822a77b5" PartId="c20114af511b42f587f249f567d8b581">
          <Part Type="papunktis" Nr="17.4" Abbr="17.4 pp." DocPartId="b50dd529de894e0d87d87db5c013e5b7" PartId="d2b8eceb2d91485eadbd9dafbf5f6a70"/>
        </Part>
      </Part>
      <Part Type="papunktis" Nr="2.3" Abbr="2.3 pp." DocPartId="d678ae09c4f54695a98e67a85fc80e38" PartId="706e8bcd223a4ff68251de509fed90e9">
        <Part Type="citata" DocPartId="4265507658f9486db17ab5248892f0c7" PartId="7a339f26041e41ae9b3524effab3ccad">
          <Part Type="skirsnis" Title="I DALIS. FINANSŲ RINKOS DALYVIO IR SKIRIAMO ASMENS IDENTIFIKACINIAI DUOMENYS" DocPartId="1e9a2c56d8894a30a66cae792a3a2af2" PartId="a4934764e9714cd9afdb8f165a4e401d"/>
          <Part Type="skirsnis" Title="Informacija apie finansų rinkos dalyvį" DocPartId="50d5a6e3dd11444087bf8576d81b4eff" PartId="483c60e5b629425497a2b795332e440d"/>
          <Part Type="skirsnis" Title="Informacija apie skiriamą asmenį" DocPartId="ba70e1d10f4e43b682c5d9bdf8b4f146" PartId="f7aa2c8efd05409eaf2d90dc3b147acc"/>
          <Part Type="skirsnis" Title="Adresas" DocPartId="3bead37d02c5459eaa3abecb01eaba53" PartId="a1ef521e0851458596e9180100b1af39"/>
          <Part Type="skirsnis" Title="PASTABA. Kriptoturto paslaugų teikėjų ir su turtu susietų žetonų emitentų vadovai pateikia paskutinių dešimties metų informaciją apie nuolatinės gyvenamosios vietos adresus." DocPartId="135ca4a46d4c4f0ab286b9e419a644e1" PartId="24f802ca02ae4c9f82340c1235df0167"/>
          <Part Type="skirsnis" Title="Kontaktiniai duomenys" DocPartId="2bbc9d2c289a431fa5f16e314d1a8a6c" PartId="fa5f764e83934cfea82815190bd61bd9"/>
        </Part>
      </Part>
      <Part Type="papunktis" Nr="2.4" Abbr="2.4 pp." DocPartId="82dff6398a5d41a4ab80b0d4259c7ecb" PartId="76545641a5d84eb0b6a98ee1cab8e69d">
        <Part Type="strPapunktis" Nr="1" Abbr="2.4 pp. 1 pp." DocPartId="fddf0e0956c6489dbaafb23e3bdf16c4" PartId="279f60347e1f41eaad9909fde47d1fa1"/>
      </Part>
    </Part>
    <Part Type="skirsnis" Title="☐ Taip ☐ Ne" DocPartId="99c42705fc6b40f1adf05fa15bd28eca" PartId="c9e30eecccce491784bffd22538a7704"/>
    <Part Type="skirsnis" Title="Jeigu Taip, pateikite komentarą" DocPartId="2635a0e2721044aeab9ccc7aa8c7dff4" PartId="a874d808ef494d06aef267d625076e69">
      <Part Type="strPapunktis" Nr="2" Abbr="2 pp." DocPartId="50207a3e29f54d1ba56a6a070dfbed6f" PartId="bdc39c33631343adb1249a2f85d5aa17"/>
    </Part>
    <Part Type="skirsnis" Title="☐ Taip ☐ Ne" DocPartId="50faf27fd9b34b4fa44c37f09b418508" PartId="67826b1e68ce4ff890fb3fbb21ab7ad1"/>
    <Part Type="skirsnis" Title="Jeigu Taip, pateikite komentarą" DocPartId="7e64b195bab2401db614ee4edc300d80" PartId="9812b6735e34493c81021354457226dc"/>
  </Part>
</Parts>
</file>

<file path=customXml/itemProps1.xml><?xml version="1.0" encoding="utf-8"?>
<ds:datastoreItem xmlns:ds="http://schemas.openxmlformats.org/officeDocument/2006/customXml" ds:itemID="{0F0F5F0B-E1A0-49DB-8129-F5A1031092BA}">
  <ds:schemaRefs>
    <ds:schemaRef ds:uri="http://schemas.openxmlformats.org/officeDocument/2006/bibliography"/>
  </ds:schemaRefs>
</ds:datastoreItem>
</file>

<file path=customXml/itemProps2.xml><?xml version="1.0" encoding="utf-8"?>
<ds:datastoreItem xmlns:ds="http://schemas.openxmlformats.org/officeDocument/2006/customXml" ds:itemID="{240D0493-AC74-436D-9D94-23A5E2C7885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1181</Words>
  <Characters>7857</Characters>
  <Application>Microsoft Office Word</Application>
  <DocSecurity>4</DocSecurity>
  <Lines>218</Lines>
  <Paragraphs>67</Paragraphs>
  <ScaleCrop>false</ScaleCrop>
  <Company/>
  <LinksUpToDate>false</LinksUpToDate>
  <CharactersWithSpaces>8971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2024-09-20T11:49:00Z</dcterms:created>
  <dcterms:modified xsi:type="dcterms:W3CDTF">2024-09-20T11:49:00Z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5564178-1ca1-4992-b45e-fdaf9919e704_Enabled">
    <vt:lpwstr>true</vt:lpwstr>
  </property>
  <property fmtid="{D5CDD505-2E9C-101B-9397-08002B2CF9AE}" pid="3" name="MSIP_Label_e5564178-1ca1-4992-b45e-fdaf9919e704_SetDate">
    <vt:lpwstr>2024-09-20T09:13:01Z</vt:lpwstr>
  </property>
  <property fmtid="{D5CDD505-2E9C-101B-9397-08002B2CF9AE}" pid="4" name="MSIP_Label_e5564178-1ca1-4992-b45e-fdaf9919e704_Method">
    <vt:lpwstr>Privileged</vt:lpwstr>
  </property>
  <property fmtid="{D5CDD505-2E9C-101B-9397-08002B2CF9AE}" pid="5" name="MSIP_Label_e5564178-1ca1-4992-b45e-fdaf9919e704_Name">
    <vt:lpwstr>LB VIEŠA (ECB PUBLIC)</vt:lpwstr>
  </property>
  <property fmtid="{D5CDD505-2E9C-101B-9397-08002B2CF9AE}" pid="6" name="MSIP_Label_e5564178-1ca1-4992-b45e-fdaf9919e704_SiteId">
    <vt:lpwstr>5a40b399-6903-4594-ad73-dc4ed7ed91c0</vt:lpwstr>
  </property>
  <property fmtid="{D5CDD505-2E9C-101B-9397-08002B2CF9AE}" pid="7" name="MSIP_Label_e5564178-1ca1-4992-b45e-fdaf9919e704_ActionId">
    <vt:lpwstr>11342d8b-4e6d-42e1-b180-fab8019eb1ec</vt:lpwstr>
  </property>
  <property fmtid="{D5CDD505-2E9C-101B-9397-08002B2CF9AE}" pid="8" name="MSIP_Label_e5564178-1ca1-4992-b45e-fdaf9919e704_ContentBits">
    <vt:lpwstr>0</vt:lpwstr>
  </property>
</Properties>
</file>