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81ea3b9043e46be8fcd2f7477b545d9"/>
        <w:lock w:val="sdtLocked"/>
        <w:richText/>
      </w:sdtPr>
      <w:sdtContent>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pt" o:ole="" fillcolor="window">
                <v:imagedata r:id="rId7" o:title=""/>
              </v:shape>
              <o:OLEObject Type="Embed" ProgID="Word.Picture.8" ShapeID="_x0000_i1025" DrawAspect="Content" ObjectID="_1845209985" r:id="rId8"/>
            </w:object>
          </w:r>
        </w:p>
        <w:p>
          <w:pPr>
            <w:tabs>
              <w:tab w:val="center" w:pos="4153"/>
              <w:tab w:val="right" w:pos="8306"/>
            </w:tabs>
            <w:jc w:val="center"/>
            <w:rPr>
              <w:sz w:val="20"/>
            </w:rPr>
          </w:pPr>
        </w:p>
        <w:p>
          <w:pPr>
            <w:tabs>
              <w:tab w:val="center" w:pos="4153"/>
              <w:tab w:val="right" w:pos="8306"/>
            </w:tabs>
            <w:jc w:val="center"/>
            <w:rPr>
              <w:b/>
              <w:bCs/>
              <w:sz w:val="28"/>
              <w:szCs w:val="28"/>
            </w:rPr>
          </w:pPr>
          <w:r>
            <w:rPr>
              <w:b/>
              <w:bCs/>
              <w:sz w:val="28"/>
              <w:szCs w:val="28"/>
            </w:rPr>
            <w:t>LIETUVOS RESPUBLIKOS SVEIKATOS APSAUGOS MINISTERIJA</w:t>
          </w:r>
        </w:p>
        <w:p>
          <w:pPr>
            <w:tabs>
              <w:tab w:val="center" w:pos="4153"/>
              <w:tab w:val="right" w:pos="8306"/>
            </w:tabs>
            <w:rPr>
              <w:szCs w:val="24"/>
            </w:rPr>
          </w:pPr>
        </w:p>
        <w:p>
          <w:pPr>
            <w:rPr>
              <w:szCs w:val="24"/>
            </w:rPr>
          </w:pPr>
        </w:p>
        <w:sdt>
          <w:sdtPr>
            <w:alias w:val="preambule"/>
            <w:tag w:val="part_bb435633a207454fb656be8a2f491095"/>
            <w:lock w:val="sdtLocked"/>
            <w:richText/>
          </w:sdtPr>
          <w:sdtContent>
            <w:p>
              <w:pPr>
                <w:rPr>
                  <w:szCs w:val="24"/>
                </w:rPr>
              </w:pPr>
              <w:r>
                <w:rPr>
                  <w:szCs w:val="24"/>
                </w:rPr>
                <w:t>Lietuvos Respublikos Vyriausybei</w:t>
                <w:tab/>
                <w:t xml:space="preserve">                                  202</w:t>
              </w:r>
              <w:r>
                <w:rPr>
                  <w:szCs w:val="24"/>
                  <w:lang w:val="pt-BR"/>
                </w:rPr>
                <w:t>6</w:t>
              </w:r>
              <w:r>
                <w:rPr>
                  <w:szCs w:val="24"/>
                </w:rPr>
                <w:t xml:space="preserve">-0   -             Nr. (1.1.3E-13) 10-</w:t>
              </w:r>
            </w:p>
            <w:p>
              <w:pPr>
                <w:ind w:firstLine="1440"/>
                <w:jc w:val="both"/>
                <w:rPr>
                  <w:b/>
                  <w:szCs w:val="24"/>
                </w:rPr>
              </w:pPr>
            </w:p>
            <w:p>
              <w:pPr>
                <w:rPr>
                  <w:sz w:val="2"/>
                  <w:szCs w:val="2"/>
                </w:rPr>
              </w:pPr>
            </w:p>
            <w:p>
              <w:pPr>
                <w:jc w:val="both"/>
                <w:rPr>
                  <w:b/>
                  <w:szCs w:val="24"/>
                </w:rPr>
              </w:pPr>
            </w:p>
            <w:p>
              <w:pPr>
                <w:rPr>
                  <w:sz w:val="2"/>
                  <w:szCs w:val="2"/>
                </w:rPr>
              </w:pPr>
            </w:p>
          </w:sdtContent>
        </w:sdt>
        <w:sdt>
          <w:sdtPr>
            <w:alias w:val="skirsnis"/>
            <w:tag w:val="part_75e36afd088943e3ab15a5cd9e01ee75"/>
            <w:lock w:val="sdtLocked"/>
            <w:richText/>
          </w:sdtPr>
          <w:sdtContent>
            <w:p>
              <w:pPr>
                <w:jc w:val="both"/>
                <w:rPr>
                  <w:b/>
                  <w:szCs w:val="24"/>
                </w:rPr>
              </w:pPr>
              <w:sdt>
                <w:sdtPr>
                  <w:alias w:val="Pavadinimas"/>
                  <w:tag w:val="title_75e36afd088943e3ab15a5cd9e01ee75"/>
                  <w:lock w:val="sdtLocked"/>
                  <w:richText/>
                </w:sdtPr>
                <w:sdtContent>
                  <w:r>
                    <w:rPr>
                      <w:b/>
                      <w:szCs w:val="24"/>
                    </w:rPr>
                    <w:t xml:space="preserve">DĖL LIETUVOS RESPUBLIKOS VYRIAUSYBĖS NUTARIMO PROJEKTO </w:t>
                  </w:r>
                </w:sdtContent>
              </w:sdt>
            </w:p>
            <w:p>
              <w:pPr>
                <w:rPr>
                  <w:sz w:val="2"/>
                  <w:szCs w:val="2"/>
                </w:rPr>
              </w:pPr>
            </w:p>
            <w:p>
              <w:pPr>
                <w:jc w:val="both"/>
                <w:rPr>
                  <w:b/>
                  <w:szCs w:val="24"/>
                </w:rPr>
              </w:pPr>
            </w:p>
            <w:p>
              <w:pPr>
                <w:rPr>
                  <w:sz w:val="2"/>
                  <w:szCs w:val="2"/>
                </w:rPr>
              </w:pPr>
            </w:p>
            <w:p>
              <w:pPr>
                <w:ind w:firstLine="709"/>
                <w:jc w:val="both"/>
                <w:rPr>
                  <w:szCs w:val="24"/>
                </w:rPr>
              </w:pPr>
              <w:r>
                <w:rPr>
                  <w:szCs w:val="24"/>
                </w:rPr>
                <w:t xml:space="preserve">Lietuvos Respublikos sveikatos apsaugos ministerija (toliau – Ministerija), vadovaudamasi Lietuvos Respublikos valstybės ir savivaldybių turto valdymo, naudojimo ir disponavimo juo įstatymo 6 straipsnio 2 punktu, 19 straipsnio 1 dalies 4 punktu ir Lietuvos Respublikos vietos savivaldos įstatymo 6 straipsnio 5, 6, 21 ir 24 punktais bei atsižvelgdama į Kelmės rajono savivaldybės tarybos 2026 m. kovo 26 d. sprendimą Nr. T-80 „Dėl sutikimo perimti valstybės turtą ir jo perdavimo Kelmės rajono savivaldybės administracijai patikėjimo teise“, Šakių rajono savivaldybės tarybos 2026 m. balandžio 17 d. sprendimą Nr. T-85 „Dėl sutikimo perimti valstybės turtą Šakių rajono savivaldybės nuosavybėn ir jo perdavimo valdyti, naudoti ir disponuoti juo patikėjimo teise“ bei  Šiaulių miesto savivaldybės tarybos 2026 m. gegužės 8 d. sprendimą Nr. T-190 „Dėl sutikimo perimti valstybės turtą ir jo perdavimo Šiaulių Rėkyvos progimnazijai“, parengė ir Lietuvos Respublikos Vyriausybei teikia Lietuvos Respublikos Vyriausybės nutarimo „Dėl valstybės turto perdavimo savivaldybių nuosavybėn“ projektą (toliau – Projektas).</w:t>
              </w:r>
            </w:p>
            <w:p>
              <w:pPr>
                <w:ind w:firstLine="709"/>
                <w:jc w:val="both"/>
                <w:rPr>
                  <w:szCs w:val="24"/>
                </w:rPr>
              </w:pPr>
              <w:r>
                <w:rPr>
                  <w:szCs w:val="24"/>
                </w:rPr>
                <w:t xml:space="preserve">Projekto tikslas – perduoti valstybei nuosavybės teise priklausantį ir Radiacinės saugos centro (toliau – Centras) patikėjimo teise valdomą, tačiau Centro funkcijoms vykdyti nenaudojamą ilgalaikį ir trumpalaikį materialųjį turtą poreikį dėl jo reikalingumo išreiškusioms Kelmės ir Šakių rajonų bei Šiaulių miesto savivaldybėms savarankiškosioms savivaldybių funkcijoms vykdyti. </w:t>
              </w:r>
            </w:p>
            <w:p>
              <w:pPr>
                <w:ind w:firstLine="709"/>
                <w:jc w:val="both"/>
                <w:rPr>
                  <w:szCs w:val="24"/>
                </w:rPr>
              </w:pPr>
              <w:r>
                <w:rPr>
                  <w:szCs w:val="24"/>
                </w:rPr>
                <w:t xml:space="preserve">Centras dėl jo funkcijoms vykdyti nenaudojamo turto poreikio kitų institucijų ir savivaldybių funkcijoms vykdyti 2025 m. gruodžio 9 d. raštu Nr. 4.20E-2-2925 kreipėsi į valstybės institucijas ir savivaldybes. </w:t>
              </w:r>
            </w:p>
            <w:p>
              <w:pPr>
                <w:ind w:firstLine="709"/>
                <w:jc w:val="both"/>
                <w:rPr>
                  <w:szCs w:val="24"/>
                </w:rPr>
              </w:pPr>
              <w:r>
                <w:rPr>
                  <w:szCs w:val="24"/>
                </w:rPr>
                <w:t>Kelmės rajono savivaldybės meras 2026 m. vasario 3 d. raštu Nr. (7.24. Mr) S-284 „Dėl turto perėmimo“ pateikė Centrui prašymą savivaldybės nuosavybėn perimti automobilį „Toyota Avensis“, kuris bus naudojamas V</w:t>
              </w:r>
              <w:r>
                <w:rPr>
                  <w:color w:val="000000"/>
                  <w:szCs w:val="24"/>
                </w:rPr>
                <w:t xml:space="preserve">ietos savivaldos įstatymo 6 straipsnio </w:t>
              </w:r>
              <w:r>
                <w:rPr>
                  <w:szCs w:val="24"/>
                </w:rPr>
                <w:t xml:space="preserve">21 punkte nurodytai savivaldybės savarankiškajai funkcijai (statinių naudojimo priežiūra įstatymų nustatyta tvarka) vykdyti. Kelmės rajono savivaldybės rašte, be kita ko, nurodyta, kad prašomu perduoti automobiliu bus aprūpintas savivaldybės specialistas, vykdantis statinių naudojimo priežiūrą. </w:t>
              </w:r>
            </w:p>
            <w:p>
              <w:pPr>
                <w:ind w:firstLine="709"/>
                <w:jc w:val="both"/>
                <w:rPr>
                  <w:szCs w:val="24"/>
                </w:rPr>
              </w:pPr>
              <w:r>
                <w:rPr>
                  <w:szCs w:val="24"/>
                </w:rPr>
                <w:t>Kelmės rajono savivaldybės tarybos 2026 m. kovo 26 d. sprendimu Nr. T-80 „Dėl sutikimo perimti valstybės turtą ir jo perdavimo Kelmės rajono savivaldybės administracijai patikėjimo teise“ Kelmės rajono savivaldybės taryba sutiko perimti Kelmės rajono savivaldybės nuosavybėn jos savarankiškajai funkcijai vykdyti reikalingą valstybės turtą (automobilį „Toyota Avensis“).</w:t>
              </w:r>
            </w:p>
            <w:p>
              <w:pPr>
                <w:ind w:firstLine="709"/>
                <w:jc w:val="both"/>
                <w:rPr>
                  <w:szCs w:val="24"/>
                </w:rPr>
              </w:pPr>
              <w:r>
                <w:rPr>
                  <w:szCs w:val="24"/>
                </w:rPr>
                <w:t xml:space="preserve">Šakių rajono savivaldybės administracija 2025 m. gruodžio 11 d. raštu Nr. S E-2577 „Dėl informacijos pateikimo“ informavo Centrą apie poreikį savivaldybės nuosavybėn perimti </w:t>
              </w:r>
              <w:r>
                <w:rPr>
                  <w:rFonts w:eastAsia="Aptos"/>
                  <w:kern w:val="2"/>
                  <w:szCs w:val="24"/>
                  <w14:ligatures w14:val="standardContextual"/>
                </w:rPr>
                <w:t xml:space="preserve">serverį „Cisco Unified CM 8.5 7825-I5 Appliance“ ir 42 telefono aparatus „Cisco IP Phone 8841“, o </w:t>
              </w:r>
              <w:r>
                <w:rPr>
                  <w:szCs w:val="24"/>
                </w:rPr>
                <w:t xml:space="preserve">Šakių rajono savivaldybės taryba </w:t>
              </w:r>
              <w:r>
                <w:rPr>
                  <w:rFonts w:eastAsia="Aptos"/>
                  <w:kern w:val="2"/>
                  <w:szCs w:val="24"/>
                  <w14:ligatures w14:val="standardContextual"/>
                </w:rPr>
                <w:t xml:space="preserve">2026 m. balandžio 17 d. sprendimu Nr. T-85 „Dėl sutikimo perimti valstybės turtą Šakių rajono savivaldybės nuosavybėn ir jo perdavimo valdyti, naudoti ir disponuoti juo patikėjimo teise“, be kita ko, nusprendė sutikti perimti pirmiau minėtą turtą </w:t>
              </w:r>
              <w:r>
                <w:rPr>
                  <w:szCs w:val="24"/>
                </w:rPr>
                <w:t>Šakių rajono savivaldybės nuosavybėn savarankiškajai savivaldybės funkcijai, nurodytai V</w:t>
              </w:r>
              <w:r>
                <w:rPr>
                  <w:color w:val="000000"/>
                  <w:szCs w:val="24"/>
                </w:rPr>
                <w:t>ietos savivaldos įstatymo 6 straipsnio 24 punkte (</w:t>
              </w:r>
              <w:r>
                <w:rPr>
                  <w:szCs w:val="24"/>
                </w:rPr>
                <w:t>informacinės visuomenės plėtros įgyvendinimas</w:t>
              </w:r>
              <w:r>
                <w:rPr>
                  <w:color w:val="000000"/>
                  <w:szCs w:val="24"/>
                </w:rPr>
                <w:t>), įgyvendinti.</w:t>
              </w:r>
            </w:p>
            <w:p>
              <w:pPr>
                <w:ind w:firstLine="709"/>
                <w:jc w:val="both"/>
                <w:rPr>
                  <w:szCs w:val="24"/>
                </w:rPr>
              </w:pPr>
              <w:r>
                <w:rPr>
                  <w:szCs w:val="24"/>
                </w:rPr>
                <w:t>2025 m. gruodžio 23 d. raštu Nr. S-5525 „Dėl siūlymo perimti valstybės turtą“ į Centrą kreipėsi Šiaulių miesto savivaldybės administracija, nurodydama poreikį perimti 6 nešiojamuosius kompiuterius „DELL Latitude“ su krepšiais ir programine įranga bei plazminį ekraną</w:t>
              </w:r>
              <w:r>
                <w:rPr>
                  <w:szCs w:val="24"/>
                  <w:lang w:val="pl-PL"/>
                </w:rPr>
                <w:t xml:space="preserve"> „NEC Plasma 61XM3</w:t>
              </w:r>
              <w:r>
                <w:rPr>
                  <w:szCs w:val="24"/>
                </w:rPr>
                <w:t>“. Centras, atsakydamas į pirmiau nurodytą Šiaulių miesto savivaldybės administracijos raštą, atsižvelgdamas į kitų įstaigų anksčiau išreikštą poreikį, informavo, kad Šiaulių miesto savivaldybės nuosavybėn gali būti perduoti 3 nešiojamieji kompiuteriai „DELL Latitude“ su krepšiais ir programine įranga bei plazminis ekranas</w:t>
              </w:r>
              <w:r>
                <w:rPr>
                  <w:szCs w:val="24"/>
                  <w:lang w:val="pl-PL"/>
                </w:rPr>
                <w:t xml:space="preserve"> „NEC Plasma 61XM3</w:t>
              </w:r>
              <w:r>
                <w:rPr>
                  <w:szCs w:val="24"/>
                </w:rPr>
                <w:t>“.</w:t>
              </w:r>
            </w:p>
            <w:p>
              <w:pPr>
                <w:ind w:firstLine="709"/>
                <w:jc w:val="both"/>
                <w:rPr>
                  <w:color w:val="000000"/>
                  <w:szCs w:val="24"/>
                </w:rPr>
              </w:pPr>
              <w:r>
                <w:rPr>
                  <w:szCs w:val="24"/>
                </w:rPr>
                <w:t xml:space="preserve">Šiaulių miesto savivaldybės taryba 2026 m. gegužės 8 d. sprendimu Nr. T-190 „Dėl sutikimo perimti valstybės turtą ir jo perdavimo Šiaulių Rėkyvos progimnazijai“, be kita ko, nusprendė sutikti perimti </w:t>
              </w:r>
              <w:r>
                <w:rPr>
                  <w:rFonts w:eastAsia="Aptos"/>
                  <w:kern w:val="2"/>
                  <w:szCs w:val="24"/>
                  <w14:ligatures w14:val="standardContextual"/>
                </w:rPr>
                <w:t xml:space="preserve">pirmiau minėtą turtą </w:t>
              </w:r>
              <w:r>
                <w:rPr>
                  <w:szCs w:val="24"/>
                </w:rPr>
                <w:t>Šiaulių miesto savivaldybės nuosavybėn savarankiškosioms savivaldybės funkcijoms, nurodytoms V</w:t>
              </w:r>
              <w:r>
                <w:rPr>
                  <w:color w:val="000000"/>
                  <w:szCs w:val="24"/>
                </w:rPr>
                <w:t>ietos savivaldos įstatymo 6 straipsnio 5 punkte (</w:t>
              </w:r>
              <w:r>
                <w:rPr>
                  <w:szCs w:val="24"/>
                </w:rPr>
                <w:t>savivaldybės teritorijoje gyvenančių vaikų iki 16 metų mokymosi pagal privalomojo švietimo programas užtikrinimas</w:t>
              </w:r>
              <w:r>
                <w:rPr>
                  <w:color w:val="000000"/>
                  <w:szCs w:val="24"/>
                </w:rPr>
                <w:t xml:space="preserve">) ir 6 punkte (švietimo pagalbos teikimo mokiniui, mokytojui, šeimai, mokyklai, vaiko minimaliosios priežiūros priemonių vykdymo organizavimas ir koordinavimas, prevencinių programų įgyvendinimo mokyklose užtikrinimas), įgyvendinti. </w:t>
              </w:r>
            </w:p>
            <w:p>
              <w:pPr>
                <w:ind w:firstLine="709"/>
                <w:jc w:val="both"/>
                <w:rPr>
                  <w:szCs w:val="24"/>
                </w:rPr>
              </w:pPr>
              <w:r>
                <w:rPr>
                  <w:color w:val="000000"/>
                  <w:szCs w:val="24"/>
                </w:rPr>
                <w:t xml:space="preserve">Projekte nurodytas ir savivaldybių nuosavybėn perduoti numatytas valstybės turtas, kaip jau buvo minėta pirmiau, Centro funkcijoms vykdyti yra nenaudojamas, todėl Centras 2026 m. gegužės 22 d. raštu Nr. </w:t>
              </w:r>
              <w:r>
                <w:rPr>
                  <w:bCs/>
                  <w:szCs w:val="24"/>
                </w:rPr>
                <w:t>4.20 E-2-1074 „Dėl valstybės ilgalaikio materialiojo turto perdavimo savivaldybių nuosavybėn“ ir 2026 m. birželio 2 d. raštu Nr. 4.20 E-2-1185 „</w:t>
              </w:r>
              <w:r>
                <w:rPr>
                  <w:szCs w:val="24"/>
                </w:rPr>
                <w:t>D</w:t>
              </w:r>
              <w:r>
                <w:rPr>
                  <w:bCs/>
                  <w:szCs w:val="24"/>
                </w:rPr>
                <w:t xml:space="preserve">ėl valstybės ilgalaikio materialiojo turto perdavimo savivaldybių nuosavybėn“ kreipėsi į Ministeriją dėl atitinkamo Lietuvos Respublikos Vyriausybės nutarimo inicijavimo. </w:t>
              </w:r>
            </w:p>
            <w:p>
              <w:pPr>
                <w:ind w:firstLine="709"/>
                <w:jc w:val="both"/>
                <w:rPr>
                  <w:szCs w:val="24"/>
                </w:rPr>
              </w:pPr>
              <w:r>
                <w:rPr>
                  <w:szCs w:val="24"/>
                </w:rPr>
                <w:t>Projekte nurodyto turto perdavimas atitinka Lietuvos Respublikos valstybės ir savivaldybių turto valdymo, naudojimo ir disponavimo juo įstatymo 9 straipsnio 1–3 punktuose nustatytus principus: visuomeninės naudos (perdavus Projekte nurodytą ilgalaikį ir trumpalaikį materialųjį turtą, būtų sudarytos geresnės sąlygos šį turtą naudoti visuomenės poreikiams tenkinti), efektyvumo ir racionalumo (būtų užtikrintas perduodamo turto efektyvus ir racionalus panaudojimas).</w:t>
              </w:r>
            </w:p>
            <w:p>
              <w:pPr>
                <w:ind w:firstLine="771"/>
                <w:jc w:val="both"/>
                <w:rPr>
                  <w:szCs w:val="24"/>
                </w:rPr>
              </w:pPr>
              <w:r>
                <w:rPr>
                  <w:szCs w:val="24"/>
                </w:rPr>
                <w:t>Priėmus Projektą būtų užtikrintas savarankiškųjų savivaldybės funkcijų, nurodytų Vietos savivaldos įstatymo 6 straipsnio 5, 6, 21 ir 24 punktuose, įgyvendinimas. Neigiamų pasekmių priėmus Projektą nenumatoma.</w:t>
              </w:r>
            </w:p>
            <w:p>
              <w:pPr>
                <w:ind w:firstLine="709"/>
                <w:jc w:val="both"/>
                <w:rPr>
                  <w:szCs w:val="24"/>
                </w:rPr>
              </w:pPr>
              <w:r>
                <w:rPr>
                  <w:szCs w:val="24"/>
                </w:rPr>
                <w:t xml:space="preserve">Ministerija teisės aktų nustatyta tvarka Projektą 2026 m. birželio 17 d. raštu Nr. (1.1.3E-13) 10-2041 „Dėl Lietuvos Respublikos Vyriausybės nutarimo projekto derinimo“ pateikė derinti Lietuvos Respublikos finansų ministerijai ir Centrui. </w:t>
              </w:r>
            </w:p>
            <w:p>
              <w:pPr>
                <w:ind w:firstLine="709"/>
                <w:jc w:val="both"/>
                <w:rPr>
                  <w:szCs w:val="24"/>
                </w:rPr>
              </w:pPr>
              <w:r>
                <w:rPr>
                  <w:szCs w:val="24"/>
                </w:rPr>
                <w:t>Finansų ministerija 2026 m. birželio 19 d. raštu Nr. 6K-26/3246 „Dėl Lietuvos Respublikos Vyriausybės nutarimo projekto derinimo, TAIS Nr. 26-9512“, o Centras 2026 m. birželio 22 d. raštu Nr. 4.20 E-2-1315 „Dėl Lietuvos Respublikos Vyriausybės nutarimo projekto derinimo“ informavo Ministeriją, kad pastabų Projektui neturi.</w:t>
              </w:r>
            </w:p>
            <w:p>
              <w:pPr>
                <w:ind w:firstLine="709"/>
                <w:jc w:val="both"/>
                <w:rPr>
                  <w:color w:val="000000"/>
                  <w:szCs w:val="24"/>
                  <w:lang w:eastAsia="lt-LT"/>
                </w:rPr>
              </w:pPr>
              <w:r>
                <w:rPr>
                  <w:color w:val="000000"/>
                  <w:szCs w:val="24"/>
                  <w:lang w:eastAsia="lt-LT"/>
                </w:rPr>
                <w:t>Projekto nuostatos neprieštarauja Lietuvos Respublikos Vyriausybės programai. Projektas neperkelia ir neįgyvendina Europos Sąjungos teisės aktų.</w:t>
              </w:r>
            </w:p>
            <w:p>
              <w:pPr>
                <w:ind w:firstLine="709"/>
                <w:jc w:val="both"/>
                <w:rPr>
                  <w:szCs w:val="24"/>
                </w:rPr>
              </w:pPr>
              <w:r>
                <w:rPr>
                  <w:szCs w:val="24"/>
                </w:rPr>
                <w:t>Projektas nėra notifikuotinas Europos Komisijai pagal Lietuvos Respublikos Vyriausybės 1999 m. gegužės 20 d. nutarimą Nr. 617 „Dėl Informacijos apie techninius reglamentus ir atitikties įvertinimo procedūras teikimo taisyklių patvirtinimo“.</w:t>
              </w:r>
            </w:p>
            <w:p>
              <w:pPr>
                <w:ind w:firstLine="709"/>
                <w:jc w:val="both"/>
                <w:rPr>
                  <w:color w:val="000000"/>
                  <w:szCs w:val="24"/>
                  <w:lang w:eastAsia="lt-LT"/>
                </w:rPr>
              </w:pPr>
              <w:r>
                <w:rPr>
                  <w:color w:val="000000"/>
                  <w:szCs w:val="24"/>
                  <w:lang w:eastAsia="lt-LT"/>
                </w:rPr>
                <w:t>Projektas yra individualus teisės aktas, todėl, vadovaujantis Numatomo teisinio reguliavimo poveikio vertinimo metodikos, patvirtintos Lietuvos Respublikos Vyriausybės 2003 m. vasario 26 d. nutarimu Nr. 276 „Dėl Numatomo teisinio reguliavimo poveikio vertinimo metodikos patvirtinimo“, 4 punktu, numatomo teisinio reguliavimo poveikio vertinimo pažyma nerengiama.</w:t>
              </w:r>
            </w:p>
            <w:p>
              <w:pPr>
                <w:ind w:firstLine="709"/>
                <w:jc w:val="both"/>
                <w:rPr>
                  <w:color w:val="000000"/>
                  <w:szCs w:val="24"/>
                  <w:lang w:eastAsia="lt-LT"/>
                </w:rPr>
              </w:pPr>
              <w:r>
                <w:rPr>
                  <w:color w:val="000000"/>
                  <w:szCs w:val="24"/>
                  <w:lang w:eastAsia="lt-LT"/>
                </w:rPr>
                <w:t>Priėmus projektą, priimti naujų teisės aktų, keisti ar pripažinti netekusiais galios galiojančių teisės aktų nereikės.</w:t>
              </w:r>
            </w:p>
            <w:p>
              <w:pPr>
                <w:ind w:firstLine="709"/>
                <w:jc w:val="both"/>
                <w:rPr>
                  <w:szCs w:val="24"/>
                </w:rPr>
              </w:pPr>
              <w:r>
                <w:rPr>
                  <w:szCs w:val="24"/>
                </w:rPr>
                <w:t>Nutarimo projektas paskelbtas Lietuvos Respublikos Seimo kanceliarijos teisės aktų informacinėje sistemoje (TAIS) (projekto Nr. 26-9512(2).</w:t>
              </w:r>
            </w:p>
            <w:p>
              <w:pPr>
                <w:ind w:firstLine="709"/>
                <w:jc w:val="both"/>
                <w:rPr>
                  <w:szCs w:val="24"/>
                </w:rPr>
              </w:pPr>
              <w:r>
                <w:rPr>
                  <w:szCs w:val="24"/>
                </w:rPr>
                <w:t>Projektą parengė Ministerijos Valstybės turto valdymo ir viešųjų pirkimų skyriaus (vedėjas Andriejus Bielinskis, tel. (0 5)  266 1448, el. paštas Andriejus.Bielinskis@sam.lt) patarėja Liubava Uzielienė (tel. (0 5) 266 1450, el. paštas Liubava.Uzieliene@sam.lt).</w:t>
              </w:r>
            </w:p>
            <w:p>
              <w:pPr>
                <w:tabs>
                  <w:tab w:val="left" w:pos="709"/>
                </w:tabs>
                <w:ind w:firstLine="709"/>
                <w:jc w:val="both"/>
                <w:rPr>
                  <w:rFonts w:eastAsia="Arial Unicode MS"/>
                  <w:szCs w:val="24"/>
                </w:rPr>
              </w:pPr>
              <w:r>
                <w:rPr>
                  <w:rFonts w:eastAsia="Arial Unicode MS"/>
                  <w:szCs w:val="24"/>
                </w:rPr>
                <w:t>PRIDEDAMA:</w:t>
              </w:r>
            </w:p>
            <w:sdt>
              <w:sdtPr>
                <w:alias w:val="1 p."/>
                <w:tag w:val="part_45204db91f884254b3bb0098f171fd12"/>
                <w:lock w:val="sdtLocked"/>
                <w:richText/>
              </w:sdtPr>
              <w:sdtContent>
                <w:p>
                  <w:pPr>
                    <w:tabs>
                      <w:tab w:val="left" w:pos="360"/>
                      <w:tab w:val="left" w:pos="993"/>
                    </w:tabs>
                    <w:ind w:firstLine="709"/>
                    <w:jc w:val="both"/>
                    <w:rPr>
                      <w:szCs w:val="24"/>
                    </w:rPr>
                  </w:pPr>
                  <w:sdt>
                    <w:sdtPr>
                      <w:alias w:val="Numeris"/>
                      <w:tag w:val="nr_45204db91f884254b3bb0098f171fd12"/>
                      <w:lock w:val="sdtLocked"/>
                      <w:richText/>
                    </w:sdtPr>
                    <w:sdtContent>
                      <w:r>
                        <w:rPr>
                          <w:szCs w:val="24"/>
                        </w:rPr>
                        <w:t>1</w:t>
                      </w:r>
                    </w:sdtContent>
                  </w:sdt>
                  <w:r>
                    <w:rPr>
                      <w:szCs w:val="24"/>
                    </w:rPr>
                    <w:t>.</w:t>
                    <w:tab/>
                    <w:t>Lietuvos Respublikos Vyriausybės nutarimo „Dėl valstybės turto perdavimo savivaldybių nuosavybėn“ projektas, 4 lapai.</w:t>
                  </w:r>
                </w:p>
              </w:sdtContent>
            </w:sdt>
            <w:sdt>
              <w:sdtPr>
                <w:alias w:val="2 p."/>
                <w:tag w:val="part_5e3c94f1fe9544308104370e000db88f"/>
                <w:lock w:val="sdtLocked"/>
                <w:richText/>
              </w:sdtPr>
              <w:sdtContent>
                <w:p>
                  <w:pPr>
                    <w:tabs>
                      <w:tab w:val="left" w:pos="360"/>
                      <w:tab w:val="left" w:pos="993"/>
                    </w:tabs>
                    <w:ind w:firstLine="709"/>
                    <w:jc w:val="both"/>
                    <w:rPr>
                      <w:szCs w:val="24"/>
                    </w:rPr>
                  </w:pPr>
                  <w:sdt>
                    <w:sdtPr>
                      <w:alias w:val="Numeris"/>
                      <w:tag w:val="nr_5e3c94f1fe9544308104370e000db88f"/>
                      <w:lock w:val="sdtLocked"/>
                      <w:richText/>
                    </w:sdtPr>
                    <w:sdtContent>
                      <w:r>
                        <w:rPr>
                          <w:szCs w:val="24"/>
                        </w:rPr>
                        <w:t>2</w:t>
                      </w:r>
                    </w:sdtContent>
                  </w:sdt>
                  <w:r>
                    <w:rPr>
                      <w:szCs w:val="24"/>
                    </w:rPr>
                    <w:t>.</w:t>
                    <w:tab/>
                    <w:t>Lietuvos Respublikos sveikatos apsaugos ministerijos 2026 m. birželio 17 d. raštas Nr. (1.1.3E-13) 10-2041 „Dėl Lietuvos Respublikos Vyriausybės nutarimo projekto derinimo“ (ADOC formatu).</w:t>
                  </w:r>
                </w:p>
              </w:sdtContent>
            </w:sdt>
            <w:sdt>
              <w:sdtPr>
                <w:alias w:val="3 p."/>
                <w:tag w:val="part_aeef7dd81c4a41fb913b4d2a6c7f7b3d"/>
                <w:lock w:val="sdtLocked"/>
                <w:richText/>
              </w:sdtPr>
              <w:sdtContent>
                <w:p>
                  <w:pPr>
                    <w:tabs>
                      <w:tab w:val="left" w:pos="360"/>
                      <w:tab w:val="left" w:pos="993"/>
                    </w:tabs>
                    <w:ind w:firstLine="709"/>
                    <w:jc w:val="both"/>
                    <w:rPr>
                      <w:szCs w:val="24"/>
                    </w:rPr>
                  </w:pPr>
                  <w:sdt>
                    <w:sdtPr>
                      <w:alias w:val="Numeris"/>
                      <w:tag w:val="nr_aeef7dd81c4a41fb913b4d2a6c7f7b3d"/>
                      <w:lock w:val="sdtLocked"/>
                      <w:richText/>
                    </w:sdtPr>
                    <w:sdtContent>
                      <w:r>
                        <w:rPr>
                          <w:szCs w:val="24"/>
                        </w:rPr>
                        <w:t>3</w:t>
                      </w:r>
                    </w:sdtContent>
                  </w:sdt>
                  <w:r>
                    <w:rPr>
                      <w:szCs w:val="24"/>
                    </w:rPr>
                    <w:t>.</w:t>
                    <w:tab/>
                    <w:t>Lietuvos Respublikos finansų ministerijos 2026 m. birželio 19 d. raštas Nr. 6K-26/3246 „Dėl Lietuvos Respublikos Vyriausybės nutarimo projekto derinimo, TAIS Nr. 26-9512“ (ADOC formatu).</w:t>
                  </w:r>
                </w:p>
              </w:sdtContent>
            </w:sdt>
            <w:sdt>
              <w:sdtPr>
                <w:alias w:val="4 p."/>
                <w:tag w:val="part_10ea70580dd04a15b0e2282c62573d35"/>
                <w:lock w:val="sdtLocked"/>
                <w:richText/>
              </w:sdtPr>
              <w:sdtContent>
                <w:p>
                  <w:pPr>
                    <w:tabs>
                      <w:tab w:val="left" w:pos="360"/>
                      <w:tab w:val="left" w:pos="993"/>
                    </w:tabs>
                    <w:ind w:firstLine="709"/>
                    <w:jc w:val="both"/>
                    <w:rPr>
                      <w:szCs w:val="24"/>
                    </w:rPr>
                  </w:pPr>
                  <w:sdt>
                    <w:sdtPr>
                      <w:alias w:val="Numeris"/>
                      <w:tag w:val="nr_10ea70580dd04a15b0e2282c62573d35"/>
                      <w:lock w:val="sdtLocked"/>
                      <w:richText/>
                    </w:sdtPr>
                    <w:sdtContent>
                      <w:r>
                        <w:rPr>
                          <w:szCs w:val="24"/>
                        </w:rPr>
                        <w:t>4</w:t>
                      </w:r>
                    </w:sdtContent>
                  </w:sdt>
                  <w:r>
                    <w:rPr>
                      <w:szCs w:val="24"/>
                    </w:rPr>
                    <w:t>.</w:t>
                    <w:tab/>
                    <w:t>Radiacinės saugos centro 2026 m. birželio 22 d. raštas Nr. 4.20 E-2-1315 „Dėl Lietuvos Respublikos Vyriausybės nutarimo projekto derinimo“ (ADOC formatu).</w:t>
                  </w:r>
                </w:p>
                <w:p>
                  <w:pPr>
                    <w:tabs>
                      <w:tab w:val="left" w:pos="360"/>
                      <w:tab w:val="left" w:pos="993"/>
                    </w:tabs>
                    <w:jc w:val="both"/>
                    <w:rPr>
                      <w:szCs w:val="24"/>
                    </w:rPr>
                  </w:pPr>
                </w:p>
                <w:p>
                  <w:pPr>
                    <w:jc w:val="both"/>
                    <w:rPr>
                      <w:sz w:val="20"/>
                      <w:szCs w:val="24"/>
                    </w:rPr>
                  </w:pPr>
                </w:p>
                <w:p>
                  <w:pPr>
                    <w:jc w:val="both"/>
                    <w:rPr>
                      <w:sz w:val="20"/>
                      <w:szCs w:val="24"/>
                    </w:rPr>
                  </w:pPr>
                </w:p>
                <w:p>
                  <w:pPr>
                    <w:jc w:val="both"/>
                    <w:rPr>
                      <w:szCs w:val="24"/>
                    </w:rPr>
                  </w:pPr>
                  <w:r>
                    <w:rPr>
                      <w:szCs w:val="24"/>
                    </w:rPr>
                    <w:t>Laikinai einanti sveikatos apsaugos ministro pareigas</w:t>
                    <w:tab/>
                    <w:tab/>
                    <w:t xml:space="preserve">                 Marija Jakubauskienė</w:t>
                  </w:r>
                </w:p>
                <w:p>
                  <w:pPr>
                    <w:jc w:val="both"/>
                    <w:rPr>
                      <w:sz w:val="20"/>
                      <w:szCs w:val="24"/>
                    </w:rPr>
                  </w:pPr>
                </w:p>
                <w:p>
                  <w:pPr>
                    <w:jc w:val="both"/>
                    <w:rPr>
                      <w:sz w:val="20"/>
                      <w:szCs w:val="24"/>
                    </w:rPr>
                  </w:pPr>
                </w:p>
                <w:p>
                  <w:pPr>
                    <w:jc w:val="both"/>
                    <w:rPr>
                      <w:sz w:val="20"/>
                      <w:szCs w:val="24"/>
                    </w:rPr>
                  </w:pPr>
                </w:p>
                <w:p>
                  <w:pPr>
                    <w:jc w:val="both"/>
                    <w:rPr>
                      <w:sz w:val="20"/>
                      <w:szCs w:val="24"/>
                    </w:rPr>
                  </w:pPr>
                </w:p>
                <w:p>
                  <w:pPr>
                    <w:jc w:val="both"/>
                    <w:rPr>
                      <w:sz w:val="20"/>
                      <w:szCs w:val="24"/>
                    </w:rPr>
                  </w:pPr>
                </w:p>
                <w:p>
                  <w:pPr>
                    <w:jc w:val="both"/>
                    <w:rPr>
                      <w:sz w:val="20"/>
                      <w:szCs w:val="24"/>
                    </w:rPr>
                  </w:pPr>
                </w:p>
                <w:p>
                  <w:pPr>
                    <w:jc w:val="both"/>
                    <w:rPr>
                      <w:sz w:val="20"/>
                      <w:szCs w:val="24"/>
                    </w:rPr>
                  </w:pPr>
                </w:p>
                <w:p>
                  <w:pPr>
                    <w:jc w:val="both"/>
                    <w:rPr>
                      <w:sz w:val="20"/>
                      <w:szCs w:val="24"/>
                    </w:rPr>
                  </w:pPr>
                </w:p>
                <w:p>
                  <w:pPr>
                    <w:jc w:val="both"/>
                    <w:rPr>
                      <w:sz w:val="20"/>
                      <w:szCs w:val="24"/>
                    </w:rPr>
                  </w:pPr>
                </w:p>
                <w:p>
                  <w:pPr>
                    <w:jc w:val="both"/>
                    <w:rPr>
                      <w:sz w:val="20"/>
                      <w:szCs w:val="24"/>
                    </w:rPr>
                  </w:pPr>
                </w:p>
                <w:p>
                  <w:pPr>
                    <w:jc w:val="both"/>
                    <w:rPr>
                      <w:sz w:val="20"/>
                      <w:szCs w:val="24"/>
                    </w:rPr>
                  </w:pPr>
                </w:p>
                <w:p>
                  <w:pPr>
                    <w:ind w:firstLine="720"/>
                    <w:jc w:val="both"/>
                    <w:rPr>
                      <w:szCs w:val="24"/>
                      <w:lang w:val="pt-BR"/>
                    </w:rPr>
                  </w:pPr>
                </w:p>
                <w:p>
                  <w:pPr>
                    <w:rPr>
                      <w:sz w:val="20"/>
                    </w:rPr>
                  </w:pPr>
                </w:p>
                <w:p>
                  <w:pPr>
                    <w:tabs>
                      <w:tab w:val="center" w:pos="4819"/>
                      <w:tab w:val="right" w:pos="9638"/>
                    </w:tabs>
                    <w:rPr>
                      <w:szCs w:val="24"/>
                    </w:rPr>
                  </w:pPr>
                </w:p>
                <w:p>
                  <w:pPr>
                    <w:tabs>
                      <w:tab w:val="center" w:pos="4819"/>
                      <w:tab w:val="right" w:pos="9638"/>
                    </w:tabs>
                    <w:rPr>
                      <w:szCs w:val="24"/>
                    </w:rPr>
                  </w:pPr>
                </w:p>
                <w:p>
                  <w:pPr>
                    <w:tabs>
                      <w:tab w:val="center" w:pos="4819"/>
                      <w:tab w:val="right" w:pos="9638"/>
                    </w:tabs>
                    <w:rPr>
                      <w:szCs w:val="24"/>
                    </w:rPr>
                  </w:pPr>
                </w:p>
                <w:p>
                  <w:pPr>
                    <w:tabs>
                      <w:tab w:val="center" w:pos="4819"/>
                      <w:tab w:val="right" w:pos="9638"/>
                    </w:tabs>
                    <w:rPr>
                      <w:szCs w:val="24"/>
                    </w:rPr>
                  </w:pPr>
                </w:p>
                <w:p>
                  <w:pPr>
                    <w:tabs>
                      <w:tab w:val="center" w:pos="4819"/>
                      <w:tab w:val="right" w:pos="9638"/>
                    </w:tabs>
                    <w:rPr>
                      <w:sz w:val="20"/>
                    </w:rPr>
                  </w:pPr>
                </w:p>
                <w:p>
                  <w:pPr>
                    <w:tabs>
                      <w:tab w:val="center" w:pos="4819"/>
                      <w:tab w:val="right" w:pos="9638"/>
                    </w:tabs>
                    <w:rPr>
                      <w:sz w:val="20"/>
                    </w:rPr>
                  </w:pPr>
                </w:p>
                <w:p>
                  <w:pPr>
                    <w:tabs>
                      <w:tab w:val="center" w:pos="4819"/>
                      <w:tab w:val="right" w:pos="9638"/>
                    </w:tabs>
                    <w:rPr>
                      <w:sz w:val="20"/>
                    </w:rPr>
                  </w:pPr>
                </w:p>
                <w:p>
                  <w:pPr>
                    <w:tabs>
                      <w:tab w:val="center" w:pos="4819"/>
                      <w:tab w:val="right" w:pos="9638"/>
                    </w:tabs>
                    <w:rPr>
                      <w:sz w:val="20"/>
                    </w:rPr>
                  </w:pPr>
                </w:p>
                <w:p>
                  <w:pPr>
                    <w:tabs>
                      <w:tab w:val="center" w:pos="4819"/>
                      <w:tab w:val="right" w:pos="9638"/>
                    </w:tabs>
                    <w:rPr>
                      <w:sz w:val="20"/>
                    </w:rPr>
                  </w:pPr>
                </w:p>
                <w:p>
                  <w:pPr>
                    <w:tabs>
                      <w:tab w:val="center" w:pos="4819"/>
                      <w:tab w:val="right" w:pos="9638"/>
                    </w:tabs>
                    <w:rPr>
                      <w:sz w:val="20"/>
                    </w:rPr>
                  </w:pPr>
                </w:p>
                <w:p>
                  <w:pPr>
                    <w:tabs>
                      <w:tab w:val="center" w:pos="4819"/>
                      <w:tab w:val="right" w:pos="9638"/>
                    </w:tabs>
                    <w:rPr>
                      <w:sz w:val="20"/>
                    </w:rPr>
                  </w:pPr>
                </w:p>
                <w:p>
                  <w:pPr>
                    <w:tabs>
                      <w:tab w:val="center" w:pos="4819"/>
                      <w:tab w:val="right" w:pos="9638"/>
                    </w:tabs>
                    <w:rPr>
                      <w:sz w:val="20"/>
                    </w:rPr>
                  </w:pPr>
                </w:p>
                <w:p>
                  <w:pPr>
                    <w:tabs>
                      <w:tab w:val="center" w:pos="4819"/>
                      <w:tab w:val="right" w:pos="9638"/>
                    </w:tabs>
                    <w:rPr>
                      <w:sz w:val="20"/>
                    </w:rPr>
                  </w:pPr>
                </w:p>
                <w:p>
                  <w:pPr>
                    <w:tabs>
                      <w:tab w:val="center" w:pos="4819"/>
                      <w:tab w:val="right" w:pos="9638"/>
                    </w:tabs>
                    <w:rPr>
                      <w:sz w:val="20"/>
                    </w:rPr>
                  </w:pPr>
                </w:p>
                <w:p>
                  <w:pPr>
                    <w:tabs>
                      <w:tab w:val="center" w:pos="4819"/>
                      <w:tab w:val="right" w:pos="9638"/>
                    </w:tabs>
                    <w:rPr>
                      <w:sz w:val="20"/>
                    </w:rPr>
                  </w:pPr>
                </w:p>
                <w:p>
                  <w:pPr>
                    <w:tabs>
                      <w:tab w:val="center" w:pos="4819"/>
                      <w:tab w:val="right" w:pos="9638"/>
                    </w:tabs>
                    <w:rPr>
                      <w:sz w:val="20"/>
                    </w:rPr>
                  </w:pPr>
                </w:p>
                <w:p>
                  <w:pPr>
                    <w:tabs>
                      <w:tab w:val="center" w:pos="4819"/>
                      <w:tab w:val="right" w:pos="9638"/>
                    </w:tabs>
                    <w:rPr>
                      <w:sz w:val="20"/>
                    </w:rPr>
                  </w:pPr>
                </w:p>
                <w:p>
                  <w:pPr>
                    <w:tabs>
                      <w:tab w:val="center" w:pos="4819"/>
                      <w:tab w:val="right" w:pos="9638"/>
                    </w:tabs>
                    <w:rPr>
                      <w:sz w:val="20"/>
                    </w:rPr>
                  </w:pPr>
                </w:p>
                <w:p>
                  <w:pPr>
                    <w:tabs>
                      <w:tab w:val="center" w:pos="4819"/>
                      <w:tab w:val="right" w:pos="9638"/>
                    </w:tabs>
                    <w:rPr>
                      <w:sz w:val="20"/>
                    </w:rPr>
                  </w:pPr>
                </w:p>
                <w:p>
                  <w:pPr>
                    <w:tabs>
                      <w:tab w:val="center" w:pos="4819"/>
                      <w:tab w:val="right" w:pos="9638"/>
                    </w:tabs>
                    <w:rPr>
                      <w:sz w:val="20"/>
                    </w:rPr>
                  </w:pPr>
                </w:p>
                <w:p>
                  <w:pPr>
                    <w:tabs>
                      <w:tab w:val="center" w:pos="4819"/>
                      <w:tab w:val="right" w:pos="9638"/>
                    </w:tabs>
                    <w:rPr>
                      <w:sz w:val="20"/>
                    </w:rPr>
                  </w:pPr>
                </w:p>
                <w:p>
                  <w:pPr>
                    <w:tabs>
                      <w:tab w:val="center" w:pos="4819"/>
                      <w:tab w:val="right" w:pos="9638"/>
                    </w:tabs>
                    <w:rPr>
                      <w:sz w:val="20"/>
                    </w:rPr>
                  </w:pPr>
                </w:p>
                <w:p>
                  <w:pPr>
                    <w:tabs>
                      <w:tab w:val="center" w:pos="4819"/>
                      <w:tab w:val="right" w:pos="9638"/>
                    </w:tabs>
                    <w:rPr>
                      <w:sz w:val="20"/>
                    </w:rPr>
                  </w:pPr>
                  <w:r>
                    <w:rPr>
                      <w:sz w:val="20"/>
                    </w:rPr>
                    <w:t xml:space="preserve">Liubava Uzielienė, tel. (0 5) 266 1450, el. p. Liubava.Uzieliene@sam.lt  </w:t>
                  </w:r>
                </w:p>
              </w:sdtContent>
            </w:sdt>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code="9"/>
      <w:pgMar w:top="1843" w:right="567" w:bottom="993" w:left="1701" w:header="990" w:footer="635"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 w:type="continuationNotice" w:id="1">
    <w:p>
      <w:pPr>
        <w:rPr>
          <w:szCs w:val="24"/>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w:charset w:val="00"/>
    <w:family w:val="swiss"/>
    <w:pitch w:val="variable"/>
    <w:sig w:usb0="20000287"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tbl>
    <w:tblPr>
      <w:tblW w:w="0" w:type="auto"/>
      <w:tblBorders>
        <w:top w:val="single" w:sz="4" w:space="0" w:color="auto"/>
      </w:tblBorders>
      <w:tblLook w:val="04A0" w:firstRow="1" w:lastRow="0" w:firstColumn="1" w:lastColumn="0" w:noHBand="0" w:noVBand="1"/>
    </w:tblPr>
    <w:tblGrid>
      <w:gridCol w:w="1555"/>
      <w:gridCol w:w="1842"/>
      <w:gridCol w:w="3686"/>
      <w:gridCol w:w="2545"/>
    </w:tblGrid>
    <w:tr>
      <w:tc>
        <w:tcPr>
          <w:tcW w:w="1555" w:type="dxa"/>
          <w:vAlign w:val="center"/>
        </w:tcPr>
        <w:p>
          <w:pPr>
            <w:rPr>
              <w:sz w:val="10"/>
              <w:szCs w:val="10"/>
            </w:rPr>
          </w:pPr>
        </w:p>
        <w:p>
          <w:pPr>
            <w:rPr>
              <w:szCs w:val="24"/>
            </w:rPr>
          </w:pPr>
          <w:r>
            <w:rPr>
              <w:szCs w:val="24"/>
              <w:lang w:val="en-US"/>
            </w:rPr>
            <w:drawing>
              <wp:inline distT="0" distB="0" distL="0" distR="0" wp14:anchorId="62D298E6" wp14:editId="444096CE">
                <wp:extent cx="533400" cy="628608"/>
                <wp:effectExtent l="0" t="0" r="0" b="635"/>
                <wp:docPr id="1875229491" name="Paveikslėlis 1" descr="Paveikslėlis, kuriame yra logotipas, varinis kastetas, dizain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1" descr="Paveikslėlis, kuriame yra logotipas, varinis kastetas, dizainas  Automatiškai sugeneruotas aprašyma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5239" cy="642560"/>
                        </a:xfrm>
                        <a:prstGeom prst="rect">
                          <a:avLst/>
                        </a:prstGeom>
                        <a:noFill/>
                        <a:ln>
                          <a:noFill/>
                        </a:ln>
                      </pic:spPr>
                    </pic:pic>
                  </a:graphicData>
                </a:graphic>
              </wp:inline>
            </w:drawing>
          </w:r>
        </w:p>
      </w:tc>
      <w:tc>
        <w:tcPr>
          <w:tcW w:w="1842" w:type="dxa"/>
          <w:vAlign w:val="center"/>
        </w:tcPr>
        <w:p>
          <w:pPr>
            <w:rPr>
              <w:rFonts w:eastAsia="Calibri"/>
              <w:color w:val="000000"/>
              <w:sz w:val="18"/>
              <w:szCs w:val="18"/>
              <w:lang w:eastAsia="lt-LT"/>
            </w:rPr>
          </w:pPr>
          <w:r>
            <w:rPr>
              <w:rFonts w:eastAsia="Calibri"/>
              <w:color w:val="000000"/>
              <w:sz w:val="18"/>
              <w:szCs w:val="18"/>
              <w:lang w:eastAsia="lt-LT"/>
            </w:rPr>
            <w:t>Biudžetinė įstaiga</w:t>
          </w:r>
        </w:p>
        <w:p>
          <w:pPr>
            <w:rPr>
              <w:rFonts w:eastAsia="Calibri"/>
              <w:color w:val="000000"/>
              <w:sz w:val="18"/>
              <w:szCs w:val="18"/>
              <w:lang w:eastAsia="lt-LT"/>
            </w:rPr>
          </w:pPr>
          <w:r>
            <w:rPr>
              <w:rFonts w:eastAsia="Calibri"/>
              <w:color w:val="000000"/>
              <w:sz w:val="18"/>
              <w:szCs w:val="18"/>
              <w:lang w:eastAsia="lt-LT"/>
            </w:rPr>
            <w:t>Vilniaus g. 33</w:t>
          </w:r>
        </w:p>
        <w:p>
          <w:pPr>
            <w:rPr>
              <w:rFonts w:eastAsia="Calibri"/>
              <w:color w:val="000000"/>
              <w:sz w:val="18"/>
              <w:szCs w:val="18"/>
              <w:lang w:eastAsia="lt-LT"/>
            </w:rPr>
          </w:pPr>
          <w:r>
            <w:rPr>
              <w:rFonts w:eastAsia="Calibri"/>
              <w:color w:val="000000"/>
              <w:sz w:val="18"/>
              <w:szCs w:val="18"/>
              <w:lang w:eastAsia="lt-LT"/>
            </w:rPr>
            <w:t>LT-01402 Vilnius</w:t>
          </w:r>
        </w:p>
      </w:tc>
      <w:tc>
        <w:tcPr>
          <w:tcW w:w="3686" w:type="dxa"/>
          <w:vAlign w:val="center"/>
        </w:tcPr>
        <w:p>
          <w:pPr>
            <w:rPr>
              <w:rFonts w:eastAsia="Calibri"/>
              <w:color w:val="000000"/>
              <w:sz w:val="18"/>
              <w:szCs w:val="18"/>
              <w:lang w:eastAsia="lt-LT"/>
            </w:rPr>
          </w:pPr>
          <w:r>
            <w:rPr>
              <w:rFonts w:eastAsia="Calibri"/>
              <w:color w:val="000000"/>
              <w:sz w:val="18"/>
              <w:szCs w:val="18"/>
              <w:lang w:eastAsia="lt-LT"/>
            </w:rPr>
            <w:t>Tel. +370 800 66 004</w:t>
          </w:r>
        </w:p>
        <w:p>
          <w:pPr>
            <w:rPr>
              <w:rFonts w:eastAsia="Calibri"/>
              <w:color w:val="0563C1"/>
              <w:sz w:val="18"/>
              <w:szCs w:val="18"/>
              <w:u w:val="single"/>
              <w:lang w:eastAsia="lt-LT"/>
            </w:rPr>
          </w:pPr>
          <w:r>
            <w:rPr>
              <w:rFonts w:eastAsia="Calibri"/>
              <w:color w:val="000000"/>
              <w:sz w:val="18"/>
              <w:szCs w:val="18"/>
              <w:lang w:eastAsia="lt-LT"/>
            </w:rPr>
            <w:t xml:space="preserve">El. p. </w:t>
          </w:r>
          <w:r>
            <w:rPr>
              <w:rFonts w:eastAsia="Calibri"/>
              <w:color w:val="0563C1"/>
              <w:sz w:val="18"/>
              <w:szCs w:val="18"/>
              <w:u w:val="single"/>
              <w:lang w:eastAsia="lt-LT"/>
            </w:rPr>
            <w:t>ministerija@sam.lt</w:t>
          </w:r>
          <w:r>
            <w:rPr>
              <w:rFonts w:eastAsia="Calibri"/>
              <w:color w:val="000000"/>
              <w:sz w:val="18"/>
              <w:szCs w:val="18"/>
              <w:lang w:eastAsia="lt-LT"/>
            </w:rPr>
            <w:t xml:space="preserve">, </w:t>
          </w:r>
          <w:r>
            <w:rPr>
              <w:rFonts w:eastAsia="Calibri"/>
              <w:color w:val="0563C1"/>
              <w:sz w:val="18"/>
              <w:szCs w:val="18"/>
              <w:u w:val="single"/>
              <w:lang w:eastAsia="lt-LT"/>
            </w:rPr>
            <w:t>https://sam.lrv.lt</w:t>
          </w:r>
        </w:p>
        <w:p>
          <w:pPr>
            <w:rPr>
              <w:szCs w:val="24"/>
              <w:lang w:val="pt-BR"/>
            </w:rPr>
          </w:pPr>
          <w:r>
            <w:rPr>
              <w:rFonts w:eastAsia="Calibri"/>
              <w:color w:val="000000"/>
              <w:sz w:val="18"/>
              <w:szCs w:val="18"/>
              <w:lang w:eastAsia="lt-LT"/>
            </w:rPr>
            <w:t>E. pristatymo dėžutės adresas 18860347</w:t>
          </w:r>
          <w:r>
            <w:rPr>
              <w:rFonts w:eastAsia="Calibri"/>
              <w:color w:val="000000"/>
              <w:sz w:val="18"/>
              <w:szCs w:val="18"/>
              <w:lang w:val="pt-BR" w:eastAsia="lt-LT"/>
            </w:rPr>
            <w:t>2</w:t>
          </w:r>
        </w:p>
      </w:tc>
      <w:tc>
        <w:tcPr>
          <w:tcW w:w="2545" w:type="dxa"/>
          <w:vAlign w:val="center"/>
        </w:tcPr>
        <w:p>
          <w:pPr>
            <w:rPr>
              <w:rFonts w:eastAsia="Calibri"/>
              <w:color w:val="000000"/>
              <w:sz w:val="18"/>
              <w:szCs w:val="18"/>
              <w:lang w:eastAsia="lt-LT"/>
            </w:rPr>
          </w:pPr>
          <w:r>
            <w:rPr>
              <w:rFonts w:eastAsia="Calibri"/>
              <w:color w:val="000000"/>
              <w:sz w:val="18"/>
              <w:szCs w:val="18"/>
              <w:lang w:eastAsia="lt-LT"/>
            </w:rPr>
            <w:t>Duomenys kaupiami ir saugomi Juridinių asmenų registre</w:t>
          </w:r>
        </w:p>
        <w:p>
          <w:pPr>
            <w:rPr>
              <w:szCs w:val="24"/>
            </w:rPr>
          </w:pPr>
          <w:r>
            <w:rPr>
              <w:rFonts w:eastAsia="Calibri"/>
              <w:color w:val="000000"/>
              <w:sz w:val="18"/>
              <w:szCs w:val="18"/>
              <w:lang w:eastAsia="lt-LT"/>
            </w:rPr>
            <w:t>Kodas 188603472</w:t>
          </w:r>
        </w:p>
      </w:tc>
    </w:tr>
  </w:tbl>
  <w:p>
    <w:pPr>
      <w:tabs>
        <w:tab w:val="left" w:pos="9356"/>
        <w:tab w:val="right" w:pos="949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 w:type="continuationNotice" w:id="1">
    <w:p>
      <w:pPr>
        <w:rPr>
          <w:szCs w:val="24"/>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characterSpacingControl w:val="doNotCompress"/>
  <w:doNotValidateAgainstSchema/>
  <w:doNotDemarcateInvalidXml/>
  <w:hdrShapeDefaults>
    <o:shapedefaults v:ext="edit" spidmax="2051"/>
  </w:hdrShapeDefaults>
  <w:footnotePr>
    <w:footnote w:id="-1"/>
    <w:footnote w:id="0"/>
    <w:footnote w:id="1"/>
  </w:footnotePr>
  <w:endnotePr>
    <w:endnote w:id="-1"/>
    <w:endnote w:id="0"/>
    <w:endnote w:id="1"/>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68A3"/>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2"/>
    </o:shapelayout>
  </w:shapeDefaults>
  <w:decimalSymbol w:val="."/>
  <w:listSeparator w:val=","/>
  <w15:docId w15:val="{7F78D505-46C1-4F8B-AECE-111F038D6E8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107157">
      <w:bodyDiv w:val="1"/>
      <w:marLeft w:val="0"/>
      <w:marRight w:val="0"/>
      <w:marTop w:val="0"/>
      <w:marBottom w:val="0"/>
      <w:divBdr>
        <w:top w:val="none" w:sz="0" w:space="0" w:color="auto"/>
        <w:left w:val="none" w:sz="0" w:space="0" w:color="auto"/>
        <w:bottom w:val="none" w:sz="0" w:space="0" w:color="auto"/>
        <w:right w:val="none" w:sz="0" w:space="0" w:color="auto"/>
      </w:divBdr>
    </w:div>
    <w:div w:id="70012302">
      <w:bodyDiv w:val="1"/>
      <w:marLeft w:val="0"/>
      <w:marRight w:val="0"/>
      <w:marTop w:val="0"/>
      <w:marBottom w:val="0"/>
      <w:divBdr>
        <w:top w:val="none" w:sz="0" w:space="0" w:color="auto"/>
        <w:left w:val="none" w:sz="0" w:space="0" w:color="auto"/>
        <w:bottom w:val="none" w:sz="0" w:space="0" w:color="auto"/>
        <w:right w:val="none" w:sz="0" w:space="0" w:color="auto"/>
      </w:divBdr>
    </w:div>
    <w:div w:id="262880941">
      <w:bodyDiv w:val="1"/>
      <w:marLeft w:val="0"/>
      <w:marRight w:val="0"/>
      <w:marTop w:val="0"/>
      <w:marBottom w:val="0"/>
      <w:divBdr>
        <w:top w:val="none" w:sz="0" w:space="0" w:color="auto"/>
        <w:left w:val="none" w:sz="0" w:space="0" w:color="auto"/>
        <w:bottom w:val="none" w:sz="0" w:space="0" w:color="auto"/>
        <w:right w:val="none" w:sz="0" w:space="0" w:color="auto"/>
      </w:divBdr>
    </w:div>
    <w:div w:id="270748572">
      <w:bodyDiv w:val="1"/>
      <w:marLeft w:val="0"/>
      <w:marRight w:val="0"/>
      <w:marTop w:val="0"/>
      <w:marBottom w:val="0"/>
      <w:divBdr>
        <w:top w:val="none" w:sz="0" w:space="0" w:color="auto"/>
        <w:left w:val="none" w:sz="0" w:space="0" w:color="auto"/>
        <w:bottom w:val="none" w:sz="0" w:space="0" w:color="auto"/>
        <w:right w:val="none" w:sz="0" w:space="0" w:color="auto"/>
      </w:divBdr>
    </w:div>
    <w:div w:id="284042439">
      <w:bodyDiv w:val="1"/>
      <w:marLeft w:val="0"/>
      <w:marRight w:val="0"/>
      <w:marTop w:val="0"/>
      <w:marBottom w:val="0"/>
      <w:divBdr>
        <w:top w:val="none" w:sz="0" w:space="0" w:color="auto"/>
        <w:left w:val="none" w:sz="0" w:space="0" w:color="auto"/>
        <w:bottom w:val="none" w:sz="0" w:space="0" w:color="auto"/>
        <w:right w:val="none" w:sz="0" w:space="0" w:color="auto"/>
      </w:divBdr>
    </w:div>
    <w:div w:id="347996735">
      <w:bodyDiv w:val="1"/>
      <w:marLeft w:val="0"/>
      <w:marRight w:val="0"/>
      <w:marTop w:val="0"/>
      <w:marBottom w:val="0"/>
      <w:divBdr>
        <w:top w:val="none" w:sz="0" w:space="0" w:color="auto"/>
        <w:left w:val="none" w:sz="0" w:space="0" w:color="auto"/>
        <w:bottom w:val="none" w:sz="0" w:space="0" w:color="auto"/>
        <w:right w:val="none" w:sz="0" w:space="0" w:color="auto"/>
      </w:divBdr>
    </w:div>
    <w:div w:id="412242252">
      <w:bodyDiv w:val="1"/>
      <w:marLeft w:val="0"/>
      <w:marRight w:val="0"/>
      <w:marTop w:val="0"/>
      <w:marBottom w:val="0"/>
      <w:divBdr>
        <w:top w:val="none" w:sz="0" w:space="0" w:color="auto"/>
        <w:left w:val="none" w:sz="0" w:space="0" w:color="auto"/>
        <w:bottom w:val="none" w:sz="0" w:space="0" w:color="auto"/>
        <w:right w:val="none" w:sz="0" w:space="0" w:color="auto"/>
      </w:divBdr>
    </w:div>
    <w:div w:id="478350170">
      <w:bodyDiv w:val="1"/>
      <w:marLeft w:val="0"/>
      <w:marRight w:val="0"/>
      <w:marTop w:val="0"/>
      <w:marBottom w:val="0"/>
      <w:divBdr>
        <w:top w:val="none" w:sz="0" w:space="0" w:color="auto"/>
        <w:left w:val="none" w:sz="0" w:space="0" w:color="auto"/>
        <w:bottom w:val="none" w:sz="0" w:space="0" w:color="auto"/>
        <w:right w:val="none" w:sz="0" w:space="0" w:color="auto"/>
      </w:divBdr>
    </w:div>
    <w:div w:id="638262307">
      <w:bodyDiv w:val="1"/>
      <w:marLeft w:val="0"/>
      <w:marRight w:val="0"/>
      <w:marTop w:val="0"/>
      <w:marBottom w:val="0"/>
      <w:divBdr>
        <w:top w:val="none" w:sz="0" w:space="0" w:color="auto"/>
        <w:left w:val="none" w:sz="0" w:space="0" w:color="auto"/>
        <w:bottom w:val="none" w:sz="0" w:space="0" w:color="auto"/>
        <w:right w:val="none" w:sz="0" w:space="0" w:color="auto"/>
      </w:divBdr>
    </w:div>
    <w:div w:id="659233500">
      <w:bodyDiv w:val="1"/>
      <w:marLeft w:val="0"/>
      <w:marRight w:val="0"/>
      <w:marTop w:val="0"/>
      <w:marBottom w:val="0"/>
      <w:divBdr>
        <w:top w:val="none" w:sz="0" w:space="0" w:color="auto"/>
        <w:left w:val="none" w:sz="0" w:space="0" w:color="auto"/>
        <w:bottom w:val="none" w:sz="0" w:space="0" w:color="auto"/>
        <w:right w:val="none" w:sz="0" w:space="0" w:color="auto"/>
      </w:divBdr>
    </w:div>
    <w:div w:id="898053704">
      <w:bodyDiv w:val="1"/>
      <w:marLeft w:val="0"/>
      <w:marRight w:val="0"/>
      <w:marTop w:val="0"/>
      <w:marBottom w:val="0"/>
      <w:divBdr>
        <w:top w:val="none" w:sz="0" w:space="0" w:color="auto"/>
        <w:left w:val="none" w:sz="0" w:space="0" w:color="auto"/>
        <w:bottom w:val="none" w:sz="0" w:space="0" w:color="auto"/>
        <w:right w:val="none" w:sz="0" w:space="0" w:color="auto"/>
      </w:divBdr>
    </w:div>
    <w:div w:id="945775445">
      <w:bodyDiv w:val="1"/>
      <w:marLeft w:val="0"/>
      <w:marRight w:val="0"/>
      <w:marTop w:val="0"/>
      <w:marBottom w:val="0"/>
      <w:divBdr>
        <w:top w:val="none" w:sz="0" w:space="0" w:color="auto"/>
        <w:left w:val="none" w:sz="0" w:space="0" w:color="auto"/>
        <w:bottom w:val="none" w:sz="0" w:space="0" w:color="auto"/>
        <w:right w:val="none" w:sz="0" w:space="0" w:color="auto"/>
      </w:divBdr>
      <w:divsChild>
        <w:div w:id="254630023">
          <w:marLeft w:val="0"/>
          <w:marRight w:val="0"/>
          <w:marTop w:val="0"/>
          <w:marBottom w:val="0"/>
          <w:divBdr>
            <w:top w:val="none" w:sz="0" w:space="0" w:color="auto"/>
            <w:left w:val="none" w:sz="0" w:space="0" w:color="auto"/>
            <w:bottom w:val="none" w:sz="0" w:space="0" w:color="auto"/>
            <w:right w:val="none" w:sz="0" w:space="0" w:color="auto"/>
          </w:divBdr>
          <w:divsChild>
            <w:div w:id="1004629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5729990">
      <w:bodyDiv w:val="1"/>
      <w:marLeft w:val="0"/>
      <w:marRight w:val="0"/>
      <w:marTop w:val="0"/>
      <w:marBottom w:val="0"/>
      <w:divBdr>
        <w:top w:val="none" w:sz="0" w:space="0" w:color="auto"/>
        <w:left w:val="none" w:sz="0" w:space="0" w:color="auto"/>
        <w:bottom w:val="none" w:sz="0" w:space="0" w:color="auto"/>
        <w:right w:val="none" w:sz="0" w:space="0" w:color="auto"/>
      </w:divBdr>
    </w:div>
    <w:div w:id="1124930713">
      <w:bodyDiv w:val="1"/>
      <w:marLeft w:val="0"/>
      <w:marRight w:val="0"/>
      <w:marTop w:val="0"/>
      <w:marBottom w:val="0"/>
      <w:divBdr>
        <w:top w:val="none" w:sz="0" w:space="0" w:color="auto"/>
        <w:left w:val="none" w:sz="0" w:space="0" w:color="auto"/>
        <w:bottom w:val="none" w:sz="0" w:space="0" w:color="auto"/>
        <w:right w:val="none" w:sz="0" w:space="0" w:color="auto"/>
      </w:divBdr>
      <w:divsChild>
        <w:div w:id="950673782">
          <w:marLeft w:val="0"/>
          <w:marRight w:val="0"/>
          <w:marTop w:val="0"/>
          <w:marBottom w:val="0"/>
          <w:divBdr>
            <w:top w:val="none" w:sz="0" w:space="0" w:color="auto"/>
            <w:left w:val="none" w:sz="0" w:space="0" w:color="auto"/>
            <w:bottom w:val="none" w:sz="0" w:space="0" w:color="auto"/>
            <w:right w:val="none" w:sz="0" w:space="0" w:color="auto"/>
          </w:divBdr>
        </w:div>
        <w:div w:id="1189103476">
          <w:marLeft w:val="0"/>
          <w:marRight w:val="0"/>
          <w:marTop w:val="0"/>
          <w:marBottom w:val="0"/>
          <w:divBdr>
            <w:top w:val="none" w:sz="0" w:space="0" w:color="auto"/>
            <w:left w:val="none" w:sz="0" w:space="0" w:color="auto"/>
            <w:bottom w:val="none" w:sz="0" w:space="0" w:color="auto"/>
            <w:right w:val="none" w:sz="0" w:space="0" w:color="auto"/>
          </w:divBdr>
        </w:div>
        <w:div w:id="1499422238">
          <w:marLeft w:val="0"/>
          <w:marRight w:val="0"/>
          <w:marTop w:val="0"/>
          <w:marBottom w:val="0"/>
          <w:divBdr>
            <w:top w:val="none" w:sz="0" w:space="0" w:color="auto"/>
            <w:left w:val="none" w:sz="0" w:space="0" w:color="auto"/>
            <w:bottom w:val="none" w:sz="0" w:space="0" w:color="auto"/>
            <w:right w:val="none" w:sz="0" w:space="0" w:color="auto"/>
          </w:divBdr>
        </w:div>
      </w:divsChild>
    </w:div>
    <w:div w:id="1150513241">
      <w:bodyDiv w:val="1"/>
      <w:marLeft w:val="0"/>
      <w:marRight w:val="0"/>
      <w:marTop w:val="0"/>
      <w:marBottom w:val="0"/>
      <w:divBdr>
        <w:top w:val="none" w:sz="0" w:space="0" w:color="auto"/>
        <w:left w:val="none" w:sz="0" w:space="0" w:color="auto"/>
        <w:bottom w:val="none" w:sz="0" w:space="0" w:color="auto"/>
        <w:right w:val="none" w:sz="0" w:space="0" w:color="auto"/>
      </w:divBdr>
    </w:div>
    <w:div w:id="1159347183">
      <w:bodyDiv w:val="1"/>
      <w:marLeft w:val="0"/>
      <w:marRight w:val="0"/>
      <w:marTop w:val="0"/>
      <w:marBottom w:val="0"/>
      <w:divBdr>
        <w:top w:val="none" w:sz="0" w:space="0" w:color="auto"/>
        <w:left w:val="none" w:sz="0" w:space="0" w:color="auto"/>
        <w:bottom w:val="none" w:sz="0" w:space="0" w:color="auto"/>
        <w:right w:val="none" w:sz="0" w:space="0" w:color="auto"/>
      </w:divBdr>
    </w:div>
    <w:div w:id="1159418762">
      <w:bodyDiv w:val="1"/>
      <w:marLeft w:val="0"/>
      <w:marRight w:val="0"/>
      <w:marTop w:val="0"/>
      <w:marBottom w:val="0"/>
      <w:divBdr>
        <w:top w:val="none" w:sz="0" w:space="0" w:color="auto"/>
        <w:left w:val="none" w:sz="0" w:space="0" w:color="auto"/>
        <w:bottom w:val="none" w:sz="0" w:space="0" w:color="auto"/>
        <w:right w:val="none" w:sz="0" w:space="0" w:color="auto"/>
      </w:divBdr>
    </w:div>
    <w:div w:id="1233584912">
      <w:bodyDiv w:val="1"/>
      <w:marLeft w:val="0"/>
      <w:marRight w:val="0"/>
      <w:marTop w:val="0"/>
      <w:marBottom w:val="0"/>
      <w:divBdr>
        <w:top w:val="none" w:sz="0" w:space="0" w:color="auto"/>
        <w:left w:val="none" w:sz="0" w:space="0" w:color="auto"/>
        <w:bottom w:val="none" w:sz="0" w:space="0" w:color="auto"/>
        <w:right w:val="none" w:sz="0" w:space="0" w:color="auto"/>
      </w:divBdr>
    </w:div>
    <w:div w:id="1339112465">
      <w:bodyDiv w:val="1"/>
      <w:marLeft w:val="0"/>
      <w:marRight w:val="0"/>
      <w:marTop w:val="0"/>
      <w:marBottom w:val="0"/>
      <w:divBdr>
        <w:top w:val="none" w:sz="0" w:space="0" w:color="auto"/>
        <w:left w:val="none" w:sz="0" w:space="0" w:color="auto"/>
        <w:bottom w:val="none" w:sz="0" w:space="0" w:color="auto"/>
        <w:right w:val="none" w:sz="0" w:space="0" w:color="auto"/>
      </w:divBdr>
    </w:div>
    <w:div w:id="1393192042">
      <w:bodyDiv w:val="1"/>
      <w:marLeft w:val="0"/>
      <w:marRight w:val="0"/>
      <w:marTop w:val="0"/>
      <w:marBottom w:val="0"/>
      <w:divBdr>
        <w:top w:val="none" w:sz="0" w:space="0" w:color="auto"/>
        <w:left w:val="none" w:sz="0" w:space="0" w:color="auto"/>
        <w:bottom w:val="none" w:sz="0" w:space="0" w:color="auto"/>
        <w:right w:val="none" w:sz="0" w:space="0" w:color="auto"/>
      </w:divBdr>
    </w:div>
    <w:div w:id="1418553619">
      <w:bodyDiv w:val="1"/>
      <w:marLeft w:val="0"/>
      <w:marRight w:val="0"/>
      <w:marTop w:val="0"/>
      <w:marBottom w:val="0"/>
      <w:divBdr>
        <w:top w:val="none" w:sz="0" w:space="0" w:color="auto"/>
        <w:left w:val="none" w:sz="0" w:space="0" w:color="auto"/>
        <w:bottom w:val="none" w:sz="0" w:space="0" w:color="auto"/>
        <w:right w:val="none" w:sz="0" w:space="0" w:color="auto"/>
      </w:divBdr>
    </w:div>
    <w:div w:id="1612086246">
      <w:bodyDiv w:val="1"/>
      <w:marLeft w:val="0"/>
      <w:marRight w:val="0"/>
      <w:marTop w:val="0"/>
      <w:marBottom w:val="0"/>
      <w:divBdr>
        <w:top w:val="none" w:sz="0" w:space="0" w:color="auto"/>
        <w:left w:val="none" w:sz="0" w:space="0" w:color="auto"/>
        <w:bottom w:val="none" w:sz="0" w:space="0" w:color="auto"/>
        <w:right w:val="none" w:sz="0" w:space="0" w:color="auto"/>
      </w:divBdr>
    </w:div>
    <w:div w:id="1617248414">
      <w:bodyDiv w:val="1"/>
      <w:marLeft w:val="0"/>
      <w:marRight w:val="0"/>
      <w:marTop w:val="0"/>
      <w:marBottom w:val="0"/>
      <w:divBdr>
        <w:top w:val="none" w:sz="0" w:space="0" w:color="auto"/>
        <w:left w:val="none" w:sz="0" w:space="0" w:color="auto"/>
        <w:bottom w:val="none" w:sz="0" w:space="0" w:color="auto"/>
        <w:right w:val="none" w:sz="0" w:space="0" w:color="auto"/>
      </w:divBdr>
    </w:div>
    <w:div w:id="1629124744">
      <w:bodyDiv w:val="1"/>
      <w:marLeft w:val="0"/>
      <w:marRight w:val="0"/>
      <w:marTop w:val="0"/>
      <w:marBottom w:val="0"/>
      <w:divBdr>
        <w:top w:val="none" w:sz="0" w:space="0" w:color="auto"/>
        <w:left w:val="none" w:sz="0" w:space="0" w:color="auto"/>
        <w:bottom w:val="none" w:sz="0" w:space="0" w:color="auto"/>
        <w:right w:val="none" w:sz="0" w:space="0" w:color="auto"/>
      </w:divBdr>
    </w:div>
    <w:div w:id="1651666976">
      <w:bodyDiv w:val="1"/>
      <w:marLeft w:val="0"/>
      <w:marRight w:val="0"/>
      <w:marTop w:val="0"/>
      <w:marBottom w:val="0"/>
      <w:divBdr>
        <w:top w:val="none" w:sz="0" w:space="0" w:color="auto"/>
        <w:left w:val="none" w:sz="0" w:space="0" w:color="auto"/>
        <w:bottom w:val="none" w:sz="0" w:space="0" w:color="auto"/>
        <w:right w:val="none" w:sz="0" w:space="0" w:color="auto"/>
      </w:divBdr>
    </w:div>
    <w:div w:id="1739749117">
      <w:bodyDiv w:val="1"/>
      <w:marLeft w:val="0"/>
      <w:marRight w:val="0"/>
      <w:marTop w:val="0"/>
      <w:marBottom w:val="0"/>
      <w:divBdr>
        <w:top w:val="none" w:sz="0" w:space="0" w:color="auto"/>
        <w:left w:val="none" w:sz="0" w:space="0" w:color="auto"/>
        <w:bottom w:val="none" w:sz="0" w:space="0" w:color="auto"/>
        <w:right w:val="none" w:sz="0" w:space="0" w:color="auto"/>
      </w:divBdr>
    </w:div>
    <w:div w:id="1786267347">
      <w:bodyDiv w:val="1"/>
      <w:marLeft w:val="0"/>
      <w:marRight w:val="0"/>
      <w:marTop w:val="0"/>
      <w:marBottom w:val="0"/>
      <w:divBdr>
        <w:top w:val="none" w:sz="0" w:space="0" w:color="auto"/>
        <w:left w:val="none" w:sz="0" w:space="0" w:color="auto"/>
        <w:bottom w:val="none" w:sz="0" w:space="0" w:color="auto"/>
        <w:right w:val="none" w:sz="0" w:space="0" w:color="auto"/>
      </w:divBdr>
    </w:div>
    <w:div w:id="1956909900">
      <w:bodyDiv w:val="1"/>
      <w:marLeft w:val="0"/>
      <w:marRight w:val="0"/>
      <w:marTop w:val="0"/>
      <w:marBottom w:val="0"/>
      <w:divBdr>
        <w:top w:val="none" w:sz="0" w:space="0" w:color="auto"/>
        <w:left w:val="none" w:sz="0" w:space="0" w:color="auto"/>
        <w:bottom w:val="none" w:sz="0" w:space="0" w:color="auto"/>
        <w:right w:val="none" w:sz="0" w:space="0" w:color="auto"/>
      </w:divBdr>
      <w:divsChild>
        <w:div w:id="911817538">
          <w:marLeft w:val="0"/>
          <w:marRight w:val="0"/>
          <w:marTop w:val="0"/>
          <w:marBottom w:val="0"/>
          <w:divBdr>
            <w:top w:val="none" w:sz="0" w:space="0" w:color="auto"/>
            <w:left w:val="none" w:sz="0" w:space="0" w:color="auto"/>
            <w:bottom w:val="none" w:sz="0" w:space="0" w:color="auto"/>
            <w:right w:val="none" w:sz="0" w:space="0" w:color="auto"/>
          </w:divBdr>
          <w:divsChild>
            <w:div w:id="1789661877">
              <w:marLeft w:val="0"/>
              <w:marRight w:val="0"/>
              <w:marTop w:val="0"/>
              <w:marBottom w:val="0"/>
              <w:divBdr>
                <w:top w:val="none" w:sz="0" w:space="0" w:color="auto"/>
                <w:left w:val="none" w:sz="0" w:space="0" w:color="auto"/>
                <w:bottom w:val="none" w:sz="0" w:space="0" w:color="auto"/>
                <w:right w:val="none" w:sz="0" w:space="0" w:color="auto"/>
              </w:divBdr>
              <w:divsChild>
                <w:div w:id="2134865397">
                  <w:marLeft w:val="0"/>
                  <w:marRight w:val="0"/>
                  <w:marTop w:val="0"/>
                  <w:marBottom w:val="0"/>
                  <w:divBdr>
                    <w:top w:val="none" w:sz="0" w:space="0" w:color="auto"/>
                    <w:left w:val="none" w:sz="0" w:space="0" w:color="auto"/>
                    <w:bottom w:val="none" w:sz="0" w:space="0" w:color="auto"/>
                    <w:right w:val="none" w:sz="0" w:space="0" w:color="auto"/>
                  </w:divBdr>
                  <w:divsChild>
                    <w:div w:id="1200820565">
                      <w:marLeft w:val="0"/>
                      <w:marRight w:val="0"/>
                      <w:marTop w:val="0"/>
                      <w:marBottom w:val="0"/>
                      <w:divBdr>
                        <w:top w:val="none" w:sz="0" w:space="0" w:color="auto"/>
                        <w:left w:val="none" w:sz="0" w:space="0" w:color="auto"/>
                        <w:bottom w:val="none" w:sz="0" w:space="0" w:color="auto"/>
                        <w:right w:val="none" w:sz="0" w:space="0" w:color="auto"/>
                      </w:divBdr>
                      <w:divsChild>
                        <w:div w:id="660891767">
                          <w:marLeft w:val="0"/>
                          <w:marRight w:val="0"/>
                          <w:marTop w:val="0"/>
                          <w:marBottom w:val="0"/>
                          <w:divBdr>
                            <w:top w:val="none" w:sz="0" w:space="0" w:color="auto"/>
                            <w:left w:val="none" w:sz="0" w:space="0" w:color="auto"/>
                            <w:bottom w:val="none" w:sz="0" w:space="0" w:color="auto"/>
                            <w:right w:val="none" w:sz="0" w:space="0" w:color="auto"/>
                          </w:divBdr>
                          <w:divsChild>
                            <w:div w:id="2085028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6883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_rels/footer3.xml.rels><?xml version="1.0" encoding="UTF-8"?>

<Relationships xmlns="http://schemas.openxmlformats.org/package/2006/relationships">
  <Relationship Id="rId1"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43c62c126dfe4d1d851e186dca7e4c4c" PartId="381ea3b9043e46be8fcd2f7477b545d9">
    <Part Type="preambule" DocPartId="24b4e79337df4ce8bd8d2f18ed18ea4a" PartId="bb435633a207454fb656be8a2f491095"/>
    <Part Type="skirsnis" Title="DĖL LIETUVOS RESPUBLIKOS VYRIAUSYBĖS NUTARIMO PROJEKTO" DocPartId="10c184ce006946fc8a1a388bf79f313e" PartId="75e36afd088943e3ab15a5cd9e01ee75">
      <Part Type="punktas" Nr="1" Abbr="1 p." DocPartId="d66d3c2ba08e43bfb44302f3286f5ff1" PartId="45204db91f884254b3bb0098f171fd12"/>
      <Part Type="punktas" Nr="2" Abbr="2 p." DocPartId="37a7b11e70ee4c5f9769963402270548" PartId="5e3c94f1fe9544308104370e000db88f"/>
      <Part Type="punktas" Nr="3" Abbr="3 p." DocPartId="c2b645cee09840658d16b9dc710f474f" PartId="aeef7dd81c4a41fb913b4d2a6c7f7b3d"/>
      <Part Type="punktas" Nr="4" Abbr="4 p." DocPartId="cdb9cbcb5b7e4fc2ae1d6b8ba4ddc032" PartId="10ea70580dd04a15b0e2282c62573d35"/>
    </Part>
  </Part>
</Parts>
</file>

<file path=customXml/itemProps1.xml><?xml version="1.0" encoding="utf-8"?>
<ds:datastoreItem xmlns:ds="http://schemas.openxmlformats.org/officeDocument/2006/customXml" ds:itemID="{EE96C1C8-686B-491A-835E-936A1F84CC3E}">
  <ds:schemaRefs>
    <ds:schemaRef ds:uri="http://schemas.openxmlformats.org/officeDocument/2006/bibliography"/>
  </ds:schemaRefs>
</ds:datastoreItem>
</file>

<file path=customXml/itemProps2.xml><?xml version="1.0" encoding="utf-8"?>
<ds:datastoreItem xmlns:ds="http://schemas.openxmlformats.org/officeDocument/2006/customXml" ds:itemID="{3729C3CE-F75B-4BFF-BC5B-2C224FCB5CD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1104</Words>
  <Characters>7767</Characters>
  <Application>Microsoft Office Word</Application>
  <DocSecurity>4</DocSecurity>
  <Lines>149</Lines>
  <Paragraphs>32</Paragraphs>
  <ScaleCrop>false</ScaleCrop>
  <HeadingPairs>
    <vt:vector size="2" baseType="variant">
      <vt:variant>
        <vt:lpstr>Pavadinimas</vt:lpstr>
      </vt:variant>
      <vt:variant>
        <vt:i4>1</vt:i4>
      </vt:variant>
    </vt:vector>
  </HeadingPairs>
  <TitlesOfParts>
    <vt:vector size="1" baseType="lpstr">
      <vt:lpstr/>
    </vt:vector>
  </TitlesOfParts>
  <Company>LR Sveikatos apsaugos ministerija</Company>
  <LinksUpToDate>false</LinksUpToDate>
  <CharactersWithSpaces>8839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2026-07-10T14:33:00Z</dcterms:created>
  <dc:creator>Oksana Loginovič</dc:creator>
  <lastModifiedBy>adlibuser</lastModifiedBy>
  <lastPrinted>2020-02-04T19:44:00Z</lastPrinted>
  <dcterms:modified xsi:type="dcterms:W3CDTF">2026-07-10T14:33:00Z</dcterms:modified>
  <revision>2</revision>
</coreProperties>
</file>