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fe14f91b5654468ba86490bdd79be45"/>
        <w:lock w:val="sdtLocked"/>
        <w:richText/>
      </w:sdtPr>
      <w:sdtContent>
        <w:p>
          <w:pPr>
            <w:jc w:val="center"/>
            <w:rPr>
              <w:b/>
              <w:bCs/>
              <w:color w:val="000000"/>
              <w:szCs w:val="24"/>
              <w:lang w:eastAsia="lt-LT"/>
            </w:rPr>
          </w:pPr>
          <w:r>
            <w:rPr>
              <w:b/>
              <w:bCs/>
              <w:color w:val="000000"/>
              <w:szCs w:val="24"/>
              <w:lang w:eastAsia="lt-LT"/>
            </w:rPr>
            <w:t>2009 M. LAPKRIČIO 30 D. EUROPOS PARLAMENTO IR TARYBOS DIREKTYVOS 2009/147/EB</w:t>
          </w:r>
        </w:p>
        <w:p>
          <w:pPr>
            <w:jc w:val="center"/>
            <w:rPr>
              <w:b/>
              <w:bCs/>
              <w:color w:val="000000"/>
              <w:szCs w:val="24"/>
              <w:lang w:eastAsia="lt-LT"/>
            </w:rPr>
          </w:pPr>
          <w:r>
            <w:rPr>
              <w:b/>
              <w:bCs/>
              <w:color w:val="000000"/>
              <w:szCs w:val="24"/>
              <w:lang w:eastAsia="lt-LT"/>
            </w:rPr>
            <w:t>DĖL LAUKINIŲ PAUKŠČIŲ APSAUGOS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IR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rPr>
            <w:t xml:space="preserve">LIETUVOS RESPUBLIKOS APLINKOS MINISTRO ĮSAKYMO „DĖL </w:t>
          </w:r>
          <w:r>
            <w:rPr>
              <w:b/>
              <w:szCs w:val="24"/>
              <w:lang w:eastAsia="en-GB"/>
            </w:rPr>
            <w:t xml:space="preserve">LAUKINIŲ GYVŪNŲ NAUDOJIMO TAISYKLIŲ PATVIRTINIMO“ </w:t>
          </w:r>
          <w:r>
            <w:rPr>
              <w:b/>
              <w:szCs w:val="24"/>
              <w:lang w:eastAsia="lt-LT"/>
            </w:rPr>
            <w:t>PROJEKTO</w:t>
          </w:r>
        </w:p>
        <w:p>
          <w:pPr>
            <w:widowControl w:val="0"/>
            <w:suppressAutoHyphens/>
            <w:jc w:val="center"/>
            <w:rPr>
              <w:b/>
              <w:szCs w:val="24"/>
              <w:lang w:eastAsia="ar-SA"/>
            </w:rPr>
          </w:pPr>
          <w:r>
            <w:rPr>
              <w:b/>
              <w:szCs w:val="24"/>
              <w:lang w:eastAsia="ar-SA"/>
            </w:rPr>
            <w:t>ATITIKTIES LENTELĖ</w:t>
          </w:r>
        </w:p>
        <w:p>
          <w:pPr>
            <w:widowControl w:val="0"/>
            <w:suppressAutoHyphens/>
            <w:jc w:val="center"/>
            <w:rPr>
              <w:b/>
              <w:szCs w:val="24"/>
              <w:lang w:eastAsia="ar-SA"/>
            </w:rPr>
          </w:pPr>
        </w:p>
        <w:tbl>
          <w:tblPr>
            <w:tblW w:w="14628" w:type="dxa"/>
            <w:tblInd w:w="1" w:type="dxa"/>
            <w:tblLayout w:type="fixed"/>
            <w:tblCellMar>
              <w:left w:w="0" w:type="dxa"/>
              <w:right w:w="0" w:type="dxa"/>
            </w:tblCellMar>
            <w:tblLook w:val="0000" w:firstRow="0" w:lastRow="0" w:firstColumn="0" w:lastColumn="0" w:noHBand="0" w:noVBand="0"/>
          </w:tblPr>
          <w:tblGrid>
            <w:gridCol w:w="3544"/>
            <w:gridCol w:w="3740"/>
            <w:gridCol w:w="5271"/>
            <w:gridCol w:w="2014"/>
            <w:gridCol w:w="37"/>
            <w:gridCol w:w="22"/>
          </w:tblGrid>
          <w:tr>
            <w:tc>
              <w:tcPr>
                <w:tcW w:w="3544" w:type="dxa"/>
                <w:tcBorders>
                  <w:top w:val="single" w:sz="1" w:space="0" w:color="000000"/>
                  <w:left w:val="single" w:sz="1" w:space="0" w:color="000000"/>
                  <w:bottom w:val="single" w:sz="1" w:space="0" w:color="000000"/>
                </w:tcBorders>
              </w:tcPr>
              <w:p>
                <w:pPr>
                  <w:snapToGrid w:val="0"/>
                  <w:ind w:left="57" w:right="125" w:firstLine="15"/>
                  <w:rPr>
                    <w:b/>
                    <w:szCs w:val="24"/>
                  </w:rPr>
                </w:pPr>
                <w:r>
                  <w:rPr>
                    <w:b/>
                    <w:szCs w:val="24"/>
                  </w:rPr>
                  <w:t xml:space="preserve">2009 m. lapkričio 30 d. Europos parlamento ir Tarybos direktyva </w:t>
                </w:r>
                <w:fldSimple w:instr="HYPERLINK http://eur-lex.europa.eu/legal-content/LIT/TXT/?uri=CELEX:32009L0147&amp;locale=lt \t _blank">
                  <w:r>
                    <w:rPr>
                      <w:b/>
                      <w:szCs w:val="24"/>
                      <w:u w:val="single"/>
                      <w:color w:val="0000FF" w:themeColor="hyperlink"/>
                    </w:rPr>
                    <w:t>2009/147/EB</w:t>
                  </w:r>
                </w:fldSimple>
                <w:r>
                  <w:rPr>
                    <w:b/>
                    <w:szCs w:val="24"/>
                  </w:rPr>
                  <w:t xml:space="preserve"> dėl laukinių paukščių apsaugos</w:t>
                </w:r>
              </w:p>
            </w:tc>
            <w:tc>
              <w:tcPr>
                <w:tcW w:w="9011" w:type="dxa"/>
                <w:gridSpan w:val="2"/>
                <w:tcBorders>
                  <w:top w:val="single" w:sz="1" w:space="0" w:color="000000"/>
                  <w:left w:val="single" w:sz="1" w:space="0" w:color="000000"/>
                  <w:bottom w:val="single" w:sz="1" w:space="0" w:color="000000"/>
                </w:tcBorders>
              </w:tcPr>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81"/>
                  <w:jc w:val="both"/>
                  <w:rPr>
                    <w:b/>
                    <w:bCs/>
                    <w:sz w:val="22"/>
                    <w:szCs w:val="24"/>
                    <w:lang w:eastAsia="ar-SA"/>
                  </w:rPr>
                </w:pPr>
                <w:r>
                  <w:rPr>
                    <w:b/>
                    <w:szCs w:val="24"/>
                  </w:rPr>
                  <w:t xml:space="preserve">Lietuvos Respublikos aplinkos ministro įsakymo „Dėl </w:t>
                </w:r>
                <w:r>
                  <w:rPr>
                    <w:b/>
                    <w:szCs w:val="24"/>
                    <w:lang w:eastAsia="en-GB"/>
                  </w:rPr>
                  <w:t xml:space="preserve">Laukinių gyvūnų naudojimo taisyklių patvirtinimo“ projektas </w:t>
                </w:r>
                <w:r>
                  <w:rPr>
                    <w:b/>
                    <w:bCs/>
                    <w:szCs w:val="24"/>
                  </w:rPr>
                  <w:t>(toliau – Projektas)</w:t>
                </w:r>
              </w:p>
            </w:tc>
            <w:tc>
              <w:tcPr>
                <w:tcW w:w="2073" w:type="dxa"/>
                <w:gridSpan w:val="3"/>
                <w:tcBorders>
                  <w:top w:val="single" w:sz="1" w:space="0" w:color="000000"/>
                  <w:left w:val="single" w:sz="1" w:space="0" w:color="000000"/>
                  <w:bottom w:val="single" w:sz="1" w:space="0" w:color="000000"/>
                  <w:right w:val="single" w:sz="1" w:space="0" w:color="000000"/>
                </w:tcBorders>
              </w:tcPr>
              <w:p>
                <w:pPr>
                  <w:widowControl w:val="0"/>
                  <w:suppressLineNumbers/>
                  <w:suppressAutoHyphens/>
                  <w:snapToGrid w:val="0"/>
                  <w:ind w:left="57" w:right="57"/>
                  <w:jc w:val="center"/>
                  <w:rPr>
                    <w:rFonts w:eastAsia="Lucida Sans Unicode"/>
                    <w:b/>
                    <w:bCs/>
                    <w:iCs/>
                    <w:szCs w:val="24"/>
                  </w:rPr>
                </w:pPr>
                <w:r>
                  <w:rPr>
                    <w:rFonts w:eastAsia="Lucida Sans Unicode"/>
                    <w:b/>
                    <w:bCs/>
                    <w:iCs/>
                    <w:szCs w:val="24"/>
                  </w:rPr>
                  <w:t xml:space="preserve">Direktyvos (kito ES teisės akto) perkėlimo (įgyvendinimo) lygis </w:t>
                </w:r>
              </w:p>
            </w:tc>
          </w:tr>
          <w:tr>
            <w:tc>
              <w:tcPr>
                <w:tcW w:w="3544" w:type="dxa"/>
                <w:tcBorders>
                  <w:left w:val="single" w:sz="1" w:space="0" w:color="000000"/>
                  <w:bottom w:val="single" w:sz="1" w:space="0" w:color="000000"/>
                </w:tcBorders>
              </w:tcPr>
              <w:p>
                <w:pPr>
                  <w:snapToGrid w:val="0"/>
                  <w:spacing w:line="276" w:lineRule="auto"/>
                  <w:ind w:left="57" w:right="125" w:firstLine="15"/>
                  <w:rPr>
                    <w:szCs w:val="24"/>
                  </w:rPr>
                </w:pPr>
              </w:p>
            </w:tc>
            <w:tc>
              <w:tcPr>
                <w:tcW w:w="9011" w:type="dxa"/>
                <w:gridSpan w:val="2"/>
                <w:tcBorders>
                  <w:left w:val="single" w:sz="1" w:space="0" w:color="000000"/>
                  <w:bottom w:val="single" w:sz="1" w:space="0" w:color="000000"/>
                </w:tcBorders>
              </w:tcPr>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szCs w:val="24"/>
                    <w:lang w:eastAsia="lt-LT"/>
                  </w:rPr>
                </w:pPr>
                <w:r>
                  <w:rPr>
                    <w:szCs w:val="24"/>
                    <w:lang w:eastAsia="lt-LT"/>
                  </w:rPr>
                  <w:t>Lietuvos Respublikos saugomų gyvūnų, augalų ir grybų rūšių įstatymas</w:t>
                </w:r>
              </w:p>
              <w:p>
                <w:pPr>
                  <w:rPr>
                    <w:sz w:val="18"/>
                    <w:szCs w:val="18"/>
                  </w:rPr>
                </w:pP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szCs w:val="24"/>
                    <w:lang w:eastAsia="lt-LT"/>
                  </w:rPr>
                </w:pPr>
                <w:r>
                  <w:rPr>
                    <w:szCs w:val="24"/>
                    <w:lang w:eastAsia="lt-LT"/>
                  </w:rPr>
                  <w:t>Lietuvos Respublikos aplinkos ministro</w:t>
                </w:r>
                <w:r>
                  <w:rPr>
                    <w:szCs w:val="24"/>
                    <w:lang w:eastAsia="en-GB"/>
                  </w:rPr>
                  <w:t xml:space="preserve"> </w:t>
                </w:r>
                <w:r>
                  <w:rPr>
                    <w:szCs w:val="24"/>
                    <w:lang w:eastAsia="lt-LT"/>
                  </w:rPr>
                  <w:t xml:space="preserve">2021 m. gruodžio 7 d. įsakymas Nr. D1-713 „Dėl </w:t>
                </w:r>
                <w:r>
                  <w:rPr>
                    <w:szCs w:val="24"/>
                    <w:lang w:eastAsia="en-GB"/>
                  </w:rPr>
                  <w:t xml:space="preserve">Prekybos laukiniais gyvūnais, augalais ir grybais taisyklių patvirtinimo“ </w:t>
                </w:r>
                <w:r>
                  <w:rPr>
                    <w:szCs w:val="24"/>
                    <w:lang w:eastAsia="lt-LT"/>
                  </w:rPr>
                  <w:t>(toliau – Prekybos laukiniais gyvūnais,</w:t>
                </w:r>
                <w:r>
                  <w:rPr>
                    <w:szCs w:val="24"/>
                    <w:lang w:eastAsia="en-GB"/>
                  </w:rPr>
                  <w:t xml:space="preserve"> augalais ir grybais</w:t>
                </w:r>
                <w:r>
                  <w:rPr>
                    <w:szCs w:val="24"/>
                    <w:lang w:eastAsia="lt-LT"/>
                  </w:rPr>
                  <w:t xml:space="preserve"> gyvūnais taisyklės)</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color w:val="000000"/>
                    <w:szCs w:val="24"/>
                  </w:rPr>
                </w:pPr>
                <w:r>
                  <w:rPr>
                    <w:szCs w:val="24"/>
                  </w:rPr>
                  <w:t xml:space="preserve">Lietuvos Respublikos aplinkos ministro ir Valstybinės maisto ir veterinarijos tarnybos direktoriaus 2002 m. birželio 30 d. įsakymą </w:t>
                </w:r>
                <w:r>
                  <w:rPr>
                    <w:iCs/>
                    <w:color w:val="000000"/>
                    <w:szCs w:val="24"/>
                  </w:rPr>
                  <w:t>Nr. D1-533/B1-310</w:t>
                </w:r>
                <w:r>
                  <w:rPr>
                    <w:szCs w:val="24"/>
                  </w:rPr>
                  <w:t xml:space="preserve"> „Dėl </w:t>
                </w:r>
                <w:r>
                  <w:rPr>
                    <w:szCs w:val="24"/>
                    <w:lang w:eastAsia="lt-LT"/>
                  </w:rPr>
                  <w:t>Laukinių gyvūnų naudojimo taisyklių patvirtinimo</w:t>
                </w:r>
                <w:r>
                  <w:rPr>
                    <w:szCs w:val="24"/>
                  </w:rPr>
                  <w:t xml:space="preserve">“ (toliau – </w:t>
                </w:r>
                <w:r>
                  <w:rPr>
                    <w:szCs w:val="24"/>
                    <w:lang w:eastAsia="lt-LT"/>
                  </w:rPr>
                  <w:t>Laukinių gyvūnų naudojimo taisyklės)</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color w:val="000000"/>
                    <w:szCs w:val="24"/>
                  </w:rPr>
                </w:pPr>
                <w:r>
                  <w:rPr>
                    <w:b/>
                    <w:sz w:val="22"/>
                    <w:szCs w:val="22"/>
                  </w:rPr>
                  <w:t xml:space="preserve">Lietuvos Respublikos aplinkos ministro įsakymo „Dėl </w:t>
                </w:r>
                <w:r>
                  <w:rPr>
                    <w:b/>
                    <w:sz w:val="22"/>
                    <w:szCs w:val="22"/>
                    <w:lang w:eastAsia="en-GB"/>
                  </w:rPr>
                  <w:t xml:space="preserve">Prekybos laukiniais gyvūnais, augalais ir grybais taisyklių patvirtinimo“ projektas </w:t>
                </w:r>
                <w:r>
                  <w:rPr>
                    <w:b/>
                    <w:bCs/>
                    <w:sz w:val="22"/>
                    <w:szCs w:val="22"/>
                  </w:rPr>
                  <w:t>(toliau – Projektas)</w:t>
                </w:r>
              </w:p>
              <w:p>
                <w:pPr>
                  <w:keepNext/>
                  <w:keepLines/>
                  <w:suppressAutoHyphens/>
                  <w:snapToGrid w:val="0"/>
                  <w:spacing w:line="100" w:lineRule="atLeast"/>
                  <w:ind w:left="159" w:right="125"/>
                  <w:jc w:val="both"/>
                  <w:rPr>
                    <w:b/>
                    <w:bCs/>
                    <w:color w:val="000000"/>
                    <w:szCs w:val="24"/>
                  </w:rPr>
                </w:pPr>
              </w:p>
            </w:tc>
            <w:tc>
              <w:tcPr>
                <w:tcW w:w="2073" w:type="dxa"/>
                <w:gridSpan w:val="3"/>
                <w:tcBorders>
                  <w:left w:val="single" w:sz="1" w:space="0" w:color="000000"/>
                  <w:bottom w:val="single" w:sz="1" w:space="0" w:color="000000"/>
                  <w:right w:val="single" w:sz="1" w:space="0" w:color="000000"/>
                </w:tcBorders>
              </w:tcPr>
              <w:p>
                <w:pPr>
                  <w:widowControl w:val="0"/>
                  <w:suppressLineNumbers/>
                  <w:suppressAutoHyphens/>
                  <w:snapToGrid w:val="0"/>
                  <w:ind w:left="57" w:right="57"/>
                  <w:jc w:val="center"/>
                  <w:rPr>
                    <w:rFonts w:eastAsia="Lucida Sans Unicode"/>
                    <w:b/>
                    <w:bCs/>
                    <w:iCs/>
                    <w:szCs w:val="24"/>
                  </w:rPr>
                </w:pPr>
              </w:p>
            </w:tc>
          </w:tr>
          <w:tr>
            <w:tc>
              <w:tcPr>
                <w:tcW w:w="3544" w:type="dxa"/>
                <w:tcBorders>
                  <w:left w:val="single" w:sz="1" w:space="0" w:color="000000"/>
                  <w:bottom w:val="single" w:sz="1" w:space="0" w:color="000000"/>
                </w:tcBorders>
              </w:tcPr>
              <w:p>
                <w:pPr>
                  <w:rPr>
                    <w:sz w:val="32"/>
                    <w:szCs w:val="32"/>
                  </w:rPr>
                </w:pPr>
              </w:p>
              <w:p>
                <w:pPr>
                  <w:ind w:left="142" w:right="141"/>
                  <w:jc w:val="center"/>
                  <w:rPr>
                    <w:i/>
                    <w:iCs/>
                    <w:color w:val="000000"/>
                    <w:szCs w:val="24"/>
                    <w:lang w:eastAsia="lt-LT"/>
                  </w:rPr>
                </w:pPr>
                <w:r>
                  <w:rPr>
                    <w:i/>
                    <w:iCs/>
                    <w:color w:val="000000"/>
                    <w:szCs w:val="24"/>
                    <w:lang w:eastAsia="lt-LT"/>
                  </w:rPr>
                  <w:t>6 straipsnis</w:t>
                </w:r>
              </w:p>
              <w:p>
                <w:pPr>
                  <w:rPr>
                    <w:sz w:val="10"/>
                    <w:szCs w:val="10"/>
                  </w:rPr>
                </w:pPr>
              </w:p>
              <w:p>
                <w:pPr>
                  <w:ind w:left="142" w:right="141"/>
                  <w:jc w:val="both"/>
                  <w:rPr>
                    <w:color w:val="000000"/>
                    <w:szCs w:val="24"/>
                    <w:lang w:eastAsia="lt-LT"/>
                  </w:rPr>
                </w:pPr>
                <w:r>
                  <w:rPr>
                    <w:color w:val="000000"/>
                    <w:szCs w:val="24"/>
                    <w:lang w:eastAsia="lt-LT"/>
                  </w:rPr>
                  <w:t xml:space="preserve">1. Nedarant poveikio 2 ir 3 dalių taikymui, valstybės narės draudžia parduoti, pardavimo tikslu transportuoti ar </w:t>
                </w:r>
                <w:r>
                  <w:rPr>
                    <w:b/>
                    <w:color w:val="000000"/>
                    <w:szCs w:val="24"/>
                    <w:lang w:eastAsia="lt-LT"/>
                  </w:rPr>
                  <w:t>laikyti</w:t>
                </w:r>
                <w:r>
                  <w:rPr>
                    <w:color w:val="000000"/>
                    <w:szCs w:val="24"/>
                    <w:lang w:eastAsia="lt-LT"/>
                  </w:rPr>
                  <w:t>, siūlyti parduoti gyvus ar negyvus visų 1 straipsnyje minimų rūšių paukščius ir jų lengvai atpažįstamas dalis arba išvestinius produktus.</w:t>
                </w:r>
              </w:p>
              <w:p>
                <w:pPr>
                  <w:rPr>
                    <w:sz w:val="10"/>
                    <w:szCs w:val="10"/>
                  </w:rPr>
                </w:pPr>
              </w:p>
              <w:p>
                <w:pPr>
                  <w:ind w:left="142" w:right="141"/>
                  <w:jc w:val="both"/>
                  <w:rPr>
                    <w:sz w:val="22"/>
                    <w:szCs w:val="22"/>
                  </w:rPr>
                </w:pPr>
              </w:p>
            </w:tc>
            <w:tc>
              <w:tcPr>
                <w:tcW w:w="9011" w:type="dxa"/>
                <w:gridSpan w:val="2"/>
                <w:tcBorders>
                  <w:left w:val="single" w:sz="1" w:space="0" w:color="000000"/>
                  <w:bottom w:val="single" w:sz="1" w:space="0" w:color="000000"/>
                </w:tcBorders>
              </w:tcPr>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81"/>
                  <w:jc w:val="both"/>
                  <w:rPr>
                    <w:szCs w:val="24"/>
                    <w:lang w:eastAsia="lt-LT"/>
                  </w:rPr>
                </w:pPr>
                <w:r>
                  <w:rPr>
                    <w:szCs w:val="24"/>
                    <w:lang w:eastAsia="lt-LT"/>
                  </w:rPr>
                  <w:t>Lietuvos Respublikos saugomų gyvūnų, augalų ir grybų rūšių įstatymas</w:t>
                </w:r>
              </w:p>
              <w:p>
                <w:pPr>
                  <w:rPr>
                    <w:sz w:val="18"/>
                    <w:szCs w:val="18"/>
                  </w:rPr>
                </w:pP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szCs w:val="24"/>
                    <w:lang w:eastAsia="lt-LT"/>
                  </w:rPr>
                </w:pPr>
                <w:r>
                  <w:rPr>
                    <w:b/>
                    <w:bCs/>
                    <w:szCs w:val="24"/>
                    <w:lang w:eastAsia="lt-LT"/>
                  </w:rPr>
                  <w:t xml:space="preserve">15 straipsnis. </w:t>
                </w:r>
                <w:r>
                  <w:rPr>
                    <w:szCs w:val="24"/>
                    <w:lang w:eastAsia="lt-LT"/>
                  </w:rPr>
                  <w:t>Laukinių paukščių rūšių apsauga</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szCs w:val="24"/>
                    <w:lang w:eastAsia="lt-LT"/>
                  </w:rPr>
                </w:pPr>
                <w:r>
                  <w:rPr>
                    <w:szCs w:val="24"/>
                    <w:lang w:eastAsia="lt-LT"/>
                  </w:rPr>
                  <w:t>1. Draudžiama su laukiniais paukščiais susijusi ši veikla:</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szCs w:val="24"/>
                    <w:lang w:eastAsia="lt-LT"/>
                  </w:rPr>
                </w:pPr>
                <w:r>
                  <w:rPr>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szCs w:val="24"/>
                    <w:lang w:eastAsia="lt-LT"/>
                  </w:rPr>
                </w:pPr>
                <w:r>
                  <w:rPr>
                    <w:szCs w:val="24"/>
                    <w:lang w:eastAsia="lt-LT"/>
                  </w:rPr>
                  <w:t>6) parduoti, pardavimo tikslu transportuoti ar laikyti, siūlyti parduoti gyvus ar negyvus laukinius paukščius, jų lengvai atpažįstamas dalis arba gaminius iš jų.</w:t>
                </w:r>
              </w:p>
              <w:p>
                <w:pPr>
                  <w:tabs>
                    <w:tab w:val="left" w:pos="8931"/>
                  </w:tabs>
                  <w:spacing w:line="276" w:lineRule="auto"/>
                  <w:ind w:left="159" w:right="81"/>
                  <w:jc w:val="both"/>
                  <w:rPr>
                    <w:b/>
                    <w:szCs w:val="24"/>
                  </w:rPr>
                </w:pPr>
              </w:p>
              <w:p>
                <w:pPr>
                  <w:rPr>
                    <w:sz w:val="18"/>
                    <w:szCs w:val="18"/>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jc w:val="both"/>
                  <w:rPr>
                    <w:szCs w:val="24"/>
                  </w:rPr>
                </w:pPr>
                <w:r>
                  <w:rPr>
                    <w:szCs w:val="24"/>
                    <w:lang w:eastAsia="lt-LT"/>
                  </w:rPr>
                  <w:t>Prekybos laukiniais gyvūnais,</w:t>
                </w:r>
                <w:r>
                  <w:rPr>
                    <w:szCs w:val="24"/>
                    <w:lang w:eastAsia="en-GB"/>
                  </w:rPr>
                  <w:t xml:space="preserve"> augalais ir grybais</w:t>
                </w:r>
                <w:r>
                  <w:rPr>
                    <w:szCs w:val="24"/>
                    <w:lang w:eastAsia="lt-LT"/>
                  </w:rPr>
                  <w:t xml:space="preserve"> gyvūnais taisyklės</w:t>
                </w:r>
                <w:r>
                  <w:rPr>
                    <w:szCs w:val="24"/>
                  </w:rPr>
                  <w:t xml:space="preserve"> </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222"/>
                  <w:jc w:val="both"/>
                  <w:rPr>
                    <w:szCs w:val="24"/>
                  </w:rPr>
                </w:pPr>
                <w:r>
                  <w:rPr>
                    <w:szCs w:val="24"/>
                  </w:rPr>
                  <w:t>„8. Draudžiama parduoti, transportuoti ar laikyti norint parduoti, siūlyti parduoti gyvus ar negyvus paukščius, jų lengvai atpažįstamas dalis ir gaminius iš jų, jeigu šie paukščiai priskiriami bet kuriai Europos Sąjungos teritorijoje natūraliai paplitusiai paukščių rūšiai, išskyrus:</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222"/>
                  <w:jc w:val="both"/>
                  <w:rPr>
                    <w:szCs w:val="24"/>
                  </w:rPr>
                </w:pPr>
                <w:r>
                  <w:rPr>
                    <w:szCs w:val="24"/>
                  </w:rPr>
                  <w:t>8.1. kai jie yra gimę ar išsiritę iš kiaušinio nelaisvėje arba kitaip teisėtai įgyti iki 2009 m. rugsėjo 1 d. ir yra Taisyklių 3 punkte nurodyti jų teisėtą įgijimą patvirtinantys dokumentai;“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jc w:val="both"/>
                  <w:rPr>
                    <w:b/>
                    <w:szCs w:val="24"/>
                  </w:rPr>
                </w:pPr>
                <w:r>
                  <w:rPr>
                    <w:b/>
                    <w:szCs w:val="24"/>
                  </w:rPr>
                  <w:t>...</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bCs/>
                    <w:szCs w:val="24"/>
                    <w:lang w:eastAsia="ar-SA"/>
                  </w:rPr>
                </w:pP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szCs w:val="24"/>
                    <w:lang w:eastAsia="lt-LT"/>
                  </w:rPr>
                </w:pPr>
                <w:r>
                  <w:rPr>
                    <w:szCs w:val="24"/>
                    <w:lang w:eastAsia="lt-LT"/>
                  </w:rPr>
                  <w:t>Laukinių gyvūnų naudojimo taisyklės</w:t>
                </w:r>
              </w:p>
              <w:p>
                <w:pPr>
                  <w:ind w:left="142" w:right="222"/>
                  <w:jc w:val="both"/>
                  <w:rPr>
                    <w:szCs w:val="24"/>
                    <w:lang w:eastAsia="lt-LT"/>
                  </w:rPr>
                </w:pPr>
                <w:r>
                  <w:rPr>
                    <w:szCs w:val="24"/>
                    <w:lang w:eastAsia="lt-LT"/>
                  </w:rPr>
                  <w:t>„12. Draudžiama Asmenims nelaisvėje laikyti, veisti, dauginti ir įsigyti laikymui nelaisvėje:</w:t>
                </w:r>
              </w:p>
              <w:p>
                <w:pPr>
                  <w:ind w:left="142" w:right="222"/>
                  <w:jc w:val="both"/>
                  <w:rPr>
                    <w:szCs w:val="24"/>
                    <w:lang w:eastAsia="lt-LT"/>
                  </w:rPr>
                </w:pPr>
                <w:r>
                  <w:rPr>
                    <w:szCs w:val="24"/>
                    <w:lang w:eastAsia="lt-LT"/>
                  </w:rPr>
                  <w:t>12.1. laukinius paukščius rūšių, natūraliai paplitusių Europos Sąjungos valstybių narių Europinėje teritorijoje, kurios pagal Medžioklės Lietuvos Respublikos teritorijoje taisykles nepriskiriamos medžiojamiesiems gyvūnams ir joms nenustatytas leistinas jų medžiojimo terminas, išskyrus atvejus, kai šių rūšių paukščiai buvo paimti iš gamtos vadovaujantis Saugomų rūšių naudojimo tvarkos aprašo reikalavimais arba išsirito iš kiaušinio nelaisvėje, kaip ir jų abu tėvai, arba buvo įgyti vadovaujantis Prekybos laukiniais gyvūnais taisyklėmis ir yra jų teisėtą įsigijimą patvirtinantys dokumentai;“</w:t>
                </w: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bCs/>
                    <w:szCs w:val="24"/>
                    <w:lang w:eastAsia="ar-SA"/>
                  </w:rPr>
                </w:pPr>
              </w:p>
              <w:p>
                <w:pPr>
                  <w:tabs>
                    <w:tab w:val="left" w:pos="142"/>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bCs/>
                    <w:szCs w:val="24"/>
                    <w:lang w:eastAsia="ar-SA"/>
                  </w:rPr>
                </w:pPr>
                <w:r>
                  <w:rPr>
                    <w:b/>
                    <w:bCs/>
                    <w:szCs w:val="24"/>
                    <w:lang w:eastAsia="ar-SA"/>
                  </w:rPr>
                  <w:t>Projektas</w:t>
                </w:r>
              </w:p>
              <w:p>
                <w:pPr>
                  <w:ind w:left="142" w:right="81"/>
                  <w:jc w:val="both"/>
                  <w:rPr>
                    <w:b/>
                    <w:bCs/>
                    <w:szCs w:val="24"/>
                    <w:lang w:eastAsia="ar-SA"/>
                  </w:rPr>
                </w:pPr>
                <w:r>
                  <w:rPr>
                    <w:b/>
                    <w:szCs w:val="24"/>
                    <w:lang w:eastAsia="lt-LT"/>
                  </w:rPr>
                  <w:t>„6. Draudžiama asmenims nelaisvėje laikyti, veisti ir įsigyti laikymui nelaisvėje laukinius paukščius rūšių, natūraliai paplitusių Europos Sąjungos valstybių narių europinėje teritorijoje, kurios pagal Medžioklės Lietuvos Respublikos teritorijoje taisykles, patvirtintas Lietuvos Respublikos aplinkos ministro 2000 m. birželio 27 d. įsakymu Nr. 258 „Dėl Medžioklės Lietuvos Respublikos teritorijoje taisyklių patvirtinimo“ (toliau – Medžioklės Lietuvos Respublikos teritorijoje taisyklės), nepriskiriamos medžiojamiesiems gyvūnams ir joms nenustatytas leistinas jų medžiojimo terminas, išskyrus atvejus, kai šių rūšių paukščiai paimti iš gamtos vadovaujantis Saugomų rūšių naudojimo tvarkos aprašo reikalavimais arba išsirito iš kiaušinio nelaisvėje, kaip ir jų abu tėvai, arba įgyti vadovaujantis Prekybos laukiniais gyvūnais, augalais ir grybais taisyklėmis, patvirtintomis Lietuvos Respublikos aplinkos ministro 2021 m. gruodžio 7 d. įsakymu Nr. D1-713 „Dėl Prekybos laukiniais gyvūnais, augalais ir grybais taisyklių patvirtinimo“ (toliau –Prekybos laukiniais gyvūnais, augalais ir grybais taisyklės), ir yra jų teisėtą įsigijimą patvirtinantys dokumentai, nurodyti Prekybos laukiniais gyvūnais, augalais ir grybais taisyklėse (toliau – teisėtą įsigijimą patvirtinantys dokumentai).“</w:t>
                </w:r>
              </w:p>
            </w:tc>
            <w:tc>
              <w:tcPr>
                <w:tcW w:w="2073" w:type="dxa"/>
                <w:gridSpan w:val="3"/>
                <w:tcBorders>
                  <w:left w:val="single" w:sz="1" w:space="0" w:color="000000"/>
                  <w:bottom w:val="single" w:sz="1" w:space="0" w:color="000000"/>
                  <w:right w:val="single" w:sz="1" w:space="0" w:color="000000"/>
                </w:tcBorders>
              </w:tcPr>
              <w:p>
                <w:pPr>
                  <w:widowControl w:val="0"/>
                  <w:suppressLineNumbers/>
                  <w:suppressAutoHyphens/>
                  <w:snapToGrid w:val="0"/>
                  <w:ind w:left="57" w:right="57"/>
                  <w:jc w:val="both"/>
                  <w:rPr>
                    <w:rFonts w:eastAsia="Lucida Sans Unicode"/>
                    <w:b/>
                    <w:szCs w:val="24"/>
                  </w:rPr>
                </w:pPr>
                <w:r>
                  <w:rPr>
                    <w:rFonts w:eastAsia="Lucida Sans Unicode"/>
                    <w:b/>
                    <w:szCs w:val="24"/>
                  </w:rPr>
                  <w:t>Visiškas</w:t>
                </w:r>
              </w:p>
              <w:p>
                <w:pPr>
                  <w:rPr>
                    <w:sz w:val="10"/>
                    <w:szCs w:val="10"/>
                  </w:rPr>
                </w:pPr>
              </w:p>
              <w:p>
                <w:pPr>
                  <w:widowControl w:val="0"/>
                  <w:suppressLineNumbers/>
                  <w:suppressAutoHyphens/>
                  <w:snapToGrid w:val="0"/>
                  <w:ind w:left="57" w:right="57"/>
                  <w:jc w:val="both"/>
                  <w:rPr>
                    <w:b/>
                    <w:bCs/>
                    <w:szCs w:val="24"/>
                    <w:lang w:eastAsia="ar-SA"/>
                  </w:rPr>
                </w:pPr>
              </w:p>
            </w:tc>
          </w:tr>
          <w:tr>
            <w:trPr>
              <w:gridAfter w:val="1"/>
              <w:wAfter w:w="22" w:type="dxa"/>
            </w:trPr>
            <w:tc>
              <w:tcPr>
                <w:tcW w:w="7284" w:type="dxa"/>
                <w:gridSpan w:val="2"/>
              </w:tcPr>
              <w:p>
                <w:pPr>
                  <w:widowControl w:val="0"/>
                  <w:suppressLineNumbers/>
                  <w:suppressAutoHyphens/>
                  <w:snapToGrid w:val="0"/>
                  <w:jc w:val="both"/>
                  <w:rPr>
                    <w:rFonts w:eastAsia="Lucida Sans Unicode"/>
                    <w:szCs w:val="24"/>
                  </w:rPr>
                </w:pPr>
              </w:p>
            </w:tc>
            <w:tc>
              <w:tcPr>
                <w:tcW w:w="7285" w:type="dxa"/>
                <w:gridSpan w:val="2"/>
              </w:tcPr>
              <w:p>
                <w:pPr>
                  <w:widowControl w:val="0"/>
                  <w:suppressLineNumbers/>
                  <w:suppressAutoHyphens/>
                  <w:snapToGrid w:val="0"/>
                  <w:jc w:val="right"/>
                  <w:rPr>
                    <w:rFonts w:eastAsia="Lucida Sans Unicode"/>
                    <w:szCs w:val="24"/>
                  </w:rPr>
                </w:pPr>
              </w:p>
            </w:tc>
            <w:tc>
              <w:tcPr>
                <w:tcW w:w="37" w:type="dxa"/>
              </w:tcPr>
              <w:p>
                <w:pPr>
                  <w:snapToGrid w:val="0"/>
                  <w:spacing w:line="276" w:lineRule="auto"/>
                  <w:rPr>
                    <w:szCs w:val="24"/>
                  </w:rPr>
                </w:pPr>
              </w:p>
            </w:tc>
          </w:tr>
        </w:tbl>
        <w:p>
          <w:pPr>
            <w:spacing w:line="276" w:lineRule="auto"/>
            <w:jc w:val="both"/>
            <w:rPr>
              <w:szCs w:val="24"/>
            </w:rPr>
          </w:pPr>
        </w:p>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6837" w:h="11905" w:orient="landscape"/>
      <w:pgMar w:top="1134" w:right="1134" w:bottom="1134" w:left="1134"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153"/>
        <w:tab w:val="right" w:pos="8306"/>
      </w:tabs>
      <w:suppressAutoHyphens/>
      <w:rPr>
        <w:rFonts w:eastAsia="Lucida Sans Unicod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153"/>
        <w:tab w:val="right" w:pos="8306"/>
      </w:tabs>
      <w:suppressAutoHyphens/>
      <w:jc w:val="center"/>
      <w:rPr>
        <w:rFonts w:eastAsia="Lucida Sans Unicode"/>
      </w:rPr>
    </w:pPr>
    <w:r>
      <w:rPr>
        <w:rFonts w:eastAsia="Lucida Sans Unicode"/>
      </w:rPr>
      <w:fldChar w:fldCharType="begin"/>
    </w:r>
    <w:r>
      <w:rPr>
        <w:rFonts w:eastAsia="Lucida Sans Unicode"/>
      </w:rPr>
      <w:instrText>PAGE   \* MERGEFORMAT</w:instrText>
    </w:r>
    <w:r>
      <w:rPr>
        <w:rFonts w:eastAsia="Lucida Sans Unicode"/>
      </w:rPr>
      <w:fldChar w:fldCharType="separate"/>
    </w:r>
    <w:r>
      <w:rPr>
        <w:rFonts w:eastAsia="Lucida Sans Unicode"/>
      </w:rPr>
      <w:t>2</w:t>
    </w:r>
    <w:r>
      <w:rPr>
        <w:rFonts w:eastAsia="Lucida Sans Unicode"/>
      </w:rPr>
      <w:fldChar w:fldCharType="end"/>
    </w:r>
  </w:p>
  <w:p>
    <w:pPr>
      <w:widowControl w:val="0"/>
      <w:tabs>
        <w:tab w:val="center" w:pos="4153"/>
        <w:tab w:val="right" w:pos="8306"/>
      </w:tabs>
      <w:suppressAutoHyphens/>
      <w:rPr>
        <w:rFonts w:eastAsia="Lucida Sans Unicod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153"/>
        <w:tab w:val="right" w:pos="8306"/>
      </w:tabs>
      <w:suppressAutoHyphen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5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899E9B-206B-4465-916A-A96315A374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5668">
      <w:bodyDiv w:val="1"/>
      <w:marLeft w:val="0"/>
      <w:marRight w:val="0"/>
      <w:marTop w:val="0"/>
      <w:marBottom w:val="0"/>
      <w:divBdr>
        <w:top w:val="none" w:sz="0" w:space="0" w:color="auto"/>
        <w:left w:val="none" w:sz="0" w:space="0" w:color="auto"/>
        <w:bottom w:val="none" w:sz="0" w:space="0" w:color="auto"/>
        <w:right w:val="none" w:sz="0" w:space="0" w:color="auto"/>
      </w:divBdr>
    </w:div>
    <w:div w:id="78066118">
      <w:bodyDiv w:val="1"/>
      <w:marLeft w:val="390"/>
      <w:marRight w:val="390"/>
      <w:marTop w:val="0"/>
      <w:marBottom w:val="0"/>
      <w:divBdr>
        <w:top w:val="none" w:sz="0" w:space="0" w:color="auto"/>
        <w:left w:val="none" w:sz="0" w:space="0" w:color="auto"/>
        <w:bottom w:val="none" w:sz="0" w:space="0" w:color="auto"/>
        <w:right w:val="none" w:sz="0" w:space="0" w:color="auto"/>
      </w:divBdr>
    </w:div>
    <w:div w:id="333608627">
      <w:bodyDiv w:val="1"/>
      <w:marLeft w:val="0"/>
      <w:marRight w:val="0"/>
      <w:marTop w:val="0"/>
      <w:marBottom w:val="0"/>
      <w:divBdr>
        <w:top w:val="none" w:sz="0" w:space="0" w:color="auto"/>
        <w:left w:val="none" w:sz="0" w:space="0" w:color="auto"/>
        <w:bottom w:val="none" w:sz="0" w:space="0" w:color="auto"/>
        <w:right w:val="none" w:sz="0" w:space="0" w:color="auto"/>
      </w:divBdr>
      <w:divsChild>
        <w:div w:id="1148790130">
          <w:marLeft w:val="0"/>
          <w:marRight w:val="0"/>
          <w:marTop w:val="0"/>
          <w:marBottom w:val="0"/>
          <w:divBdr>
            <w:top w:val="none" w:sz="0" w:space="0" w:color="auto"/>
            <w:left w:val="none" w:sz="0" w:space="0" w:color="auto"/>
            <w:bottom w:val="none" w:sz="0" w:space="0" w:color="auto"/>
            <w:right w:val="none" w:sz="0" w:space="0" w:color="auto"/>
          </w:divBdr>
          <w:divsChild>
            <w:div w:id="189883587">
              <w:marLeft w:val="0"/>
              <w:marRight w:val="0"/>
              <w:marTop w:val="0"/>
              <w:marBottom w:val="0"/>
              <w:divBdr>
                <w:top w:val="none" w:sz="0" w:space="0" w:color="auto"/>
                <w:left w:val="none" w:sz="0" w:space="0" w:color="auto"/>
                <w:bottom w:val="none" w:sz="0" w:space="0" w:color="auto"/>
                <w:right w:val="none" w:sz="0" w:space="0" w:color="auto"/>
              </w:divBdr>
              <w:divsChild>
                <w:div w:id="1991860915">
                  <w:marLeft w:val="0"/>
                  <w:marRight w:val="0"/>
                  <w:marTop w:val="0"/>
                  <w:marBottom w:val="0"/>
                  <w:divBdr>
                    <w:top w:val="none" w:sz="0" w:space="0" w:color="auto"/>
                    <w:left w:val="none" w:sz="0" w:space="0" w:color="auto"/>
                    <w:bottom w:val="none" w:sz="0" w:space="0" w:color="auto"/>
                    <w:right w:val="none" w:sz="0" w:space="0" w:color="auto"/>
                  </w:divBdr>
                  <w:divsChild>
                    <w:div w:id="1429619883">
                      <w:marLeft w:val="0"/>
                      <w:marRight w:val="0"/>
                      <w:marTop w:val="0"/>
                      <w:marBottom w:val="0"/>
                      <w:divBdr>
                        <w:top w:val="none" w:sz="0" w:space="0" w:color="auto"/>
                        <w:left w:val="none" w:sz="0" w:space="0" w:color="auto"/>
                        <w:bottom w:val="none" w:sz="0" w:space="0" w:color="auto"/>
                        <w:right w:val="none" w:sz="0" w:space="0" w:color="auto"/>
                      </w:divBdr>
                      <w:divsChild>
                        <w:div w:id="1831017332">
                          <w:marLeft w:val="0"/>
                          <w:marRight w:val="0"/>
                          <w:marTop w:val="0"/>
                          <w:marBottom w:val="0"/>
                          <w:divBdr>
                            <w:top w:val="none" w:sz="0" w:space="0" w:color="auto"/>
                            <w:left w:val="none" w:sz="0" w:space="0" w:color="auto"/>
                            <w:bottom w:val="none" w:sz="0" w:space="0" w:color="auto"/>
                            <w:right w:val="none" w:sz="0" w:space="0" w:color="auto"/>
                          </w:divBdr>
                        </w:div>
                        <w:div w:id="1045643753">
                          <w:marLeft w:val="0"/>
                          <w:marRight w:val="0"/>
                          <w:marTop w:val="0"/>
                          <w:marBottom w:val="0"/>
                          <w:divBdr>
                            <w:top w:val="none" w:sz="0" w:space="0" w:color="auto"/>
                            <w:left w:val="none" w:sz="0" w:space="0" w:color="auto"/>
                            <w:bottom w:val="none" w:sz="0" w:space="0" w:color="auto"/>
                            <w:right w:val="none" w:sz="0" w:space="0" w:color="auto"/>
                          </w:divBdr>
                        </w:div>
                        <w:div w:id="713892523">
                          <w:marLeft w:val="0"/>
                          <w:marRight w:val="0"/>
                          <w:marTop w:val="0"/>
                          <w:marBottom w:val="0"/>
                          <w:divBdr>
                            <w:top w:val="none" w:sz="0" w:space="0" w:color="auto"/>
                            <w:left w:val="none" w:sz="0" w:space="0" w:color="auto"/>
                            <w:bottom w:val="none" w:sz="0" w:space="0" w:color="auto"/>
                            <w:right w:val="none" w:sz="0" w:space="0" w:color="auto"/>
                          </w:divBdr>
                        </w:div>
                        <w:div w:id="515314269">
                          <w:marLeft w:val="0"/>
                          <w:marRight w:val="0"/>
                          <w:marTop w:val="0"/>
                          <w:marBottom w:val="0"/>
                          <w:divBdr>
                            <w:top w:val="none" w:sz="0" w:space="0" w:color="auto"/>
                            <w:left w:val="none" w:sz="0" w:space="0" w:color="auto"/>
                            <w:bottom w:val="none" w:sz="0" w:space="0" w:color="auto"/>
                            <w:right w:val="none" w:sz="0" w:space="0" w:color="auto"/>
                          </w:divBdr>
                        </w:div>
                        <w:div w:id="2078169484">
                          <w:marLeft w:val="0"/>
                          <w:marRight w:val="0"/>
                          <w:marTop w:val="0"/>
                          <w:marBottom w:val="0"/>
                          <w:divBdr>
                            <w:top w:val="none" w:sz="0" w:space="0" w:color="auto"/>
                            <w:left w:val="none" w:sz="0" w:space="0" w:color="auto"/>
                            <w:bottom w:val="none" w:sz="0" w:space="0" w:color="auto"/>
                            <w:right w:val="none" w:sz="0" w:space="0" w:color="auto"/>
                          </w:divBdr>
                        </w:div>
                        <w:div w:id="494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9793001">
      <w:bodyDiv w:val="1"/>
      <w:marLeft w:val="0"/>
      <w:marRight w:val="0"/>
      <w:marTop w:val="0"/>
      <w:marBottom w:val="0"/>
      <w:divBdr>
        <w:top w:val="none" w:sz="0" w:space="0" w:color="auto"/>
        <w:left w:val="none" w:sz="0" w:space="0" w:color="auto"/>
        <w:bottom w:val="none" w:sz="0" w:space="0" w:color="auto"/>
        <w:right w:val="none" w:sz="0" w:space="0" w:color="auto"/>
      </w:divBdr>
    </w:div>
    <w:div w:id="1731998541">
      <w:bodyDiv w:val="1"/>
      <w:marLeft w:val="390"/>
      <w:marRight w:val="390"/>
      <w:marTop w:val="0"/>
      <w:marBottom w:val="0"/>
      <w:divBdr>
        <w:top w:val="none" w:sz="0" w:space="0" w:color="auto"/>
        <w:left w:val="none" w:sz="0" w:space="0" w:color="auto"/>
        <w:bottom w:val="none" w:sz="0" w:space="0" w:color="auto"/>
        <w:right w:val="none" w:sz="0" w:space="0" w:color="auto"/>
      </w:divBdr>
    </w:div>
    <w:div w:id="2052226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2aa5f10dc77145c489747dcd484886fc" PartId="dfe14f91b5654468ba86490bdd79be45"/>
</Parts>
</file>

<file path=customXml/itemProps1.xml><?xml version="1.0" encoding="utf-8"?>
<ds:datastoreItem xmlns:ds="http://schemas.openxmlformats.org/officeDocument/2006/customXml" ds:itemID="{2B45D994-1976-4548-AEAC-6C19F97CA02B}">
  <ds:schemaRefs>
    <ds:schemaRef ds:uri="http://schemas.openxmlformats.org/officeDocument/2006/bibliography"/>
  </ds:schemaRefs>
</ds:datastoreItem>
</file>

<file path=customXml/itemProps2.xml><?xml version="1.0" encoding="utf-8"?>
<ds:datastoreItem xmlns:ds="http://schemas.openxmlformats.org/officeDocument/2006/customXml" ds:itemID="{FB379EF0-D92A-4276-98A1-3AEE93E004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573</Words>
  <Characters>4054</Characters>
  <Application>Microsoft Office Word</Application>
  <DocSecurity>4</DocSecurity>
  <Lines>96</Lines>
  <Paragraphs>34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4593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creator>k.klovaite</dc:creator>
  <lastModifiedBy>adlibuser</lastModifiedBy>
  <lastPrinted>2021-10-29T06:16:00Z</lastPrinted>
  <dcterms:modified xsi:type="dcterms:W3CDTF">2022-08-31T10:09:00Z</dcterms:modified>
  <revision>2</revision>
</coreProperties>
</file>