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cf03c2dec5c4bb494dc4486806a04d0"/>
        <w:lock w:val="sdtLocked"/>
        <w:richText/>
      </w:sdtPr>
      <w:sdtContent>
        <w:p>
          <w:pPr>
            <w:spacing w:line="276" w:lineRule="auto"/>
            <w:jc w:val="center"/>
            <w:rPr>
              <w:b/>
              <w:bCs/>
              <w:szCs w:val="24"/>
            </w:rPr>
          </w:pPr>
        </w:p>
        <w:p>
          <w:pPr>
            <w:rPr>
              <w:sz w:val="18"/>
              <w:szCs w:val="18"/>
            </w:rPr>
          </w:pPr>
        </w:p>
        <w:p>
          <w:pPr>
            <w:jc w:val="center"/>
            <w:rPr>
              <w:szCs w:val="24"/>
              <w:u w:val="single"/>
            </w:rPr>
          </w:pPr>
          <w:r>
            <w:rPr>
              <w:szCs w:val="24"/>
              <w:u w:val="single"/>
            </w:rPr>
            <w:t>Lietuvos Respublikos aplinkos ministerija</w:t>
          </w:r>
        </w:p>
        <w:p>
          <w:pPr>
            <w:jc w:val="center"/>
            <w:rPr>
              <w:szCs w:val="24"/>
            </w:rPr>
          </w:pPr>
        </w:p>
        <w:p>
          <w:pPr>
            <w:spacing w:line="276" w:lineRule="auto"/>
            <w:jc w:val="center"/>
            <w:rPr>
              <w:szCs w:val="24"/>
            </w:rPr>
          </w:pPr>
          <w:r>
            <w:rPr>
              <w:b/>
              <w:bCs/>
              <w:color w:val="000000"/>
              <w:szCs w:val="24"/>
            </w:rPr>
            <w:t xml:space="preserve">ADMINISTRACINĖS NAŠTOS </w:t>
          </w:r>
          <w:r>
            <w:rPr>
              <w:b/>
              <w:szCs w:val="24"/>
            </w:rPr>
            <w:t>ŪKIO SUBJEKTAMS</w:t>
          </w:r>
          <w:r>
            <w:rPr>
              <w:b/>
              <w:bCs/>
              <w:color w:val="000000"/>
              <w:szCs w:val="24"/>
            </w:rPr>
            <w:t xml:space="preserve"> APSKAIČIAVIMO ATASKAITA</w:t>
          </w:r>
        </w:p>
        <w:p>
          <w:pPr>
            <w:rPr>
              <w:sz w:val="18"/>
              <w:szCs w:val="18"/>
            </w:rPr>
          </w:pPr>
        </w:p>
        <w:p>
          <w:pPr>
            <w:spacing w:line="360" w:lineRule="atLeast"/>
            <w:jc w:val="center"/>
            <w:rPr>
              <w:szCs w:val="24"/>
            </w:rPr>
          </w:pPr>
          <w:r>
            <w:rPr>
              <w:szCs w:val="24"/>
            </w:rPr>
            <w:t>_2022-08-26</w:t>
          </w:r>
          <w:r>
            <w:rPr>
              <w:b/>
              <w:bCs/>
              <w:szCs w:val="24"/>
            </w:rPr>
            <w:t xml:space="preserve"> </w:t>
          </w:r>
          <w:r>
            <w:rPr>
              <w:szCs w:val="24"/>
            </w:rPr>
            <w:t>Nr.__</w:t>
          </w:r>
        </w:p>
        <w:p>
          <w:pPr>
            <w:rPr>
              <w:sz w:val="18"/>
              <w:szCs w:val="18"/>
            </w:rPr>
          </w:pPr>
        </w:p>
        <w:p>
          <w:pPr>
            <w:spacing w:line="276" w:lineRule="auto"/>
            <w:ind w:left="5865" w:firstLine="514"/>
            <w:rPr>
              <w:szCs w:val="24"/>
            </w:rPr>
          </w:pPr>
          <w:r>
            <w:rPr>
              <w:szCs w:val="24"/>
            </w:rPr>
            <w:t>(data)</w:t>
          </w:r>
        </w:p>
        <w:p>
          <w:pPr>
            <w:rPr>
              <w:sz w:val="18"/>
              <w:szCs w:val="18"/>
            </w:rPr>
          </w:pPr>
        </w:p>
        <w:tbl>
          <w:tblPr>
            <w:tblW w:w="14884" w:type="dxa"/>
            <w:tblInd w:w="57" w:type="dxa"/>
            <w:tblLayout w:type="fixed"/>
            <w:tblCellMar>
              <w:left w:w="0" w:type="dxa"/>
              <w:right w:w="0" w:type="dxa"/>
            </w:tblCellMar>
            <w:tblLook w:val="0000" w:firstRow="0" w:lastRow="0" w:firstColumn="0" w:lastColumn="0" w:noHBand="0" w:noVBand="0"/>
          </w:tblPr>
          <w:tblGrid>
            <w:gridCol w:w="560"/>
            <w:gridCol w:w="18"/>
            <w:gridCol w:w="3108"/>
            <w:gridCol w:w="1277"/>
            <w:gridCol w:w="711"/>
            <w:gridCol w:w="542"/>
            <w:gridCol w:w="27"/>
            <w:gridCol w:w="682"/>
            <w:gridCol w:w="563"/>
            <w:gridCol w:w="6"/>
            <w:gridCol w:w="714"/>
            <w:gridCol w:w="991"/>
            <w:gridCol w:w="851"/>
            <w:gridCol w:w="994"/>
            <w:gridCol w:w="991"/>
            <w:gridCol w:w="994"/>
            <w:gridCol w:w="1855"/>
          </w:tblGrid>
          <w:tr>
            <w:trPr>
              <w:cantSplit/>
              <w:trHeight w:val="1074"/>
              <w:tblHeader/>
            </w:trPr>
            <w:tc>
              <w:tcPr>
                <w:tcW w:w="2088" w:type="pct"/>
                <w:gridSpan w:val="6"/>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b/>
                    <w:szCs w:val="24"/>
                  </w:rPr>
                </w:pPr>
                <w:r>
                  <w:rPr>
                    <w:b/>
                    <w:szCs w:val="24"/>
                  </w:rPr>
                  <w:t>Lietuvos Respublikos aplinkos ministro įsakymo „Dėl laukinių gyvūnų naudojimo taisyklių patvirtinimo“ projektas</w:t>
                </w:r>
              </w:p>
            </w:tc>
            <w:tc>
              <w:tcPr>
                <w:tcW w:w="429" w:type="pct"/>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Laikas (valandomis)</w:t>
                </w: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 xml:space="preserve">Vidinis tarifas </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Pridėtinės išlaidos</w:t>
                </w: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 xml:space="preserve">Išorinis tarifas </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Vykdymo veiksmo atlikimo dažnis</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 xml:space="preserve">Ūkio subjektų skaičius </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pacing w:val="-4"/>
                    <w:sz w:val="20"/>
                  </w:rPr>
                  <w:t>Kiekio kintamasis</w:t>
                </w: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Administracinė našta ūkio subjektams</w:t>
                </w:r>
              </w:p>
            </w:tc>
          </w:tr>
          <w:tr>
            <w:trPr>
              <w:cantSplit/>
              <w:trHeight w:val="20"/>
              <w:tblHeader/>
            </w:trPr>
            <w:tc>
              <w:tcPr>
                <w:tcW w:w="1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Eil. Nr.</w:t>
                </w:r>
              </w:p>
            </w:tc>
            <w:tc>
              <w:tcPr>
                <w:tcW w:w="1050"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tiriamas straipsnis (-iai), punktas (-ai)</w:t>
                </w: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vykdymo veiksmas</w:t>
                </w: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tikslinė grupė</w:t>
                </w:r>
              </w:p>
            </w:tc>
            <w:tc>
              <w:tcPr>
                <w:tcW w:w="1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kilmė</w:t>
                </w:r>
              </w:p>
            </w:tc>
            <w:tc>
              <w:tcPr>
                <w:tcW w:w="238"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T</w:t>
                </w:r>
                <w:r>
                  <w:rPr>
                    <w:sz w:val="20"/>
                    <w:vertAlign w:val="subscript"/>
                  </w:rPr>
                  <w:t>v</w:t>
                </w: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T</w:t>
                </w:r>
                <w:r>
                  <w:rPr>
                    <w:sz w:val="20"/>
                    <w:vertAlign w:val="subscript"/>
                  </w:rPr>
                  <w:t>i</w:t>
                </w: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C</w:t>
                </w:r>
                <w:r>
                  <w:rPr>
                    <w:sz w:val="20"/>
                    <w:vertAlign w:val="subscript"/>
                  </w:rPr>
                  <w:t>v</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P</w:t>
                </w: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C</w:t>
                </w:r>
                <w:r>
                  <w:rPr>
                    <w:sz w:val="20"/>
                    <w:vertAlign w:val="subscript"/>
                  </w:rPr>
                  <w:t>i</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F</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L</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Q (F x L)</w:t>
                </w: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spacing w:line="276" w:lineRule="auto"/>
                  <w:jc w:val="center"/>
                  <w:rPr>
                    <w:sz w:val="20"/>
                  </w:rPr>
                </w:pPr>
                <w:r>
                  <w:rPr>
                    <w:sz w:val="20"/>
                  </w:rPr>
                  <w:t>AN</w:t>
                </w:r>
                <w:r>
                  <w:rPr>
                    <w:sz w:val="20"/>
                    <w:vertAlign w:val="subscript"/>
                  </w:rPr>
                  <w:t>vv</w:t>
                </w:r>
                <w:r>
                  <w:rPr>
                    <w:sz w:val="20"/>
                  </w:rPr>
                  <w:t xml:space="preserve"> = (C</w:t>
                </w:r>
                <w:r>
                  <w:rPr>
                    <w:sz w:val="20"/>
                    <w:vertAlign w:val="subscript"/>
                  </w:rPr>
                  <w:t>v</w:t>
                </w:r>
                <w:r>
                  <w:rPr>
                    <w:sz w:val="20"/>
                  </w:rPr>
                  <w:t xml:space="preserve"> x P x T</w:t>
                </w:r>
                <w:r>
                  <w:rPr>
                    <w:sz w:val="20"/>
                    <w:vertAlign w:val="subscript"/>
                  </w:rPr>
                  <w:t>v</w:t>
                </w:r>
                <w:r>
                  <w:rPr>
                    <w:sz w:val="20"/>
                  </w:rPr>
                  <w:t xml:space="preserve"> + C</w:t>
                </w:r>
                <w:r>
                  <w:rPr>
                    <w:sz w:val="20"/>
                    <w:vertAlign w:val="subscript"/>
                  </w:rPr>
                  <w:t>i</w:t>
                </w:r>
                <w:r>
                  <w:rPr>
                    <w:sz w:val="20"/>
                  </w:rPr>
                  <w:t xml:space="preserve"> x T</w:t>
                </w:r>
                <w:r>
                  <w:rPr>
                    <w:sz w:val="20"/>
                    <w:vertAlign w:val="subscript"/>
                  </w:rPr>
                  <w:t>i</w:t>
                </w:r>
                <w:r>
                  <w:rPr>
                    <w:sz w:val="20"/>
                  </w:rPr>
                  <w:t>) x Q</w:t>
                </w:r>
              </w:p>
            </w:tc>
          </w:tr>
          <w:tr>
            <w:trPr>
              <w:cantSplit/>
              <w:trHeight w:val="20"/>
            </w:trPr>
            <w:tc>
              <w:tcPr>
                <w:tcW w:w="5000" w:type="pct"/>
                <w:gridSpan w:val="17"/>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284"/>
                  </w:tabs>
                  <w:spacing w:line="276" w:lineRule="auto"/>
                  <w:jc w:val="both"/>
                  <w:rPr>
                    <w:sz w:val="20"/>
                  </w:rPr>
                </w:pPr>
                <w:r>
                  <w:rPr>
                    <w:sz w:val="20"/>
                  </w:rPr>
                  <w:t>1. Numatomų keisti ir (ar) naikinti galiojančių informacinių įpareigojimų sukeliama administracinė našta (skaičiuojant galiojančių teisės aktų, nustatančių informacinius įpareigojimus, sukeliamą administracinę naštą ūkio subjektams, kai teisės aktai nekeičiami, pildomas tik 1 punktas)</w:t>
                </w:r>
              </w:p>
            </w:tc>
          </w:tr>
          <w:tr>
            <w:trPr>
              <w:cantSplit/>
              <w:trHeight w:val="1751"/>
            </w:trPr>
            <w:tc>
              <w:tcPr>
                <w:tcW w:w="1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1.1.</w:t>
                </w:r>
              </w:p>
            </w:tc>
            <w:tc>
              <w:tcPr>
                <w:tcW w:w="1050"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0"/>
                    <w:lang w:eastAsia="lt-LT"/>
                  </w:rPr>
                </w:pPr>
                <w:r>
                  <w:rPr>
                    <w:b/>
                    <w:bCs/>
                    <w:sz w:val="20"/>
                    <w:lang w:eastAsia="lt-LT"/>
                  </w:rPr>
                  <w:t>Įsakymo projektas</w:t>
                </w:r>
              </w:p>
              <w:p>
                <w:pPr>
                  <w:jc w:val="both"/>
                  <w:rPr>
                    <w:rFonts w:eastAsia="Calibri"/>
                    <w:sz w:val="20"/>
                    <w:lang w:eastAsia="lt-LT"/>
                  </w:rPr>
                </w:pPr>
                <w:r>
                  <w:rPr>
                    <w:rFonts w:eastAsia="Calibri"/>
                    <w:sz w:val="20"/>
                    <w:lang w:eastAsia="lt-LT"/>
                  </w:rPr>
                  <w:t>50. Įrengus aptvarą, voljerą ar kitą statinį aptvėrus miško žemę, ne vėliau kaip per 10 darbo dienų nuo šių statinių įrengimo dienos raštu arba el. paštu informuojamas AAD.</w:t>
                </w:r>
              </w:p>
              <w:p>
                <w:pPr>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2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r>
          <w:tr>
            <w:trPr>
              <w:cantSplit/>
              <w:trHeight w:val="20"/>
            </w:trPr>
            <w:tc>
              <w:tcPr>
                <w:tcW w:w="1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0"/>
                  </w:rPr>
                </w:pPr>
                <w:r>
                  <w:rPr>
                    <w:sz w:val="20"/>
                  </w:rPr>
                  <w:t>A1</w:t>
                </w:r>
              </w:p>
            </w:tc>
            <w:tc>
              <w:tcPr>
                <w:tcW w:w="1050"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both"/>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r>
                  <w:rPr>
                    <w:sz w:val="20"/>
                  </w:rPr>
                  <w:t>Informacijos teikimas aptvėrus (įrengus aptvarus) miško žemę</w:t>
                </w: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r>
                  <w:rPr>
                    <w:sz w:val="20"/>
                  </w:rPr>
                  <w:t>Laukinų gyvūnų nelaisvėje laikytojai</w:t>
                </w: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r>
                  <w:rPr>
                    <w:sz w:val="20"/>
                  </w:rPr>
                  <w:t>Nacionalinė</w:t>
                </w:r>
              </w:p>
            </w:tc>
            <w:tc>
              <w:tcPr>
                <w:tcW w:w="2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r>
                  <w:rPr>
                    <w:sz w:val="20"/>
                  </w:rPr>
                  <w:t>0,3</w:t>
                </w: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r>
                  <w:rPr>
                    <w:sz w:val="20"/>
                  </w:rPr>
                  <w:t>-</w:t>
                </w: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r>
                  <w:rPr>
                    <w:sz w:val="20"/>
                  </w:rPr>
                  <w:t>8,82 Eur</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r>
                  <w:rPr>
                    <w:sz w:val="20"/>
                  </w:rPr>
                  <w:t>1,25</w:t>
                </w: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r>
                  <w:rPr>
                    <w:sz w:val="20"/>
                  </w:rPr>
                  <w:t>-</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r>
                  <w:rPr>
                    <w:sz w:val="20"/>
                  </w:rPr>
                  <w:t>1</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r>
                  <w:rPr>
                    <w:sz w:val="20"/>
                  </w:rPr>
                  <w:t>0</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r>
                  <w:rPr>
                    <w:sz w:val="20"/>
                  </w:rPr>
                  <w:t>0</w:t>
                </w: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r>
                  <w:rPr>
                    <w:sz w:val="20"/>
                  </w:rPr>
                  <w:t>0</w:t>
                </w:r>
              </w:p>
            </w:tc>
          </w:tr>
          <w:tr>
            <w:trPr>
              <w:cantSplit/>
              <w:trHeight w:val="20"/>
            </w:trPr>
            <w:tc>
              <w:tcPr>
                <w:tcW w:w="1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0"/>
                  </w:rPr>
                </w:pPr>
              </w:p>
            </w:tc>
            <w:tc>
              <w:tcPr>
                <w:tcW w:w="1050"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both"/>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tc>
            <w:tc>
              <w:tcPr>
                <w:tcW w:w="2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r>
                  <w:rPr>
                    <w:sz w:val="20"/>
                  </w:rPr>
                  <w:t>AN</w:t>
                </w:r>
                <w:r>
                  <w:rPr>
                    <w:sz w:val="20"/>
                    <w:vertAlign w:val="subscript"/>
                  </w:rPr>
                  <w:t>iį</w:t>
                </w:r>
                <w:r>
                  <w:rPr>
                    <w:sz w:val="20"/>
                  </w:rPr>
                  <w:t>=0</w:t>
                </w:r>
              </w:p>
            </w:tc>
          </w:tr>
          <w:tr>
            <w:trPr>
              <w:cantSplit/>
              <w:trHeight w:val="20"/>
            </w:trPr>
            <w:tc>
              <w:tcPr>
                <w:tcW w:w="1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1.2.</w:t>
                </w:r>
              </w:p>
            </w:tc>
            <w:tc>
              <w:tcPr>
                <w:tcW w:w="1050"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 w:val="20"/>
                    <w:lang w:eastAsia="lt-LT"/>
                  </w:rPr>
                </w:pPr>
                <w:r>
                  <w:rPr>
                    <w:b/>
                    <w:bCs/>
                    <w:sz w:val="20"/>
                    <w:lang w:eastAsia="lt-LT"/>
                  </w:rPr>
                  <w:t>Įsakymo projektas</w:t>
                </w:r>
              </w:p>
              <w:p>
                <w:pPr>
                  <w:jc w:val="both"/>
                  <w:rPr>
                    <w:rFonts w:eastAsia="Calibri"/>
                    <w:bCs/>
                    <w:color w:val="000000"/>
                    <w:sz w:val="20"/>
                  </w:rPr>
                </w:pPr>
                <w:r>
                  <w:rPr>
                    <w:color w:val="000000"/>
                    <w:sz w:val="20"/>
                    <w:lang w:eastAsia="lt-LT"/>
                  </w:rPr>
                  <w:t>73. A</w:t>
                </w:r>
                <w:r>
                  <w:rPr>
                    <w:rFonts w:eastAsia="Calibri"/>
                    <w:color w:val="000000"/>
                    <w:sz w:val="20"/>
                  </w:rPr>
                  <w:t xml:space="preserve">pie saugomos rūšies laukinio gyvūno (žinduolių, paukščių, roplių) nugaišimą </w:t>
                </w:r>
                <w:r>
                  <w:rPr>
                    <w:iCs/>
                    <w:color w:val="000000"/>
                    <w:sz w:val="20"/>
                  </w:rPr>
                  <w:t>nedelsiant, bet ne vėliau kaip kitą dieną, informuojamas AAD: pareigūnai ne vėliau kaip kitą dieną apžiūros aktu įformina saugomos rūšies gyvūno nugaišimo ar žuvimo atvejį,</w:t>
                </w:r>
                <w:r>
                  <w:rPr>
                    <w:color w:val="000000"/>
                    <w:sz w:val="20"/>
                  </w:rPr>
                  <w:t xml:space="preserve"> patikrina nugaišusio gyvūno ženklinimą. Jeigu AAD dėl objektyvių priežasčių kitą dieną nuo pranešimo apie gyvūno nugaišimą gavimo dienos </w:t>
                </w:r>
                <w:r>
                  <w:rPr>
                    <w:iCs/>
                    <w:color w:val="000000"/>
                    <w:sz w:val="20"/>
                  </w:rPr>
                  <w:t xml:space="preserve">apžiūros aktu neįformina saugomos rūšies gyvūno nugaišimo ar žuvimo, </w:t>
                </w:r>
                <w:r>
                  <w:rPr>
                    <w:rFonts w:eastAsia="Calibri"/>
                    <w:color w:val="000000"/>
                    <w:sz w:val="20"/>
                  </w:rPr>
                  <w:t xml:space="preserve">leidimo turėtojas ne vėliau kaip per </w:t>
                </w:r>
                <w:r>
                  <w:rPr>
                    <w:rFonts w:eastAsia="Lucida Sans Unicode"/>
                    <w:color w:val="000000"/>
                    <w:kern w:val="1"/>
                    <w:sz w:val="20"/>
                  </w:rPr>
                  <w:t xml:space="preserve">7 kalendorines dienas </w:t>
                </w:r>
                <w:r>
                  <w:rPr>
                    <w:rFonts w:eastAsia="Calibri"/>
                    <w:color w:val="000000"/>
                    <w:sz w:val="20"/>
                  </w:rPr>
                  <w:t>raštu ar el. paštu informuoja AAD</w:t>
                </w:r>
                <w:r>
                  <w:rPr>
                    <w:rFonts w:eastAsia="Lucida Sans Unicode"/>
                    <w:color w:val="000000"/>
                    <w:kern w:val="1"/>
                    <w:sz w:val="20"/>
                  </w:rPr>
                  <w:t xml:space="preserve"> ir nurodo gyvūno lietuvišką ir lotynišką pavadinimus, lytį, jei žinoma) gimimo ir nugaišimo datas, nugaišimo priežastį (jei žinoma) ir ženklinimo numerį (jei taikoma)</w:t>
                </w:r>
                <w:r>
                  <w:rPr>
                    <w:rFonts w:eastAsia="Calibri"/>
                    <w:color w:val="000000"/>
                    <w:sz w:val="20"/>
                  </w:rPr>
                  <w:t>.</w:t>
                </w:r>
              </w:p>
              <w:p>
                <w:pPr>
                  <w:jc w:val="both"/>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2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r>
          <w:tr>
            <w:trPr>
              <w:cantSplit/>
              <w:trHeight w:val="2948"/>
            </w:trPr>
            <w:tc>
              <w:tcPr>
                <w:tcW w:w="1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B1</w:t>
                </w:r>
              </w:p>
            </w:tc>
            <w:tc>
              <w:tcPr>
                <w:tcW w:w="1050"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20"/>
                  </w:rPr>
                </w:pPr>
              </w:p>
              <w:p>
                <w:pPr>
                  <w:spacing w:line="276" w:lineRule="auto"/>
                  <w:jc w:val="both"/>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0"/>
                  </w:rPr>
                </w:pPr>
                <w:r>
                  <w:rPr>
                    <w:sz w:val="20"/>
                  </w:rPr>
                  <w:t>Informacijos teikimas AAD apie nugaišusį saugomos rūšies gyvūną</w:t>
                </w:r>
              </w:p>
              <w:p>
                <w:pPr>
                  <w:rPr>
                    <w:sz w:val="20"/>
                  </w:rPr>
                </w:pPr>
              </w:p>
              <w:p>
                <w:pPr>
                  <w:spacing w:line="276" w:lineRule="auto"/>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0"/>
                  </w:rPr>
                </w:pPr>
                <w:r>
                  <w:rPr>
                    <w:sz w:val="20"/>
                  </w:rPr>
                  <w:t>Leidimo laikyti nelaisvėje laukinius gyvūnus turėtojas</w:t>
                </w: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r>
                  <w:rPr>
                    <w:sz w:val="20"/>
                  </w:rPr>
                  <w:t>Nacionalinė</w:t>
                </w:r>
              </w:p>
            </w:tc>
            <w:tc>
              <w:tcPr>
                <w:tcW w:w="2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0,3</w:t>
                </w: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w:t>
                </w: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8,82 Eur</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1,25</w:t>
                </w: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1</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0</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0</w:t>
                </w: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0</w:t>
                </w:r>
              </w:p>
            </w:tc>
          </w:tr>
          <w:tr>
            <w:trPr>
              <w:cantSplit/>
              <w:trHeight w:val="20"/>
            </w:trPr>
            <w:tc>
              <w:tcPr>
                <w:tcW w:w="1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center"/>
                  <w:rPr>
                    <w:sz w:val="20"/>
                  </w:rPr>
                </w:pPr>
              </w:p>
            </w:tc>
            <w:tc>
              <w:tcPr>
                <w:tcW w:w="1050"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 w:val="20"/>
                    <w:lang w:eastAsia="lt-LT"/>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color w:val="000000"/>
                    <w:sz w:val="20"/>
                  </w:rPr>
                </w:pPr>
                <w:r>
                  <w:rPr>
                    <w:sz w:val="20"/>
                  </w:rPr>
                  <w:t>AN</w:t>
                </w:r>
                <w:r>
                  <w:rPr>
                    <w:sz w:val="20"/>
                    <w:vertAlign w:val="subscript"/>
                  </w:rPr>
                  <w:t>iį</w:t>
                </w:r>
                <w:r>
                  <w:rPr>
                    <w:sz w:val="20"/>
                  </w:rPr>
                  <w:t>=0</w:t>
                </w:r>
              </w:p>
            </w:tc>
          </w:tr>
          <w:tr>
            <w:trPr>
              <w:cantSplit/>
              <w:trHeight w:val="20"/>
            </w:trPr>
            <w:tc>
              <w:tcPr>
                <w:tcW w:w="1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center"/>
                  <w:rPr>
                    <w:sz w:val="20"/>
                  </w:rPr>
                </w:pPr>
                <w:r>
                  <w:rPr>
                    <w:sz w:val="20"/>
                  </w:rPr>
                  <w:t>1.3.</w:t>
                </w:r>
              </w:p>
            </w:tc>
            <w:tc>
              <w:tcPr>
                <w:tcW w:w="1050"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pacing w:val="-2"/>
                    <w:sz w:val="20"/>
                    <w:lang w:eastAsia="lt-LT"/>
                  </w:rPr>
                </w:pPr>
                <w:r>
                  <w:rPr>
                    <w:b/>
                    <w:color w:val="000000"/>
                    <w:spacing w:val="-2"/>
                    <w:sz w:val="20"/>
                    <w:lang w:eastAsia="lt-LT"/>
                  </w:rPr>
                  <w:t>Įsakymo projektas</w:t>
                </w:r>
              </w:p>
              <w:p>
                <w:pPr>
                  <w:widowControl w:val="0"/>
                  <w:suppressAutoHyphens/>
                  <w:jc w:val="both"/>
                  <w:rPr>
                    <w:sz w:val="20"/>
                  </w:rPr>
                </w:pPr>
                <w:r>
                  <w:rPr>
                    <w:color w:val="000000"/>
                    <w:spacing w:val="-2"/>
                    <w:sz w:val="20"/>
                    <w:lang w:eastAsia="lt-LT"/>
                  </w:rPr>
                  <w:t>126. Apie naujai pažymėtus n</w:t>
                </w:r>
                <w:r>
                  <w:rPr>
                    <w:rFonts w:eastAsia="Calibri"/>
                    <w:sz w:val="20"/>
                    <w:lang w:eastAsia="lt-LT"/>
                  </w:rPr>
                  <w:t xml:space="preserve">uolat nelaisvėje laikomus globos tikslais paimtus iš aplinkos </w:t>
                </w:r>
                <w:r>
                  <w:rPr>
                    <w:color w:val="000000"/>
                    <w:sz w:val="20"/>
                  </w:rPr>
                  <w:t>Saugomoms rūšims nepriskiriamus laukinius žinduolius</w:t>
                </w:r>
                <w:r>
                  <w:rPr>
                    <w:color w:val="000000"/>
                    <w:spacing w:val="-2"/>
                    <w:sz w:val="20"/>
                    <w:lang w:eastAsia="lt-LT"/>
                  </w:rPr>
                  <w:t xml:space="preserve"> asmenys ne vėliau kaip per 15 kalendorinių dienų nuo gyvūnų pažymėjimo dienos turi pranešti </w:t>
                </w:r>
                <w:r>
                  <w:rPr>
                    <w:sz w:val="20"/>
                    <w:lang w:eastAsia="lt-LT"/>
                  </w:rPr>
                  <w:t>AAD</w:t>
                </w:r>
                <w:r>
                  <w:rPr>
                    <w:color w:val="000000"/>
                    <w:spacing w:val="-2"/>
                    <w:sz w:val="20"/>
                    <w:lang w:eastAsia="lt-LT"/>
                  </w:rPr>
                  <w:t xml:space="preserve">. AAD kaupia informaciją apie pažymėtus laukinius gyvūnus (gyvūno rūšis (lietuvių ir lotynų kalbomis), gyvūno amžius (jei žinomas), žymėjimo data,  pažymėjusio veterinarijos specialisto vardas ir pavardė, žymėjimo būdas ir žymeklių įrašai, laukinio gyvūno laikytojo vardas, pavardė, adresas).</w:t>
                </w:r>
                <w:r>
                  <w:rPr>
                    <w:sz w:val="20"/>
                  </w:rPr>
                  <w:t xml:space="preserve"> </w:t>
                </w:r>
              </w:p>
              <w:p>
                <w:pPr>
                  <w:spacing w:line="276" w:lineRule="auto"/>
                  <w:rPr>
                    <w:b/>
                    <w:bCs/>
                    <w:sz w:val="22"/>
                    <w:szCs w:val="22"/>
                    <w:lang w:eastAsia="lt-LT"/>
                  </w:rPr>
                </w:pPr>
                <w:r>
                  <w:rPr>
                    <w:spacing w:val="-2"/>
                    <w:sz w:val="22"/>
                    <w:szCs w:val="22"/>
                    <w:lang w:eastAsia="lt-LT"/>
                  </w:rPr>
                  <w:t>Pastaba: i</w:t>
                </w:r>
                <w:r>
                  <w:rPr>
                    <w:sz w:val="22"/>
                    <w:szCs w:val="22"/>
                  </w:rPr>
                  <w:t>šskyrus Vabzdžiaėdžių (Insectivora), Graužikų (Rodentia) ir Kiškiažvėrių (Logomorpha) būrių žinduolius.</w:t>
                </w: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color w:val="000000"/>
                    <w:sz w:val="20"/>
                  </w:rPr>
                </w:pPr>
              </w:p>
            </w:tc>
          </w:tr>
          <w:tr>
            <w:trPr>
              <w:cantSplit/>
              <w:trHeight w:val="2665"/>
            </w:trPr>
            <w:tc>
              <w:tcPr>
                <w:tcW w:w="1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center"/>
                  <w:rPr>
                    <w:sz w:val="20"/>
                  </w:rPr>
                </w:pPr>
                <w:r>
                  <w:rPr>
                    <w:sz w:val="20"/>
                  </w:rPr>
                  <w:t>C1</w:t>
                </w:r>
              </w:p>
            </w:tc>
            <w:tc>
              <w:tcPr>
                <w:tcW w:w="1050"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 w:val="20"/>
                    <w:lang w:eastAsia="lt-LT"/>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rPr>
                    <w:sz w:val="20"/>
                  </w:rPr>
                </w:pPr>
                <w:r>
                  <w:rPr>
                    <w:sz w:val="20"/>
                  </w:rPr>
                  <w:t xml:space="preserve">Informacijos teikimas AAD apie globos tikslais laikomus laukinius žinduolius </w:t>
                </w: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hanging="58"/>
                  <w:jc w:val="both"/>
                  <w:rPr>
                    <w:sz w:val="20"/>
                  </w:rPr>
                </w:pPr>
                <w:r>
                  <w:rPr>
                    <w:sz w:val="20"/>
                  </w:rPr>
                  <w:t xml:space="preserve">Asmenys globos tikslais laikantys laukinius žinduolius </w:t>
                </w: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r>
                  <w:rPr>
                    <w:sz w:val="20"/>
                  </w:rPr>
                  <w:t>Nacionalinė</w:t>
                </w:r>
              </w:p>
            </w:tc>
            <w:tc>
              <w:tcPr>
                <w:tcW w:w="2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r>
                  <w:rPr>
                    <w:sz w:val="20"/>
                  </w:rPr>
                  <w:t>0,3</w:t>
                </w: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r>
                  <w:rPr>
                    <w:sz w:val="20"/>
                  </w:rPr>
                  <w:t>-</w:t>
                </w: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r>
                  <w:rPr>
                    <w:sz w:val="20"/>
                  </w:rPr>
                  <w:t>8,82 Eur</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r>
                  <w:rPr>
                    <w:sz w:val="20"/>
                  </w:rPr>
                  <w:t>1,25</w:t>
                </w: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r>
                  <w:rPr>
                    <w:sz w:val="20"/>
                  </w:rPr>
                  <w:t>-</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r>
                  <w:rPr>
                    <w:sz w:val="20"/>
                  </w:rPr>
                  <w:t>1</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r>
                  <w:rPr>
                    <w:sz w:val="20"/>
                  </w:rPr>
                  <w:t>0</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r>
                  <w:rPr>
                    <w:sz w:val="20"/>
                  </w:rPr>
                  <w:t>0</w:t>
                </w: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r>
                  <w:rPr>
                    <w:sz w:val="20"/>
                  </w:rPr>
                  <w:t>0</w:t>
                </w:r>
              </w:p>
            </w:tc>
          </w:tr>
          <w:tr>
            <w:trPr>
              <w:cantSplit/>
              <w:trHeight w:val="20"/>
            </w:trPr>
            <w:tc>
              <w:tcPr>
                <w:tcW w:w="1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center"/>
                  <w:rPr>
                    <w:sz w:val="20"/>
                  </w:rPr>
                </w:pPr>
              </w:p>
            </w:tc>
            <w:tc>
              <w:tcPr>
                <w:tcW w:w="1050"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 w:val="20"/>
                    <w:lang w:eastAsia="lt-LT"/>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r>
                  <w:rPr>
                    <w:sz w:val="20"/>
                  </w:rPr>
                  <w:t>AN</w:t>
                </w:r>
                <w:r>
                  <w:rPr>
                    <w:sz w:val="20"/>
                    <w:vertAlign w:val="subscript"/>
                  </w:rPr>
                  <w:t>iį</w:t>
                </w:r>
                <w:r>
                  <w:rPr>
                    <w:sz w:val="20"/>
                  </w:rPr>
                  <w:t>=0</w:t>
                </w:r>
              </w:p>
            </w:tc>
          </w:tr>
          <w:tr>
            <w:trPr>
              <w:cantSplit/>
              <w:trHeight w:val="20"/>
            </w:trPr>
            <w:tc>
              <w:tcPr>
                <w:tcW w:w="18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center"/>
                  <w:rPr>
                    <w:sz w:val="20"/>
                  </w:rPr>
                </w:pPr>
              </w:p>
            </w:tc>
            <w:tc>
              <w:tcPr>
                <w:tcW w:w="1050"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 w:val="20"/>
                    <w:lang w:eastAsia="lt-LT"/>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9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r>
                  <w:rPr>
                    <w:sz w:val="20"/>
                  </w:rPr>
                  <w:t>AN</w:t>
                </w:r>
                <w:r>
                  <w:rPr>
                    <w:sz w:val="20"/>
                    <w:vertAlign w:val="subscript"/>
                  </w:rPr>
                  <w:t>ta</w:t>
                </w:r>
                <w:r>
                  <w:rPr>
                    <w:sz w:val="20"/>
                    <w:vertAlign w:val="superscript"/>
                  </w:rPr>
                  <w:t>G</w:t>
                </w:r>
                <w:r>
                  <w:rPr>
                    <w:sz w:val="20"/>
                  </w:rPr>
                  <w:t xml:space="preserve"> </w:t>
                </w:r>
                <w:r>
                  <w:rPr>
                    <w:color w:val="000000"/>
                    <w:sz w:val="20"/>
                  </w:rPr>
                  <w:t xml:space="preserve">= </w:t>
                </w:r>
                <w:r>
                  <w:rPr>
                    <w:sz w:val="20"/>
                  </w:rPr>
                  <w:t>0</w:t>
                </w:r>
              </w:p>
            </w:tc>
          </w:tr>
          <w:tr>
            <w:trPr>
              <w:cantSplit/>
              <w:trHeight w:val="20"/>
            </w:trPr>
            <w:tc>
              <w:tcPr>
                <w:tcW w:w="5000" w:type="pct"/>
                <w:gridSpan w:val="17"/>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284"/>
                  </w:tabs>
                  <w:spacing w:line="276" w:lineRule="auto"/>
                  <w:jc w:val="both"/>
                  <w:rPr>
                    <w:color w:val="000000"/>
                    <w:sz w:val="20"/>
                  </w:rPr>
                </w:pPr>
                <w:r>
                  <w:rPr>
                    <w:color w:val="000000"/>
                    <w:sz w:val="20"/>
                  </w:rPr>
                  <w:t xml:space="preserve">2. </w:t>
                </w:r>
                <w:r>
                  <w:rPr>
                    <w:sz w:val="20"/>
                  </w:rPr>
                  <w:t>Teisės akto projekto galima sukelti administracinė našta</w:t>
                </w:r>
              </w:p>
            </w:tc>
          </w:tr>
          <w:tr>
            <w:trPr>
              <w:cantSplit/>
              <w:trHeight w:val="20"/>
            </w:trPr>
            <w:tc>
              <w:tcPr>
                <w:tcW w:w="194"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2.1.</w:t>
                </w:r>
              </w:p>
            </w:tc>
            <w:tc>
              <w:tcPr>
                <w:tcW w:w="104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0"/>
                    <w:lang w:eastAsia="lt-LT"/>
                  </w:rPr>
                </w:pPr>
                <w:r>
                  <w:rPr>
                    <w:b/>
                    <w:bCs/>
                    <w:sz w:val="20"/>
                    <w:lang w:eastAsia="lt-LT"/>
                  </w:rPr>
                  <w:t>Įsakymo projektas</w:t>
                </w:r>
              </w:p>
              <w:p>
                <w:pPr>
                  <w:jc w:val="both"/>
                  <w:rPr>
                    <w:rFonts w:eastAsia="Calibri"/>
                    <w:sz w:val="20"/>
                    <w:lang w:eastAsia="lt-LT"/>
                  </w:rPr>
                </w:pPr>
                <w:r>
                  <w:rPr>
                    <w:rFonts w:eastAsia="Calibri"/>
                    <w:sz w:val="20"/>
                    <w:lang w:eastAsia="lt-LT"/>
                  </w:rPr>
                  <w:t>50. Įrengus aptvarą, voljerą ar kitą statinį aptvėrus miško žemę, ne vėliau kaip per 10 darbo dienų nuo šių statinių įrengimo dienos raštu arba el. paštu informuojamas AAD.</w:t>
                </w:r>
              </w:p>
              <w:p>
                <w:pPr>
                  <w:jc w:val="both"/>
                  <w:rPr>
                    <w:b/>
                    <w:bCs/>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1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238"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1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242"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r>
          <w:tr>
            <w:trPr>
              <w:cantSplit/>
              <w:trHeight w:val="20"/>
            </w:trPr>
            <w:tc>
              <w:tcPr>
                <w:tcW w:w="194"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A1</w:t>
                </w:r>
              </w:p>
            </w:tc>
            <w:tc>
              <w:tcPr>
                <w:tcW w:w="104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20"/>
                  </w:rPr>
                </w:pPr>
              </w:p>
              <w:p>
                <w:pPr>
                  <w:spacing w:line="276" w:lineRule="auto"/>
                  <w:jc w:val="both"/>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r>
                  <w:rPr>
                    <w:sz w:val="20"/>
                  </w:rPr>
                  <w:t>Informacijos teikimas aptvėrus (įrengus aptvarus) miško žemę</w:t>
                </w: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r>
                  <w:rPr>
                    <w:sz w:val="20"/>
                  </w:rPr>
                  <w:t>Laukinų gyvūnų nelaisvėje laikytojai</w:t>
                </w:r>
              </w:p>
            </w:tc>
            <w:tc>
              <w:tcPr>
                <w:tcW w:w="1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r>
                  <w:rPr>
                    <w:sz w:val="20"/>
                  </w:rPr>
                  <w:t>Nacionalinė</w:t>
                </w:r>
              </w:p>
            </w:tc>
            <w:tc>
              <w:tcPr>
                <w:tcW w:w="238"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0,3</w:t>
                </w:r>
              </w:p>
            </w:tc>
            <w:tc>
              <w:tcPr>
                <w:tcW w:w="1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w:t>
                </w:r>
              </w:p>
            </w:tc>
            <w:tc>
              <w:tcPr>
                <w:tcW w:w="242"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8,82 Eur</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2,2</w:t>
                </w: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1</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40</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40</w:t>
                </w: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color w:val="000000"/>
                    <w:sz w:val="20"/>
                  </w:rPr>
                </w:pPr>
                <w:r>
                  <w:rPr>
                    <w:color w:val="222222"/>
                    <w:sz w:val="20"/>
                  </w:rPr>
                  <w:t xml:space="preserve">232,8 </w:t>
                </w:r>
              </w:p>
            </w:tc>
          </w:tr>
          <w:tr>
            <w:trPr>
              <w:cantSplit/>
              <w:trHeight w:val="20"/>
            </w:trPr>
            <w:tc>
              <w:tcPr>
                <w:tcW w:w="194"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104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20"/>
                  </w:rPr>
                </w:pPr>
              </w:p>
              <w:p>
                <w:pPr>
                  <w:spacing w:line="276" w:lineRule="auto"/>
                  <w:jc w:val="both"/>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1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238"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1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242"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color w:val="222222"/>
                    <w:sz w:val="20"/>
                    <w:lang w:val="en-US"/>
                  </w:rPr>
                </w:pPr>
                <w:r>
                  <w:rPr>
                    <w:color w:val="222222"/>
                    <w:sz w:val="20"/>
                  </w:rPr>
                  <w:t>AN</w:t>
                </w:r>
                <w:r>
                  <w:rPr>
                    <w:color w:val="222222"/>
                    <w:sz w:val="20"/>
                    <w:vertAlign w:val="subscript"/>
                  </w:rPr>
                  <w:t>iį</w:t>
                </w:r>
                <w:r>
                  <w:rPr>
                    <w:color w:val="222222"/>
                    <w:sz w:val="20"/>
                    <w:lang w:val="en-US"/>
                  </w:rPr>
                  <w:t>=</w:t>
                </w:r>
                <w:r>
                  <w:rPr>
                    <w:color w:val="222222"/>
                    <w:sz w:val="20"/>
                  </w:rPr>
                  <w:t>232,8</w:t>
                </w:r>
              </w:p>
            </w:tc>
          </w:tr>
          <w:tr>
            <w:trPr>
              <w:cantSplit/>
              <w:trHeight w:val="20"/>
            </w:trPr>
            <w:tc>
              <w:tcPr>
                <w:tcW w:w="194"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2.2.</w:t>
                </w:r>
              </w:p>
            </w:tc>
            <w:tc>
              <w:tcPr>
                <w:tcW w:w="104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 w:val="20"/>
                    <w:lang w:eastAsia="lt-LT"/>
                  </w:rPr>
                </w:pPr>
                <w:r>
                  <w:rPr>
                    <w:b/>
                    <w:bCs/>
                    <w:sz w:val="20"/>
                    <w:lang w:eastAsia="lt-LT"/>
                  </w:rPr>
                  <w:t>Įsakymo projektas</w:t>
                </w:r>
              </w:p>
              <w:p>
                <w:pPr>
                  <w:jc w:val="both"/>
                  <w:rPr>
                    <w:rFonts w:eastAsia="Calibri"/>
                    <w:bCs/>
                    <w:color w:val="000000"/>
                    <w:sz w:val="20"/>
                  </w:rPr>
                </w:pPr>
                <w:r>
                  <w:rPr>
                    <w:color w:val="000000"/>
                    <w:sz w:val="20"/>
                    <w:lang w:eastAsia="lt-LT"/>
                  </w:rPr>
                  <w:t>73. A</w:t>
                </w:r>
                <w:r>
                  <w:rPr>
                    <w:rFonts w:eastAsia="Calibri"/>
                    <w:color w:val="000000"/>
                    <w:sz w:val="20"/>
                  </w:rPr>
                  <w:t xml:space="preserve">pie saugomos rūšies laukinio gyvūno (žinduolių, paukščių, roplių) nugaišimą </w:t>
                </w:r>
                <w:r>
                  <w:rPr>
                    <w:iCs/>
                    <w:color w:val="000000"/>
                    <w:sz w:val="20"/>
                  </w:rPr>
                  <w:t>nedelsiant, bet ne vėliau kaip kitą dieną, informuojamas AAD: pareigūnai ne vėliau kaip kitą dieną apžiūros aktu įformina saugomos rūšies gyvūno nugaišimo ar žuvimo atvejį,</w:t>
                </w:r>
                <w:r>
                  <w:rPr>
                    <w:color w:val="000000"/>
                    <w:sz w:val="20"/>
                  </w:rPr>
                  <w:t xml:space="preserve"> patikrina nugaišusio gyvūno ženklinimą. Jeigu AAD dėl objektyvių priežasčių kitą dieną nuo pranešimo apie gyvūno nugaišimą gavimo dienos </w:t>
                </w:r>
                <w:r>
                  <w:rPr>
                    <w:iCs/>
                    <w:color w:val="000000"/>
                    <w:sz w:val="20"/>
                  </w:rPr>
                  <w:t xml:space="preserve">apžiūros aktu neįformina saugomos rūšies gyvūno nugaišimo ar žuvimo, </w:t>
                </w:r>
                <w:r>
                  <w:rPr>
                    <w:rFonts w:eastAsia="Calibri"/>
                    <w:color w:val="000000"/>
                    <w:sz w:val="20"/>
                  </w:rPr>
                  <w:t xml:space="preserve">leidimo turėtojas ne vėliau kaip per </w:t>
                </w:r>
                <w:r>
                  <w:rPr>
                    <w:rFonts w:eastAsia="Lucida Sans Unicode"/>
                    <w:color w:val="000000"/>
                    <w:kern w:val="1"/>
                    <w:sz w:val="20"/>
                  </w:rPr>
                  <w:t xml:space="preserve">7 kalendorines dienas </w:t>
                </w:r>
                <w:r>
                  <w:rPr>
                    <w:rFonts w:eastAsia="Calibri"/>
                    <w:color w:val="000000"/>
                    <w:sz w:val="20"/>
                  </w:rPr>
                  <w:t>raštu ar el. paštu informuoja AAD</w:t>
                </w:r>
                <w:r>
                  <w:rPr>
                    <w:rFonts w:eastAsia="Lucida Sans Unicode"/>
                    <w:color w:val="000000"/>
                    <w:kern w:val="1"/>
                    <w:sz w:val="20"/>
                  </w:rPr>
                  <w:t xml:space="preserve"> ir nurodo gyvūno lietuvišką ir lotynišką pavadinimus, lytį, jei žinoma) gimimo ir nugaišimo datas, nugaišimo priežastį (jei žinoma) ir ženklinimo numerį (jei taikoma)</w:t>
                </w:r>
                <w:r>
                  <w:rPr>
                    <w:rFonts w:eastAsia="Calibri"/>
                    <w:color w:val="000000"/>
                    <w:sz w:val="20"/>
                  </w:rPr>
                  <w:t>.</w:t>
                </w:r>
              </w:p>
              <w:p>
                <w:pPr>
                  <w:jc w:val="both"/>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0"/>
                  </w:rPr>
                </w:pPr>
              </w:p>
            </w:tc>
            <w:tc>
              <w:tcPr>
                <w:tcW w:w="1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p>
            </w:tc>
            <w:tc>
              <w:tcPr>
                <w:tcW w:w="238"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1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242"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color w:val="222222"/>
                    <w:sz w:val="20"/>
                  </w:rPr>
                </w:pPr>
              </w:p>
            </w:tc>
          </w:tr>
          <w:tr>
            <w:trPr>
              <w:cantSplit/>
              <w:trHeight w:val="20"/>
            </w:trPr>
            <w:tc>
              <w:tcPr>
                <w:tcW w:w="194"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B1</w:t>
                </w:r>
              </w:p>
            </w:tc>
            <w:tc>
              <w:tcPr>
                <w:tcW w:w="104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 w:val="20"/>
                    <w:lang w:eastAsia="lt-LT"/>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r>
                  <w:rPr>
                    <w:sz w:val="20"/>
                  </w:rPr>
                  <w:t>Informacijos teikimas AAD apie nugaišusį saugomos rūšies gyvūną</w:t>
                </w: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r>
                  <w:rPr>
                    <w:sz w:val="20"/>
                  </w:rPr>
                  <w:t>Leidimo laikyti nelaisvėje laukinius gyvūnus turėtojas</w:t>
                </w:r>
              </w:p>
              <w:p>
                <w:pPr>
                  <w:rPr>
                    <w:sz w:val="18"/>
                    <w:szCs w:val="18"/>
                  </w:rPr>
                </w:pPr>
              </w:p>
              <w:p>
                <w:pPr>
                  <w:rPr>
                    <w:sz w:val="20"/>
                  </w:rPr>
                </w:pPr>
              </w:p>
            </w:tc>
            <w:tc>
              <w:tcPr>
                <w:tcW w:w="1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sz w:val="20"/>
                  </w:rPr>
                </w:pPr>
                <w:r>
                  <w:rPr>
                    <w:sz w:val="20"/>
                  </w:rPr>
                  <w:t>Nacionalinė</w:t>
                </w:r>
              </w:p>
            </w:tc>
            <w:tc>
              <w:tcPr>
                <w:tcW w:w="238"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0,3</w:t>
                </w:r>
              </w:p>
            </w:tc>
            <w:tc>
              <w:tcPr>
                <w:tcW w:w="1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w:t>
                </w:r>
              </w:p>
            </w:tc>
            <w:tc>
              <w:tcPr>
                <w:tcW w:w="242"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8,82 Eur</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2,2</w:t>
                </w: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1</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60</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jc w:val="center"/>
                  <w:rPr>
                    <w:sz w:val="20"/>
                  </w:rPr>
                </w:pPr>
                <w:r>
                  <w:rPr>
                    <w:sz w:val="20"/>
                  </w:rPr>
                  <w:t>60</w:t>
                </w: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p>
                <w:pPr>
                  <w:spacing w:line="276" w:lineRule="auto"/>
                  <w:rPr>
                    <w:color w:val="222222"/>
                    <w:sz w:val="20"/>
                  </w:rPr>
                </w:pPr>
                <w:r>
                  <w:rPr>
                    <w:color w:val="222222"/>
                    <w:sz w:val="20"/>
                  </w:rPr>
                  <w:t>349,27</w:t>
                </w:r>
              </w:p>
            </w:tc>
          </w:tr>
          <w:tr>
            <w:trPr>
              <w:cantSplit/>
              <w:trHeight w:val="20"/>
            </w:trPr>
            <w:tc>
              <w:tcPr>
                <w:tcW w:w="194"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center"/>
                  <w:rPr>
                    <w:sz w:val="20"/>
                  </w:rPr>
                </w:pPr>
              </w:p>
            </w:tc>
            <w:tc>
              <w:tcPr>
                <w:tcW w:w="104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38"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42"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color w:val="000000"/>
                    <w:sz w:val="20"/>
                  </w:rPr>
                </w:pPr>
                <w:r>
                  <w:rPr>
                    <w:color w:val="000000"/>
                    <w:sz w:val="20"/>
                  </w:rPr>
                  <w:t>AN</w:t>
                </w:r>
                <w:r>
                  <w:rPr>
                    <w:color w:val="000000"/>
                    <w:sz w:val="20"/>
                    <w:vertAlign w:val="subscript"/>
                  </w:rPr>
                  <w:t>iį</w:t>
                </w:r>
                <w:r>
                  <w:rPr>
                    <w:color w:val="000000"/>
                    <w:sz w:val="20"/>
                  </w:rPr>
                  <w:t xml:space="preserve"> = </w:t>
                </w:r>
                <w:r>
                  <w:rPr>
                    <w:color w:val="222222"/>
                    <w:sz w:val="20"/>
                  </w:rPr>
                  <w:t>349,27</w:t>
                </w:r>
              </w:p>
            </w:tc>
          </w:tr>
          <w:tr>
            <w:trPr>
              <w:cantSplit/>
              <w:trHeight w:val="20"/>
            </w:trPr>
            <w:tc>
              <w:tcPr>
                <w:tcW w:w="194"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center"/>
                  <w:rPr>
                    <w:sz w:val="20"/>
                  </w:rPr>
                </w:pPr>
                <w:r>
                  <w:rPr>
                    <w:sz w:val="20"/>
                  </w:rPr>
                  <w:t>2.3.</w:t>
                </w:r>
              </w:p>
            </w:tc>
            <w:tc>
              <w:tcPr>
                <w:tcW w:w="104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pacing w:val="-2"/>
                    <w:sz w:val="20"/>
                    <w:lang w:eastAsia="lt-LT"/>
                  </w:rPr>
                </w:pPr>
                <w:r>
                  <w:rPr>
                    <w:b/>
                    <w:color w:val="000000"/>
                    <w:spacing w:val="-2"/>
                    <w:sz w:val="20"/>
                    <w:lang w:eastAsia="lt-LT"/>
                  </w:rPr>
                  <w:t>Įsakymo projektas</w:t>
                </w:r>
              </w:p>
              <w:p>
                <w:pPr>
                  <w:widowControl w:val="0"/>
                  <w:suppressAutoHyphens/>
                  <w:jc w:val="both"/>
                  <w:rPr>
                    <w:sz w:val="20"/>
                  </w:rPr>
                </w:pPr>
                <w:r>
                  <w:rPr>
                    <w:color w:val="000000"/>
                    <w:spacing w:val="-2"/>
                    <w:sz w:val="20"/>
                    <w:lang w:eastAsia="lt-LT"/>
                  </w:rPr>
                  <w:t>126. Apie naujai pažymėtus n</w:t>
                </w:r>
                <w:r>
                  <w:rPr>
                    <w:rFonts w:eastAsia="Calibri"/>
                    <w:sz w:val="20"/>
                    <w:lang w:eastAsia="lt-LT"/>
                  </w:rPr>
                  <w:t xml:space="preserve">uolat nelaisvėje laikomus globos tikslais paimtus iš aplinkos </w:t>
                </w:r>
                <w:r>
                  <w:rPr>
                    <w:color w:val="000000"/>
                    <w:sz w:val="20"/>
                  </w:rPr>
                  <w:t>Saugomoms rūšims nepriskiriamus laukinius žinduolius</w:t>
                </w:r>
                <w:r>
                  <w:rPr>
                    <w:color w:val="000000"/>
                    <w:spacing w:val="-2"/>
                    <w:sz w:val="20"/>
                    <w:lang w:eastAsia="lt-LT"/>
                  </w:rPr>
                  <w:t xml:space="preserve"> asmenys ne vėliau kaip per 15 kalendorinių dienų nuo gyvūnų pažymėjimo dienos turi pranešti </w:t>
                </w:r>
                <w:r>
                  <w:rPr>
                    <w:sz w:val="20"/>
                    <w:lang w:eastAsia="lt-LT"/>
                  </w:rPr>
                  <w:t>AAD</w:t>
                </w:r>
                <w:r>
                  <w:rPr>
                    <w:color w:val="000000"/>
                    <w:spacing w:val="-2"/>
                    <w:sz w:val="20"/>
                    <w:lang w:eastAsia="lt-LT"/>
                  </w:rPr>
                  <w:t xml:space="preserve">. AAD kaupia informaciją apie pažymėtus laukinius gyvūnus (gyvūno rūšis (lietuvių ir lotynų kalbomis), gyvūno amžius (jei žinomas), žymėjimo data,  pažymėjusio veterinarijos specialisto vardas ir pavardė, žymėjimo būdas ir žymeklių įrašai, laukinio gyvūno laikytojo vardas, pavardė, adresas).</w:t>
                </w:r>
                <w:r>
                  <w:rPr>
                    <w:sz w:val="20"/>
                  </w:rPr>
                  <w:t xml:space="preserve"> </w:t>
                </w:r>
              </w:p>
              <w:p>
                <w:pPr>
                  <w:rPr>
                    <w:sz w:val="20"/>
                  </w:rPr>
                </w:pPr>
                <w:r>
                  <w:rPr>
                    <w:i/>
                    <w:color w:val="000000"/>
                    <w:spacing w:val="-2"/>
                    <w:sz w:val="20"/>
                    <w:lang w:eastAsia="lt-LT"/>
                  </w:rPr>
                  <w:t>Pastaba: i</w:t>
                </w:r>
                <w:r>
                  <w:rPr>
                    <w:i/>
                    <w:color w:val="000000"/>
                    <w:sz w:val="20"/>
                  </w:rPr>
                  <w:t>šskyrus Vabzdžiaėdžių (Insectivora), Graužikų (Rodentia) ir Kiškiažvėrių (Logomorpha) būrių žinduolius.</w:t>
                </w: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38"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42"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color w:val="000000"/>
                    <w:sz w:val="20"/>
                  </w:rPr>
                </w:pPr>
              </w:p>
            </w:tc>
          </w:tr>
          <w:tr>
            <w:trPr>
              <w:cantSplit/>
              <w:trHeight w:val="20"/>
            </w:trPr>
            <w:tc>
              <w:tcPr>
                <w:tcW w:w="194"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center"/>
                  <w:rPr>
                    <w:sz w:val="20"/>
                  </w:rPr>
                </w:pPr>
              </w:p>
            </w:tc>
            <w:tc>
              <w:tcPr>
                <w:tcW w:w="104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0"/>
                  </w:rPr>
                </w:pPr>
                <w:r>
                  <w:rPr>
                    <w:sz w:val="20"/>
                  </w:rPr>
                  <w:t>Informacijos teikimas AAD apie globos tikslais laikomus laukinius žinduolius</w:t>
                </w: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0"/>
                  </w:rPr>
                </w:pPr>
                <w:r>
                  <w:rPr>
                    <w:sz w:val="20"/>
                  </w:rPr>
                  <w:t>Asmenys globos tikslais nuolatos laikantys laukinius žinduolius</w:t>
                </w:r>
              </w:p>
            </w:tc>
            <w:tc>
              <w:tcPr>
                <w:tcW w:w="1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r>
                  <w:rPr>
                    <w:sz w:val="20"/>
                  </w:rPr>
                  <w:t>Nacionalinė</w:t>
                </w:r>
              </w:p>
            </w:tc>
            <w:tc>
              <w:tcPr>
                <w:tcW w:w="238"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r>
                  <w:rPr>
                    <w:sz w:val="20"/>
                  </w:rPr>
                  <w:t>0,3</w:t>
                </w:r>
              </w:p>
            </w:tc>
            <w:tc>
              <w:tcPr>
                <w:tcW w:w="1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r>
                  <w:rPr>
                    <w:sz w:val="20"/>
                  </w:rPr>
                  <w:t>-</w:t>
                </w:r>
              </w:p>
            </w:tc>
            <w:tc>
              <w:tcPr>
                <w:tcW w:w="242"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r>
                  <w:rPr>
                    <w:sz w:val="20"/>
                  </w:rPr>
                  <w:t>8,82</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r>
                  <w:rPr>
                    <w:sz w:val="20"/>
                  </w:rPr>
                  <w:t>-</w:t>
                </w: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r>
                  <w:rPr>
                    <w:sz w:val="20"/>
                  </w:rPr>
                  <w:t>-</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r>
                  <w:rPr>
                    <w:sz w:val="20"/>
                  </w:rPr>
                  <w:t>1</w:t>
                </w: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r>
                  <w:rPr>
                    <w:sz w:val="20"/>
                  </w:rPr>
                  <w:t>50</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color w:val="000000"/>
                    <w:sz w:val="20"/>
                  </w:rPr>
                </w:pPr>
                <w:r>
                  <w:rPr>
                    <w:color w:val="000000"/>
                    <w:sz w:val="20"/>
                  </w:rPr>
                  <w:t>132,3</w:t>
                </w:r>
              </w:p>
            </w:tc>
          </w:tr>
          <w:tr>
            <w:trPr>
              <w:cantSplit/>
              <w:trHeight w:val="20"/>
            </w:trPr>
            <w:tc>
              <w:tcPr>
                <w:tcW w:w="194"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center"/>
                  <w:rPr>
                    <w:sz w:val="20"/>
                  </w:rPr>
                </w:pPr>
              </w:p>
            </w:tc>
            <w:tc>
              <w:tcPr>
                <w:tcW w:w="104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38"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42"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color w:val="000000"/>
                    <w:sz w:val="20"/>
                  </w:rPr>
                </w:pPr>
                <w:r>
                  <w:rPr>
                    <w:color w:val="000000"/>
                    <w:sz w:val="20"/>
                  </w:rPr>
                  <w:t>AN</w:t>
                </w:r>
                <w:r>
                  <w:rPr>
                    <w:color w:val="000000"/>
                    <w:sz w:val="20"/>
                    <w:vertAlign w:val="subscript"/>
                  </w:rPr>
                  <w:t>iį</w:t>
                </w:r>
                <w:r>
                  <w:rPr>
                    <w:color w:val="000000"/>
                    <w:sz w:val="20"/>
                  </w:rPr>
                  <w:t xml:space="preserve"> = 132,3</w:t>
                </w:r>
              </w:p>
            </w:tc>
          </w:tr>
          <w:tr>
            <w:trPr>
              <w:cantSplit/>
              <w:trHeight w:val="20"/>
            </w:trPr>
            <w:tc>
              <w:tcPr>
                <w:tcW w:w="194"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04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42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2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38"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18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42"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2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ind w:firstLine="53"/>
                  <w:jc w:val="both"/>
                  <w:rPr>
                    <w:sz w:val="20"/>
                  </w:rPr>
                </w:pP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color w:val="000000"/>
                    <w:sz w:val="20"/>
                  </w:rPr>
                </w:pPr>
                <w:r>
                  <w:rPr>
                    <w:sz w:val="20"/>
                  </w:rPr>
                  <w:t>AN</w:t>
                </w:r>
                <w:r>
                  <w:rPr>
                    <w:sz w:val="20"/>
                    <w:vertAlign w:val="subscript"/>
                  </w:rPr>
                  <w:t>ta</w:t>
                </w:r>
                <w:r>
                  <w:rPr>
                    <w:sz w:val="20"/>
                    <w:vertAlign w:val="superscript"/>
                  </w:rPr>
                  <w:t>N</w:t>
                </w:r>
                <w:r>
                  <w:rPr>
                    <w:color w:val="000000"/>
                    <w:sz w:val="20"/>
                  </w:rPr>
                  <w:t xml:space="preserve"> =714,37</w:t>
                </w:r>
              </w:p>
            </w:tc>
          </w:tr>
          <w:tr>
            <w:trPr>
              <w:cantSplit/>
              <w:trHeight w:val="106"/>
            </w:trPr>
            <w:tc>
              <w:tcPr>
                <w:tcW w:w="5000" w:type="pct"/>
                <w:gridSpan w:val="17"/>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b/>
                    <w:sz w:val="20"/>
                  </w:rPr>
                </w:pPr>
                <w:r>
                  <w:rPr>
                    <w:b/>
                    <w:sz w:val="20"/>
                  </w:rPr>
                  <w:t>Teisės akto projekto sukeliamas numatomas administracinės naštos pokytis (</w:t>
                </w:r>
                <w:r>
                  <w:rPr>
                    <w:b/>
                    <w:color w:val="000000"/>
                    <w:sz w:val="20"/>
                  </w:rPr>
                  <w:t>Lietuvos Respublikos piniginiais vienetais</w:t>
                </w:r>
                <w:r>
                  <w:rPr>
                    <w:b/>
                    <w:sz w:val="20"/>
                  </w:rPr>
                  <w:t xml:space="preserve">) </w:t>
                </w:r>
              </w:p>
            </w:tc>
          </w:tr>
          <w:tr>
            <w:trPr>
              <w:cantSplit/>
              <w:trHeight w:val="20"/>
            </w:trPr>
            <w:tc>
              <w:tcPr>
                <w:tcW w:w="4377" w:type="pct"/>
                <w:gridSpan w:val="16"/>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b/>
                    <w:sz w:val="20"/>
                  </w:rPr>
                </w:pPr>
                <w:r>
                  <w:rPr>
                    <w:b/>
                    <w:sz w:val="20"/>
                  </w:rPr>
                  <w:t>AN</w:t>
                </w:r>
                <w:r>
                  <w:rPr>
                    <w:b/>
                    <w:sz w:val="20"/>
                    <w:vertAlign w:val="superscript"/>
                  </w:rPr>
                  <w:t>P</w:t>
                </w:r>
                <w:r>
                  <w:rPr>
                    <w:b/>
                    <w:sz w:val="20"/>
                  </w:rPr>
                  <w:t xml:space="preserve"> = AN</w:t>
                </w:r>
                <w:r>
                  <w:rPr>
                    <w:b/>
                    <w:sz w:val="20"/>
                    <w:vertAlign w:val="subscript"/>
                  </w:rPr>
                  <w:t>ta</w:t>
                </w:r>
                <w:r>
                  <w:rPr>
                    <w:b/>
                    <w:sz w:val="20"/>
                    <w:vertAlign w:val="superscript"/>
                  </w:rPr>
                  <w:t>N</w:t>
                </w:r>
                <w:r>
                  <w:rPr>
                    <w:b/>
                    <w:sz w:val="20"/>
                  </w:rPr>
                  <w:t xml:space="preserve"> - AN</w:t>
                </w:r>
                <w:r>
                  <w:rPr>
                    <w:b/>
                    <w:sz w:val="20"/>
                    <w:vertAlign w:val="subscript"/>
                  </w:rPr>
                  <w:t>ta</w:t>
                </w:r>
                <w:r>
                  <w:rPr>
                    <w:b/>
                    <w:sz w:val="20"/>
                    <w:vertAlign w:val="superscript"/>
                  </w:rPr>
                  <w:t>G</w:t>
                </w:r>
                <w:r>
                  <w:rPr>
                    <w:b/>
                    <w:sz w:val="20"/>
                  </w:rPr>
                  <w:t xml:space="preserve">      </w:t>
                </w:r>
                <w:r>
                  <w:rPr>
                    <w:i/>
                    <w:sz w:val="20"/>
                  </w:rPr>
                  <w:t>Pastaba. Neigiamas skirtumas rašomas skliaustuose.</w:t>
                </w:r>
                <w:r>
                  <w:rPr>
                    <w:b/>
                    <w:sz w:val="20"/>
                  </w:rPr>
                  <w:t xml:space="preserve"> </w:t>
                </w:r>
              </w:p>
            </w:tc>
            <w:tc>
              <w:tcPr>
                <w:tcW w:w="62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b/>
                    <w:sz w:val="20"/>
                  </w:rPr>
                </w:pPr>
                <w:r>
                  <w:rPr>
                    <w:color w:val="000000"/>
                    <w:sz w:val="20"/>
                  </w:rPr>
                  <w:t>714,37</w:t>
                </w:r>
                <w:r>
                  <w:rPr>
                    <w:color w:val="222222"/>
                    <w:sz w:val="20"/>
                  </w:rPr>
                  <w:t>-</w:t>
                </w:r>
                <w:r>
                  <w:rPr>
                    <w:sz w:val="20"/>
                  </w:rPr>
                  <w:t>0</w:t>
                </w:r>
                <w:r>
                  <w:rPr>
                    <w:b/>
                    <w:color w:val="222222"/>
                    <w:sz w:val="20"/>
                  </w:rPr>
                  <w:t>=</w:t>
                </w:r>
                <w:r>
                  <w:rPr>
                    <w:b/>
                    <w:color w:val="000000"/>
                    <w:sz w:val="20"/>
                  </w:rPr>
                  <w:t>714,37</w:t>
                </w:r>
              </w:p>
            </w:tc>
          </w:tr>
        </w:tbl>
        <w:p>
          <w:pPr>
            <w:spacing w:line="276" w:lineRule="auto"/>
            <w:jc w:val="both"/>
            <w:rPr>
              <w:color w:val="000000"/>
              <w:sz w:val="20"/>
            </w:rPr>
          </w:pPr>
        </w:p>
        <w:p>
          <w:pPr>
            <w:rPr>
              <w:sz w:val="18"/>
              <w:szCs w:val="18"/>
            </w:rPr>
          </w:pPr>
        </w:p>
        <w:p>
          <w:pPr>
            <w:spacing w:line="276" w:lineRule="auto"/>
            <w:jc w:val="both"/>
            <w:rPr>
              <w:color w:val="000000"/>
              <w:sz w:val="20"/>
            </w:rPr>
          </w:pPr>
        </w:p>
        <w:p>
          <w:pPr>
            <w:rPr>
              <w:sz w:val="18"/>
              <w:szCs w:val="18"/>
            </w:rPr>
          </w:pPr>
        </w:p>
        <w:sdt>
          <w:sdtPr>
            <w:alias w:val="signatura"/>
            <w:tag w:val="part_e710235b5af149fab0a4dd8e572badcf"/>
            <w:lock w:val="sdtLocked"/>
            <w:richText/>
          </w:sdtPr>
          <w:sdtContent>
            <w:p>
              <w:pPr>
                <w:jc w:val="both"/>
                <w:rPr>
                  <w:color w:val="000000"/>
                  <w:szCs w:val="24"/>
                </w:rPr>
              </w:pPr>
              <w:r>
                <w:rPr>
                  <w:color w:val="000000"/>
                  <w:szCs w:val="24"/>
                </w:rPr>
                <w:t>Ataskaitą užpildė</w:t>
              </w:r>
            </w:p>
            <w:p>
              <w:pPr>
                <w:jc w:val="both"/>
                <w:rPr>
                  <w:szCs w:val="24"/>
                </w:rPr>
              </w:pPr>
              <w:r>
                <w:rPr>
                  <w:color w:val="000000"/>
                  <w:szCs w:val="24"/>
                </w:rPr>
                <w:t>Gamtos apsaugos ir miškų politinės grupės</w:t>
              </w:r>
            </w:p>
            <w:p>
              <w:pPr>
                <w:jc w:val="both"/>
                <w:rPr>
                  <w:szCs w:val="24"/>
                </w:rPr>
              </w:pPr>
              <w:r>
                <w:rPr>
                  <w:szCs w:val="24"/>
                </w:rPr>
                <w:t xml:space="preserve">vyriausioji specialistė  </w:t>
                <w:tab/>
                <w:tab/>
                <w:tab/>
                <w:t xml:space="preserve">    _________________________________                                    </w:t>
                <w:tab/>
              </w:r>
              <w:r>
                <w:rPr>
                  <w:szCs w:val="24"/>
                  <w:u w:val="single"/>
                </w:rPr>
                <w:t>Kristina Klovaitė</w:t>
              </w:r>
            </w:p>
            <w:p>
              <w:pPr>
                <w:tabs>
                  <w:tab w:val="left" w:pos="7230"/>
                  <w:tab w:val="left" w:pos="10206"/>
                  <w:tab w:val="left" w:pos="10915"/>
                  <w:tab w:val="left" w:pos="11199"/>
                </w:tabs>
                <w:spacing w:line="276" w:lineRule="auto"/>
                <w:ind w:firstLine="567"/>
                <w:jc w:val="both"/>
                <w:rPr>
                  <w:sz w:val="20"/>
                </w:rPr>
              </w:pPr>
              <w:r>
                <w:rPr>
                  <w:szCs w:val="24"/>
                </w:rPr>
                <w:t xml:space="preserve">(pareigų pavadinimas)                                                                 </w:t>
                <w:tab/>
                <w:t xml:space="preserve">(parašas)                                        </w:t>
                <w:tab/>
                <w:t xml:space="preserve">      (vardas ir pavardė) </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pgMar w:top="1418" w:right="1701" w:bottom="709"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43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E7C9429-B4D1-4A18-8B29-550FD12490A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288c95e9c14d208fa82fd5598efe23" PartId="ccf03c2dec5c4bb494dc4486806a04d0">
    <Part Type="signatura" DocPartId="c263682c209146e281e37cce1d738cd6" PartId="e710235b5af149fab0a4dd8e572badcf"/>
  </Part>
</Parts>
</file>

<file path=customXml/itemProps1.xml><?xml version="1.0" encoding="utf-8"?>
<ds:datastoreItem xmlns:ds="http://schemas.openxmlformats.org/officeDocument/2006/customXml" ds:itemID="{86DBAF87-A864-41B1-A705-54141FCCE4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829</Words>
  <Characters>5268</Characters>
  <Application>Microsoft Office Word</Application>
  <DocSecurity>4</DocSecurity>
  <Lines>658</Lines>
  <Paragraphs>174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5923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2022-08-31T10:09:00Z</dcterms:created>
  <dc:creator>k.klovaite</dc:creator>
  <lastModifiedBy>adlibuser</lastModifiedBy>
  <lastPrinted>2018-08-10T09:57:00Z</lastPrinted>
  <dcterms:modified xsi:type="dcterms:W3CDTF">2022-08-31T10:09:00Z</dcterms:modified>
  <revision>2</revision>
</coreProperties>
</file>