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r."/>
        <w:tag w:val="part_82891b10944a472d94fcb218f0cdee9c"/>
        <w:lock w:val="sdtLocked"/>
        <w:richText/>
      </w:sdtPr>
      <w:sdtContent>
        <w:p w14:paraId="60940064" w14:textId="77777777">
          <w:pPr>
            <w:suppressAutoHyphens/>
            <w:spacing w:line="276" w:lineRule="auto"/>
            <w:ind w:left="9072"/>
            <w:textAlignment w:val="baseline"/>
          </w:pPr>
          <w:r>
            <w:rPr>
              <w:szCs w:val="24"/>
              <w:lang w:eastAsia="lt-LT"/>
            </w:rPr>
            <w:t>Teisės aktų projektų antikorupcinio vertinimo taisyklių</w:t>
          </w:r>
        </w:p>
        <w:p w14:paraId="28DFF437" w14:textId="77777777">
          <w:pPr>
            <w:suppressAutoHyphens/>
            <w:spacing w:line="276" w:lineRule="auto"/>
            <w:ind w:left="9072"/>
            <w:textAlignment w:val="baseline"/>
            <w:rPr>
              <w:color w:val="000000"/>
              <w:szCs w:val="24"/>
              <w:lang w:eastAsia="ar-SA"/>
            </w:rPr>
          </w:pPr>
          <w:r>
            <w:rPr>
              <w:color w:val="000000"/>
              <w:szCs w:val="24"/>
              <w:lang w:eastAsia="ar-SA"/>
            </w:rPr>
            <w:t>priedas</w:t>
          </w:r>
        </w:p>
        <w:p w14:paraId="32A8AD6F" w14:textId="77777777">
          <w:pPr>
            <w:suppressAutoHyphens/>
            <w:spacing w:line="276" w:lineRule="auto"/>
            <w:jc w:val="center"/>
            <w:textAlignment w:val="baseline"/>
            <w:rPr>
              <w:b/>
              <w:szCs w:val="24"/>
              <w:lang w:eastAsia="lt-LT"/>
            </w:rPr>
          </w:pPr>
        </w:p>
        <w:p w14:paraId="0C1251CC" w14:textId="77777777">
          <w:pPr>
            <w:suppressAutoHyphens/>
            <w:spacing w:line="276" w:lineRule="auto"/>
            <w:jc w:val="center"/>
            <w:textAlignment w:val="baseline"/>
            <w:rPr>
              <w:b/>
              <w:szCs w:val="24"/>
              <w:lang w:eastAsia="lt-LT"/>
            </w:rPr>
          </w:pPr>
          <w:sdt>
            <w:sdtPr>
              <w:alias w:val="Pavadinimas"/>
              <w:tag w:val="title_82891b10944a472d94fcb218f0cdee9c"/>
              <w:lock w:val="sdtLocked"/>
              <w:richText/>
            </w:sdtPr>
            <w:sdtContent>
              <w:r>
                <w:rPr>
                  <w:b/>
                  <w:szCs w:val="24"/>
                  <w:lang w:eastAsia="lt-LT"/>
                </w:rPr>
                <w:t>TEISĖS AKTŲ PROJEKTŲ ANTIKORUPCINIO VERTINIMO PAŽYMA</w:t>
              </w:r>
            </w:sdtContent>
          </w:sdt>
        </w:p>
        <w:p w14:paraId="35D8A3C0" w14:textId="77777777">
          <w:pPr>
            <w:suppressAutoHyphens/>
            <w:spacing w:line="276" w:lineRule="auto"/>
            <w:textAlignment w:val="baseline"/>
            <w:rPr>
              <w:szCs w:val="24"/>
              <w:lang w:eastAsia="lt-LT"/>
            </w:rPr>
          </w:pPr>
        </w:p>
        <w:p w14:paraId="530ECFC5" w14:textId="18FEF2D5">
          <w:pPr>
            <w:suppressAutoHyphens/>
            <w:jc w:val="both"/>
            <w:textAlignment w:val="baseline"/>
            <w:rPr>
              <w:szCs w:val="24"/>
              <w:lang w:eastAsia="lt-LT"/>
            </w:rPr>
          </w:pPr>
          <w:r>
            <w:rPr>
              <w:szCs w:val="24"/>
              <w:lang w:eastAsia="lt-LT"/>
            </w:rPr>
            <w:t xml:space="preserve">Teisės akto projekto pavadinimas: Lietuvos Respublikos </w:t>
          </w:r>
          <w:r>
            <w:t xml:space="preserve">aplinkos ministro įsakymo „Dėl Laukinių gyvūnų naudojimo taisyklių patvirtinimo“ projektas </w:t>
          </w:r>
          <w:r>
            <w:rPr>
              <w:szCs w:val="24"/>
            </w:rPr>
            <w:t>(toliau – teisės akto projektas).</w:t>
          </w:r>
        </w:p>
        <w:p w14:paraId="5B89E061" w14:textId="086A17FB">
          <w:pPr>
            <w:suppressAutoHyphens/>
            <w:jc w:val="both"/>
            <w:textAlignment w:val="baseline"/>
            <w:rPr>
              <w:szCs w:val="24"/>
            </w:rPr>
          </w:pPr>
          <w:r>
            <w:rPr>
              <w:szCs w:val="24"/>
              <w:lang w:eastAsia="lt-LT"/>
            </w:rPr>
            <w:t xml:space="preserve">Teisės akto projekto tiesioginis rengėjas: </w:t>
          </w:r>
          <w:r>
            <w:t>Aplinkos ministerijos Gamtos apsaugos politikos grupės patarėja Kristina Klovaitė.</w:t>
          </w:r>
        </w:p>
        <w:p w14:paraId="5371E23F" w14:textId="77777777">
          <w:pPr>
            <w:suppressAutoHyphens/>
            <w:ind w:firstLine="1296"/>
            <w:jc w:val="both"/>
            <w:textAlignment w:val="baseline"/>
            <w:rPr>
              <w:szCs w:val="24"/>
              <w:lang w:eastAsia="lt-LT"/>
            </w:rPr>
          </w:pPr>
          <w:r>
            <w:rPr>
              <w:szCs w:val="24"/>
              <w:lang w:eastAsia="lt-LT"/>
            </w:rPr>
            <w:t xml:space="preserve">X suderinus teisės akto projektą viešojo administravimo subjekte ir su </w:t>
          </w:r>
          <w:r>
            <w:rPr>
              <w:szCs w:val="24"/>
            </w:rPr>
            <w:t>pavaldžiomis įstaigomis (įstaigomis prie ministerijos ir kitomis ministrui pavestose valdymo srityse veikiančiomis įstaigomis ir įmonėmis)</w:t>
          </w:r>
          <w:r>
            <w:rPr>
              <w:szCs w:val="24"/>
              <w:lang w:eastAsia="lt-LT"/>
            </w:rPr>
            <w:t>;</w:t>
          </w:r>
        </w:p>
        <w:p w14:paraId="53017223" w14:textId="77777777">
          <w:pPr>
            <w:suppressAutoHyphens/>
            <w:ind w:firstLine="1296"/>
            <w:jc w:val="both"/>
            <w:textAlignment w:val="baseline"/>
            <w:rPr>
              <w:szCs w:val="24"/>
              <w:lang w:eastAsia="lt-LT"/>
            </w:rPr>
          </w:pPr>
          <w:r>
            <w:rPr>
              <w:szCs w:val="24"/>
              <w:lang w:eastAsia="lt-LT"/>
            </w:rPr>
            <w:t xml:space="preserve">□ </w:t>
          </w:r>
          <w:r>
            <w:rPr>
              <w:color w:val="000000"/>
              <w:szCs w:val="24"/>
            </w:rPr>
            <w:t>suderinus teisės akto projektą su suinteresuotomis institucijomis, kai jis buvo papildytas arba pakeistas.</w:t>
          </w:r>
        </w:p>
        <w:p w14:paraId="79848E17" w14:textId="77777777">
          <w:pPr>
            <w:suppressAutoHyphens/>
            <w:jc w:val="both"/>
            <w:textAlignment w:val="baseline"/>
            <w:rPr>
              <w:szCs w:val="24"/>
              <w:lang w:eastAsia="lt-LT"/>
            </w:rPr>
          </w:pPr>
          <w:r>
            <w:rPr>
              <w:szCs w:val="24"/>
              <w:lang w:eastAsia="lt-LT"/>
            </w:rPr>
            <w:t>Antikorupciniu požiūriu rizikingos teisės akto projekto nuostatos</w:t>
          </w:r>
          <w:r>
            <w:rPr>
              <w:b/>
              <w:szCs w:val="24"/>
              <w:lang w:eastAsia="lt-LT"/>
            </w:rPr>
            <w:t xml:space="preserve"> </w:t>
          </w:r>
          <w:r>
            <w:rPr>
              <w:i/>
              <w:szCs w:val="24"/>
              <w:lang w:eastAsia="lt-LT"/>
            </w:rPr>
            <w:t>(nurodomas antikorupcinio vertinimo kriterijus (toliau – kriterijus), kurį taikant nustatytai korupcijos rizikai šalinti ar valdyti teisės akto projekte nenumatyta priemonių.</w:t>
          </w:r>
          <w:r>
            <w:rPr>
              <w:i/>
              <w:iCs/>
              <w:color w:val="000000"/>
              <w:szCs w:val="24"/>
            </w:rPr>
            <w:t xml:space="preserve"> </w:t>
          </w:r>
          <w:r>
            <w:rPr>
              <w:i/>
              <w:szCs w:val="24"/>
              <w:lang w:eastAsia="lt-LT"/>
            </w:rPr>
            <w:t xml:space="preserve">Pildoma, kai, </w:t>
          </w:r>
          <w:r>
            <w:rPr>
              <w:i/>
              <w:szCs w:val="24"/>
            </w:rPr>
            <w:t xml:space="preserve">vertintojo nuomone, teisės akto projekto tiesioginio rengėjo siūlomų pataisų nepakanka korupcijos atsiradimo rizikai mažinti </w:t>
          </w:r>
          <w:r>
            <w:rPr>
              <w:i/>
              <w:szCs w:val="24"/>
              <w:lang w:eastAsia="lt-LT"/>
            </w:rPr>
            <w:t>arba kai vertintojas nesutinka su teisės akto projekto tiesioginio rengėjo argumentais, kodėl neatsižvelgta į vertintojo pateiktas pastabas</w:t>
          </w:r>
          <w:r>
            <w:rPr>
              <w:szCs w:val="24"/>
              <w:lang w:eastAsia="lt-LT"/>
            </w:rPr>
            <w:t>): nėra.</w:t>
          </w:r>
        </w:p>
        <w:p w14:paraId="7AB4F7AC" w14:textId="77777777">
          <w:pPr>
            <w:suppressAutoHyphens/>
            <w:spacing w:line="276" w:lineRule="auto"/>
            <w:jc w:val="both"/>
            <w:textAlignment w:val="baseline"/>
            <w:rPr>
              <w:szCs w:val="24"/>
              <w:lang w:eastAsia="lt-LT"/>
            </w:rPr>
          </w:pPr>
        </w:p>
        <w:tbl>
          <w:tblPr>
            <w:tblW w:w="1544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 w:type="dxa"/>
              <w:right w:w="10" w:type="dxa"/>
            </w:tblCellMar>
            <w:tblLook w:val="04A0" w:firstRow="1" w:lastRow="0" w:firstColumn="1" w:lastColumn="0" w:noHBand="0" w:noVBand="1"/>
          </w:tblPr>
          <w:tblGrid>
            <w:gridCol w:w="103"/>
            <w:gridCol w:w="605"/>
            <w:gridCol w:w="1852"/>
            <w:gridCol w:w="1801"/>
            <w:gridCol w:w="2972"/>
            <w:gridCol w:w="997"/>
            <w:gridCol w:w="1437"/>
            <w:gridCol w:w="2532"/>
            <w:gridCol w:w="2693"/>
            <w:gridCol w:w="454"/>
          </w:tblGrid>
          <w:tr w14:paraId="007F8906" w14:textId="77777777">
            <w:trPr>
              <w:gridAfter w:val="1"/>
              <w:wAfter w:w="454"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14:paraId="0B8E7554" w14:textId="77777777">
                <w:pPr>
                  <w:suppressAutoHyphens/>
                  <w:jc w:val="center"/>
                  <w:textAlignment w:val="baseline"/>
                  <w:rPr>
                    <w:szCs w:val="24"/>
                    <w:lang w:eastAsia="lt-LT"/>
                  </w:rPr>
                </w:pPr>
                <w:r>
                  <w:rPr>
                    <w:szCs w:val="24"/>
                    <w:lang w:eastAsia="lt-LT"/>
                  </w:rPr>
                  <w:t>Eil. Nr.</w:t>
                </w:r>
              </w:p>
            </w:tc>
            <w:tc>
              <w:tcPr>
                <w:tcW w:w="3653"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14:paraId="7337C418" w14:textId="77777777">
                <w:pPr>
                  <w:suppressAutoHyphens/>
                  <w:jc w:val="center"/>
                  <w:textAlignment w:val="baseline"/>
                  <w:rPr>
                    <w:szCs w:val="24"/>
                    <w:lang w:eastAsia="lt-LT"/>
                  </w:rPr>
                </w:pPr>
                <w:r>
                  <w:rPr>
                    <w:szCs w:val="24"/>
                    <w:lang w:eastAsia="lt-LT"/>
                  </w:rPr>
                  <w:t>Kriterijus</w:t>
                </w:r>
              </w:p>
            </w:tc>
            <w:tc>
              <w:tcPr>
                <w:tcW w:w="396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14:paraId="3D6ACFD8" w14:textId="77777777">
                <w:pPr>
                  <w:suppressAutoHyphens/>
                  <w:jc w:val="center"/>
                  <w:textAlignment w:val="baseline"/>
                  <w:rPr>
                    <w:szCs w:val="24"/>
                    <w:lang w:eastAsia="lt-LT"/>
                  </w:rPr>
                </w:pPr>
                <w:r>
                  <w:rPr>
                    <w:bCs/>
                  </w:rPr>
                  <w:t xml:space="preserve">Kriterijaus vertinimas (nurodant, kad „Kriterijų atitinka“ / „Kriterijaus neatitinka“ / „Kriterijus nėra teisės akto projekto reglamentavimo dalykas“) ir pagrindimas, jeigu teisės aktas neatitinka kriterijaus (nurodomos konkrečios teisės akto projekto ar kitų teisės aktų nuostatos, pagrindžiančios neigiamą atsakymą, pateikiamos antikorupcinį teisės akto projekto vertinimą atliekančio asmens pastabos ir pasiūlymai dėl korupcijos rizikos mažinimo) </w:t>
                </w:r>
              </w:p>
              <w:p w14:paraId="45B46683" w14:textId="77777777">
                <w:pPr>
                  <w:suppressAutoHyphens/>
                  <w:jc w:val="center"/>
                  <w:textAlignment w:val="baseline"/>
                </w:pPr>
                <w:r>
                  <w:rPr>
                    <w:szCs w:val="24"/>
                    <w:lang w:eastAsia="lt-LT"/>
                  </w:rPr>
                  <w:t>(</w:t>
                </w:r>
                <w:r>
                  <w:rPr>
                    <w:i/>
                    <w:szCs w:val="24"/>
                    <w:lang w:eastAsia="lt-LT"/>
                  </w:rPr>
                  <w:t>pildo teisės akto projekto antikorupcinį vertinimą atliekantis asmuo)</w:t>
                </w:r>
              </w:p>
            </w:tc>
            <w:tc>
              <w:tcPr>
                <w:tcW w:w="396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34CD8FA6" w14:textId="77777777">
                <w:pPr>
                  <w:suppressAutoHyphens/>
                  <w:jc w:val="center"/>
                  <w:textAlignment w:val="baseline"/>
                  <w:rPr>
                    <w:szCs w:val="24"/>
                    <w:lang w:eastAsia="lt-LT"/>
                  </w:rPr>
                </w:pPr>
              </w:p>
              <w:p w14:paraId="4D0CA7E6" w14:textId="77777777">
                <w:pPr>
                  <w:suppressAutoHyphens/>
                  <w:jc w:val="center"/>
                  <w:textAlignment w:val="baseline"/>
                  <w:rPr>
                    <w:szCs w:val="24"/>
                    <w:lang w:eastAsia="lt-LT"/>
                  </w:rPr>
                </w:pPr>
                <w:r>
                  <w:rPr>
                    <w:szCs w:val="24"/>
                    <w:lang w:eastAsia="lt-LT"/>
                  </w:rPr>
                  <w:t>Teisės akto projekto pakeitimas, mažinantis korupcijos riziką, arba teisės akto projekto tiesioginio rengėjo argumentai, kodėl neatsižvelgta į pastabą</w:t>
                </w:r>
              </w:p>
              <w:p w14:paraId="7991FF2A" w14:textId="77777777">
                <w:pPr>
                  <w:suppressAutoHyphens/>
                  <w:jc w:val="center"/>
                  <w:textAlignment w:val="baseline"/>
                  <w:rPr>
                    <w:szCs w:val="24"/>
                    <w:lang w:eastAsia="lt-LT"/>
                  </w:rPr>
                </w:pPr>
                <w:r>
                  <w:rPr>
                    <w:szCs w:val="24"/>
                    <w:lang w:eastAsia="lt-LT"/>
                  </w:rPr>
                  <w:t>(</w:t>
                </w:r>
                <w:r>
                  <w:rPr>
                    <w:i/>
                    <w:szCs w:val="24"/>
                    <w:lang w:eastAsia="lt-LT"/>
                  </w:rPr>
                  <w:t>pildo teisės akto projekto tiesioginis rengėjas)</w:t>
                </w:r>
              </w:p>
            </w:tc>
            <w:tc>
              <w:tcPr>
                <w:tcW w:w="269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14:paraId="70F6DB93" w14:textId="77777777">
                <w:pPr>
                  <w:suppressAutoHyphens/>
                  <w:jc w:val="center"/>
                  <w:textAlignment w:val="baseline"/>
                  <w:rPr>
                    <w:szCs w:val="24"/>
                    <w:lang w:eastAsia="lt-LT"/>
                  </w:rPr>
                </w:pPr>
                <w:r>
                  <w:rPr>
                    <w:szCs w:val="24"/>
                    <w:lang w:eastAsia="lt-LT"/>
                  </w:rPr>
                  <w:t>Išvada dėl teisės akto projekto pakeitimų arba argumentų, kodėl neatsižvelgta į pastabą</w:t>
                </w:r>
              </w:p>
              <w:p w14:paraId="49529734" w14:textId="77777777">
                <w:pPr>
                  <w:suppressAutoHyphens/>
                  <w:jc w:val="center"/>
                  <w:textAlignment w:val="baseline"/>
                  <w:rPr>
                    <w:szCs w:val="24"/>
                    <w:lang w:eastAsia="lt-LT"/>
                  </w:rPr>
                </w:pPr>
                <w:r>
                  <w:rPr>
                    <w:szCs w:val="24"/>
                    <w:lang w:eastAsia="lt-LT"/>
                  </w:rPr>
                  <w:t>(</w:t>
                </w:r>
                <w:r>
                  <w:rPr>
                    <w:i/>
                    <w:szCs w:val="24"/>
                    <w:lang w:eastAsia="lt-LT"/>
                  </w:rPr>
                  <w:t>pildo teisės akto projekto antikorupcinį vertinimą atliekantis asmuo)</w:t>
                </w:r>
              </w:p>
            </w:tc>
          </w:tr>
          <w:tr w14:paraId="63E45D76" w14:textId="77777777">
            <w:trPr>
              <w:gridAfter w:val="1"/>
              <w:wAfter w:w="454"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37B86A92" w14:textId="77777777">
                <w:pPr>
                  <w:suppressAutoHyphens/>
                  <w:jc w:val="center"/>
                  <w:textAlignment w:val="baseline"/>
                  <w:rPr>
                    <w:szCs w:val="24"/>
                    <w:lang w:eastAsia="lt-LT"/>
                  </w:rPr>
                </w:pPr>
                <w:r>
                  <w:rPr>
                    <w:szCs w:val="24"/>
                    <w:lang w:eastAsia="lt-LT"/>
                  </w:rPr>
                  <w:t>1.</w:t>
                </w:r>
              </w:p>
            </w:tc>
            <w:tc>
              <w:tcPr>
                <w:tcW w:w="3653"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38DD3024" w14:textId="77777777">
                <w:pPr>
                  <w:suppressAutoHyphens/>
                  <w:textAlignment w:val="baseline"/>
                  <w:rPr>
                    <w:szCs w:val="24"/>
                    <w:lang w:eastAsia="lt-LT"/>
                  </w:rPr>
                </w:pPr>
                <w:r>
                  <w:rPr>
                    <w:szCs w:val="24"/>
                    <w:lang w:eastAsia="lt-LT"/>
                  </w:rPr>
                  <w:t>Teisės akto projektas nesudaro išskirtinių ar nevienodų sąlygų subjektams, su kuriais susijęs teisės akto įgyvendinimas</w:t>
                </w:r>
              </w:p>
            </w:tc>
            <w:tc>
              <w:tcPr>
                <w:tcW w:w="396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95BEBD8" w14:textId="77777777">
                <w:pPr>
                  <w:suppressAutoHyphens/>
                  <w:jc w:val="both"/>
                  <w:textAlignment w:val="baseline"/>
                  <w:rPr>
                    <w:szCs w:val="24"/>
                    <w:lang w:eastAsia="lt-LT"/>
                  </w:rPr>
                </w:pPr>
                <w:r>
                  <w:rPr>
                    <w:szCs w:val="24"/>
                    <w:lang w:eastAsia="lt-LT"/>
                  </w:rPr>
                  <w:t>Teisės akto projektas nesudaro išskirtinių ar nevienodų sąlygų subjektams, su kuriais susijęs teisės akto įgyvendinimas.</w:t>
                </w:r>
              </w:p>
              <w:p w14:paraId="20CD4655" w14:textId="77777777">
                <w:pPr>
                  <w:suppressAutoHyphens/>
                  <w:jc w:val="both"/>
                  <w:textAlignment w:val="baseline"/>
                  <w:rPr>
                    <w:szCs w:val="24"/>
                    <w:lang w:eastAsia="lt-LT"/>
                  </w:rPr>
                </w:pPr>
              </w:p>
              <w:p w14:paraId="0932CAD0" w14:textId="77777777">
                <w:pPr>
                  <w:suppressAutoHyphens/>
                  <w:jc w:val="both"/>
                  <w:textAlignment w:val="baseline"/>
                  <w:rPr>
                    <w:lang w:eastAsia="en-GB"/>
                  </w:rPr>
                </w:pPr>
                <w:r>
                  <w:rPr>
                    <w:szCs w:val="24"/>
                    <w:lang w:eastAsia="lt-LT"/>
                  </w:rPr>
                  <w:t xml:space="preserve">Teisės akto projektas </w:t>
                </w:r>
                <w:r>
                  <w:rPr>
                    <w:lang w:eastAsia="en-GB"/>
                  </w:rPr>
                  <w:t xml:space="preserve">parengtas siekiant įgyvendinti </w:t>
                </w:r>
                <w:r>
                  <w:t xml:space="preserve">Laukinės gyvūnijos įstatymo 4 straipsnio 2 dalies 10 punkto nuostatą, kad Aplinkos ministerija, suderinusi su Valstybine maisto ir veterinarijos tarnyba, tvirtina </w:t>
                </w:r>
                <w:r>
                  <w:rPr>
                    <w:lang w:eastAsia="en-GB"/>
                  </w:rPr>
                  <w:t>Laukinių gyvūnų naudojimo taisykles.</w:t>
                </w:r>
              </w:p>
              <w:p w14:paraId="5160F58E" w14:textId="77777777">
                <w:pPr>
                  <w:suppressAutoHyphens/>
                  <w:jc w:val="both"/>
                  <w:textAlignment w:val="baseline"/>
                  <w:rPr>
                    <w:lang w:eastAsia="en-GB"/>
                  </w:rPr>
                </w:pPr>
              </w:p>
              <w:p w14:paraId="48FA719B" w14:textId="4D6AFA9A">
                <w:pPr>
                  <w:suppressAutoHyphens/>
                  <w:jc w:val="both"/>
                  <w:textAlignment w:val="baseline"/>
                  <w:rPr>
                    <w:lang w:eastAsia="en-GB"/>
                  </w:rPr>
                </w:pPr>
                <w:r>
                  <w:rPr>
                    <w:szCs w:val="24"/>
                    <w:lang w:eastAsia="lt-LT"/>
                  </w:rPr>
                  <w:t>Teisės akto</w:t>
                </w:r>
                <w:r>
                  <w:rPr>
                    <w:lang w:eastAsia="en-GB"/>
                  </w:rPr>
                  <w:t xml:space="preserve"> projektas parengtas atsižvelgiant į Laukinės gyvūnijos įstatymo (toliau – Įstatymas) nuostatas, reglamentuojančias laukinių gyvūnų naudojimą, leidimų laikyti nelaisvėje laukinius gyvūnus išdavimą ir galiojimo panaikinimą (Įstatymo 7, 8 ir 9 straipsniai);</w:t>
                </w:r>
                <w:r>
                  <w:t xml:space="preserve"> laukinių gyvūnų kryžminimą ir leidimų naudoti laukinius gyvūnus kryžminimui išdavimą, galiojimo sustabdymą, galiojimo sustabdymo panaikinimą ir galiojimo panaikinimą </w:t>
                </w:r>
                <w:r>
                  <w:rPr>
                    <w:lang w:eastAsia="en-GB"/>
                  </w:rPr>
                  <w:t xml:space="preserve">(Įstatymo 10, 11 ir 12 straipsniai); laukinių gyvūnų paėmimą iš aplinkos ir naudojimą, leidimų naudoti laukinius gyvūnus </w:t>
                </w:r>
                <w:r>
                  <w:t xml:space="preserve">išdavimą, galiojimo sustabdymą, galiojimo sustabdymo panaikinimą ir galiojimo panaikinimą </w:t>
                </w:r>
                <w:r>
                  <w:rPr>
                    <w:lang w:eastAsia="en-GB"/>
                  </w:rPr>
                  <w:t xml:space="preserve">(Įstatymo 13 ir  15 straipsniai); iškamšų iš laukinių gyvūnų gaminimą (Įstatymo 15 straipsnis); laukinių gyvūnų globą ir paėmimą iš aplinkos globoti ir gydyti (Įstatymo 22 straipsnis). Nustatoma išvardintuosius leidimus išduodanti, sustabdanti, sustabdymo galiojimą panaikinanti ir leidimų galiojimą panaikinanti institucija – Aplinkos apsaugos agentūra; nustatomi leidimų išdavimo sąlygų derinimo su kitomis institucijomis terminai; ataskaitų pateikimo terminai, terminai per kuriuos sprendimus priimančios institucijos apie priimtus sprendimus turi informuoti leidimų prašytojus, leidimų turėtojus, kitas institucijas.</w:t>
                </w:r>
              </w:p>
              <w:p w14:paraId="770756AB" w14:textId="6F902D9D">
                <w:pPr>
                  <w:suppressAutoHyphens/>
                  <w:jc w:val="both"/>
                  <w:textAlignment w:val="baseline"/>
                  <w:rPr>
                    <w:szCs w:val="24"/>
                    <w:lang w:eastAsia="lt-LT"/>
                  </w:rPr>
                </w:pPr>
              </w:p>
            </w:tc>
            <w:tc>
              <w:tcPr>
                <w:tcW w:w="396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F94D5A1" w14:textId="77777777">
                <w:pPr>
                  <w:suppressAutoHyphens/>
                  <w:textAlignment w:val="baseline"/>
                  <w:rPr>
                    <w:b/>
                    <w:szCs w:val="24"/>
                    <w:lang w:eastAsia="lt-LT"/>
                  </w:rPr>
                </w:pPr>
              </w:p>
            </w:tc>
            <w:tc>
              <w:tcPr>
                <w:tcW w:w="269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3BD476E7" w14:textId="77777777">
                <w:pPr>
                  <w:suppressAutoHyphens/>
                  <w:textAlignment w:val="baseline"/>
                  <w:rPr>
                    <w:szCs w:val="24"/>
                    <w:lang w:eastAsia="lt-LT"/>
                  </w:rPr>
                </w:pPr>
                <w:r>
                  <w:rPr>
                    <w:szCs w:val="24"/>
                    <w:lang w:eastAsia="lt-LT"/>
                  </w:rPr>
                  <w:t>X tenkina</w:t>
                </w:r>
              </w:p>
              <w:p w14:paraId="60E247AB" w14:textId="77777777">
                <w:pPr>
                  <w:suppressAutoHyphens/>
                  <w:textAlignment w:val="baseline"/>
                  <w:rPr>
                    <w:szCs w:val="24"/>
                    <w:lang w:eastAsia="lt-LT"/>
                  </w:rPr>
                </w:pPr>
                <w:r>
                  <w:rPr>
                    <w:szCs w:val="24"/>
                    <w:lang w:eastAsia="lt-LT"/>
                  </w:rPr>
                  <w:t>□ netenkina</w:t>
                </w:r>
              </w:p>
            </w:tc>
          </w:tr>
          <w:tr w14:paraId="3CF93B1A" w14:textId="77777777">
            <w:trPr>
              <w:gridAfter w:val="1"/>
              <w:wAfter w:w="454"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AE258C0" w14:textId="7C9B3AE4">
                <w:pPr>
                  <w:keepNext/>
                  <w:suppressAutoHyphens/>
                  <w:jc w:val="center"/>
                  <w:textAlignment w:val="baseline"/>
                  <w:rPr>
                    <w:szCs w:val="24"/>
                    <w:lang w:eastAsia="lt-LT"/>
                  </w:rPr>
                </w:pPr>
                <w:r>
                  <w:rPr>
                    <w:szCs w:val="24"/>
                    <w:lang w:eastAsia="lt-LT"/>
                  </w:rPr>
                  <w:t>2.</w:t>
                </w:r>
              </w:p>
            </w:tc>
            <w:tc>
              <w:tcPr>
                <w:tcW w:w="3653"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68739244" w14:textId="77777777">
                <w:pPr>
                  <w:keepNext/>
                  <w:suppressAutoHyphens/>
                  <w:textAlignment w:val="baseline"/>
                  <w:rPr>
                    <w:szCs w:val="24"/>
                    <w:lang w:eastAsia="lt-LT"/>
                  </w:rPr>
                </w:pPr>
                <w:r>
                  <w:rPr>
                    <w:szCs w:val="24"/>
                    <w:lang w:eastAsia="lt-LT"/>
                  </w:rPr>
                  <w:t>Teisės akto projekte nėra spragų ar nuostatų, leisiančių dviprasmiškai aiškinti ir taikyti teisės aktą</w:t>
                </w:r>
              </w:p>
            </w:tc>
            <w:tc>
              <w:tcPr>
                <w:tcW w:w="396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4BF36B6" w14:textId="77777777">
                <w:pPr>
                  <w:keepNext/>
                  <w:suppressAutoHyphens/>
                  <w:jc w:val="both"/>
                  <w:textAlignment w:val="baseline"/>
                  <w:rPr>
                    <w:szCs w:val="24"/>
                    <w:lang w:eastAsia="lt-LT"/>
                  </w:rPr>
                </w:pPr>
                <w:r>
                  <w:rPr>
                    <w:szCs w:val="24"/>
                    <w:lang w:eastAsia="lt-LT"/>
                  </w:rPr>
                  <w:t>Projekte nėra spragų ar nuostatų, leisiančių dviprasmiškai aiškinti ir taikyti teisės aktą.</w:t>
                </w:r>
              </w:p>
              <w:p w14:paraId="218C2D08" w14:textId="77777777">
                <w:pPr>
                  <w:keepNext/>
                  <w:suppressAutoHyphens/>
                  <w:jc w:val="both"/>
                  <w:textAlignment w:val="baseline"/>
                  <w:rPr>
                    <w:szCs w:val="24"/>
                    <w:lang w:eastAsia="lt-LT"/>
                  </w:rPr>
                </w:pPr>
              </w:p>
              <w:p w14:paraId="26A2AF32" w14:textId="77777777">
                <w:pPr>
                  <w:keepNext/>
                  <w:suppressAutoHyphens/>
                  <w:jc w:val="both"/>
                  <w:textAlignment w:val="baseline"/>
                  <w:rPr>
                    <w:szCs w:val="24"/>
                    <w:lang w:eastAsia="lt-LT"/>
                  </w:rPr>
                </w:pPr>
              </w:p>
            </w:tc>
            <w:tc>
              <w:tcPr>
                <w:tcW w:w="396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A27EB27" w14:textId="77777777">
                <w:pPr>
                  <w:keepNext/>
                  <w:suppressAutoHyphens/>
                  <w:textAlignment w:val="baseline"/>
                  <w:rPr>
                    <w:szCs w:val="24"/>
                    <w:lang w:eastAsia="lt-LT"/>
                  </w:rPr>
                </w:pPr>
              </w:p>
            </w:tc>
            <w:tc>
              <w:tcPr>
                <w:tcW w:w="269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787516C6" w14:textId="77777777">
                <w:pPr>
                  <w:keepNext/>
                  <w:suppressAutoHyphens/>
                  <w:textAlignment w:val="baseline"/>
                  <w:rPr>
                    <w:szCs w:val="24"/>
                    <w:lang w:eastAsia="lt-LT"/>
                  </w:rPr>
                </w:pPr>
                <w:r>
                  <w:rPr>
                    <w:szCs w:val="24"/>
                    <w:lang w:eastAsia="lt-LT"/>
                  </w:rPr>
                  <w:t>X tenkina</w:t>
                </w:r>
              </w:p>
              <w:p w14:paraId="3EF7A171" w14:textId="77777777">
                <w:pPr>
                  <w:keepNext/>
                  <w:suppressAutoHyphens/>
                  <w:textAlignment w:val="baseline"/>
                  <w:rPr>
                    <w:szCs w:val="24"/>
                    <w:lang w:eastAsia="lt-LT"/>
                  </w:rPr>
                </w:pPr>
                <w:r>
                  <w:rPr>
                    <w:szCs w:val="24"/>
                    <w:lang w:eastAsia="lt-LT"/>
                  </w:rPr>
                  <w:t>□ netenkina</w:t>
                </w:r>
              </w:p>
            </w:tc>
          </w:tr>
          <w:tr w14:paraId="19ADF5D0" w14:textId="77777777">
            <w:trPr>
              <w:gridAfter w:val="1"/>
              <w:wAfter w:w="454"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05D2020" w14:textId="1AADD02C">
                <w:pPr>
                  <w:suppressAutoHyphens/>
                  <w:jc w:val="center"/>
                  <w:textAlignment w:val="baseline"/>
                  <w:rPr>
                    <w:szCs w:val="24"/>
                    <w:lang w:eastAsia="lt-LT"/>
                  </w:rPr>
                </w:pPr>
                <w:r>
                  <w:rPr>
                    <w:szCs w:val="24"/>
                    <w:lang w:eastAsia="lt-LT"/>
                  </w:rPr>
                  <w:t>3.</w:t>
                </w:r>
              </w:p>
            </w:tc>
            <w:tc>
              <w:tcPr>
                <w:tcW w:w="3653"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FA630A2" w14:textId="77777777">
                <w:pPr>
                  <w:suppressAutoHyphens/>
                  <w:textAlignment w:val="baseline"/>
                  <w:rPr>
                    <w:szCs w:val="24"/>
                    <w:lang w:eastAsia="lt-LT"/>
                  </w:rPr>
                </w:pPr>
                <w:r>
                  <w:rPr>
                    <w:szCs w:val="24"/>
                    <w:lang w:eastAsia="lt-LT"/>
                  </w:rPr>
                  <w:t>Teisės akto projekte nustatyta, kad sprendimą dėl teisių suteikimo, apribojimų nustatymo, sankcijų taikymo ir pan. priimantis subjektas atskirtas nuo šių sprendimų teisėtumą ir įgyvendinimą kontroliuojančio (prižiūrinčio) subjekto</w:t>
                </w:r>
              </w:p>
            </w:tc>
            <w:tc>
              <w:tcPr>
                <w:tcW w:w="396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5D1EAF0" w14:textId="641C2FB8">
                <w:pPr>
                  <w:keepNext/>
                  <w:suppressAutoHyphens/>
                  <w:jc w:val="both"/>
                  <w:textAlignment w:val="baseline"/>
                  <w:rPr>
                    <w:lang w:eastAsia="en-GB"/>
                  </w:rPr>
                </w:pPr>
                <w:r>
                  <w:rPr>
                    <w:bCs/>
                  </w:rPr>
                  <w:t xml:space="preserve">Kriterijus nėra teisės akto projekto reglamentavimo dalykas. </w:t>
                </w:r>
                <w:r>
                  <w:rPr>
                    <w:lang w:eastAsia="en-GB"/>
                  </w:rPr>
                  <w:t>Nustatomama, kad leidimus laikyti, kryžminti ir kt. išduoda, sustabdo galiojimą, leidimus panaikina – Aplinkos apsaugos agentūra.</w:t>
                </w:r>
              </w:p>
              <w:p w14:paraId="012ECF36" w14:textId="77777777">
                <w:pPr>
                  <w:keepNext/>
                  <w:suppressAutoHyphens/>
                  <w:jc w:val="both"/>
                  <w:textAlignment w:val="baseline"/>
                  <w:rPr>
                    <w:lang w:eastAsia="en-GB"/>
                  </w:rPr>
                </w:pPr>
              </w:p>
              <w:p w14:paraId="4DCAD5ED" w14:textId="2A862CC1">
                <w:pPr>
                  <w:keepNext/>
                  <w:suppressAutoHyphens/>
                  <w:jc w:val="both"/>
                  <w:textAlignment w:val="baseline"/>
                  <w:rPr>
                    <w:szCs w:val="24"/>
                    <w:lang w:eastAsia="lt-LT"/>
                  </w:rPr>
                </w:pPr>
                <w:r>
                  <w:rPr>
                    <w:szCs w:val="24"/>
                    <w:lang w:eastAsia="lt-LT"/>
                  </w:rPr>
                  <w:t xml:space="preserve">Taisyklių III skyriuje numatoma, kad kontrolę vykdo Aplinkos apsaugos departamentas prie Aplinkos ministerijos ir </w:t>
                </w:r>
                <w:r>
                  <w:rPr>
                    <w:color w:val="000000"/>
                    <w:spacing w:val="-4"/>
                    <w:szCs w:val="24"/>
                  </w:rPr>
                  <w:t>Valstybinė maisto ir veterinarijos tarnyba.</w:t>
                </w:r>
              </w:p>
            </w:tc>
            <w:tc>
              <w:tcPr>
                <w:tcW w:w="396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97DD08B" w14:textId="77777777">
                <w:pPr>
                  <w:suppressAutoHyphens/>
                  <w:textAlignment w:val="baseline"/>
                  <w:rPr>
                    <w:szCs w:val="24"/>
                    <w:lang w:eastAsia="lt-LT"/>
                  </w:rPr>
                </w:pPr>
              </w:p>
            </w:tc>
            <w:tc>
              <w:tcPr>
                <w:tcW w:w="269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6AB65077" w14:textId="4B0D67A4">
                <w:pPr>
                  <w:suppressAutoHyphens/>
                  <w:textAlignment w:val="baseline"/>
                  <w:rPr>
                    <w:szCs w:val="24"/>
                    <w:lang w:eastAsia="lt-LT"/>
                  </w:rPr>
                </w:pPr>
                <w:r>
                  <w:rPr>
                    <w:szCs w:val="24"/>
                    <w:lang w:eastAsia="lt-LT"/>
                  </w:rPr>
                  <w:t>X tenkina</w:t>
                </w:r>
              </w:p>
              <w:p w14:paraId="6F39DBB1" w14:textId="77777777">
                <w:pPr>
                  <w:suppressAutoHyphens/>
                  <w:textAlignment w:val="baseline"/>
                  <w:rPr>
                    <w:szCs w:val="24"/>
                    <w:lang w:eastAsia="lt-LT"/>
                  </w:rPr>
                </w:pPr>
                <w:r>
                  <w:rPr>
                    <w:szCs w:val="24"/>
                    <w:lang w:eastAsia="lt-LT"/>
                  </w:rPr>
                  <w:t>□ netenkina</w:t>
                </w:r>
              </w:p>
            </w:tc>
          </w:tr>
          <w:tr w14:paraId="59337E26" w14:textId="77777777">
            <w:trPr>
              <w:gridAfter w:val="1"/>
              <w:wAfter w:w="454"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1BBDE3D" w14:textId="66EF1EF7">
                <w:pPr>
                  <w:suppressAutoHyphens/>
                  <w:jc w:val="center"/>
                  <w:textAlignment w:val="baseline"/>
                  <w:rPr>
                    <w:szCs w:val="24"/>
                    <w:lang w:eastAsia="lt-LT"/>
                  </w:rPr>
                </w:pPr>
                <w:r>
                  <w:rPr>
                    <w:szCs w:val="24"/>
                    <w:lang w:eastAsia="lt-LT"/>
                  </w:rPr>
                  <w:t>4.</w:t>
                </w:r>
              </w:p>
            </w:tc>
            <w:tc>
              <w:tcPr>
                <w:tcW w:w="3653"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5F49B468" w14:textId="77777777">
                <w:pPr>
                  <w:suppressAutoHyphens/>
                  <w:textAlignment w:val="baseline"/>
                  <w:rPr>
                    <w:szCs w:val="24"/>
                    <w:lang w:eastAsia="lt-LT"/>
                  </w:rPr>
                </w:pPr>
                <w:r>
                  <w:rPr>
                    <w:szCs w:val="24"/>
                    <w:lang w:eastAsia="lt-LT"/>
                  </w:rPr>
                  <w:t>Teisės akto projekte nustatyti subjekto įgaliojimai (teisės) atitinka subjekto atliekamas funkcijas (pareigas)</w:t>
                </w:r>
              </w:p>
            </w:tc>
            <w:tc>
              <w:tcPr>
                <w:tcW w:w="396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263875B" w14:textId="5CF8433E">
                <w:pPr>
                  <w:suppressAutoHyphens/>
                  <w:jc w:val="both"/>
                  <w:textAlignment w:val="baseline"/>
                  <w:rPr>
                    <w:szCs w:val="24"/>
                    <w:lang w:eastAsia="lt-LT"/>
                  </w:rPr>
                </w:pPr>
                <w:r>
                  <w:rPr>
                    <w:szCs w:val="24"/>
                    <w:lang w:eastAsia="lt-LT"/>
                  </w:rPr>
                  <w:t>Teisės akto projekte nustatyti subjekto įgaliojimai (teisės) atitinka subjekto atliekamas funkcijas (pareigas).</w:t>
                </w:r>
              </w:p>
              <w:p w14:paraId="6E1156A7" w14:textId="77777777">
                <w:pPr>
                  <w:suppressAutoHyphens/>
                  <w:jc w:val="both"/>
                  <w:textAlignment w:val="baseline"/>
                  <w:rPr>
                    <w:szCs w:val="24"/>
                    <w:lang w:eastAsia="lt-LT"/>
                  </w:rPr>
                </w:pPr>
              </w:p>
              <w:p w14:paraId="7A3467D9" w14:textId="77777777">
                <w:pPr>
                  <w:suppressAutoHyphens/>
                  <w:jc w:val="both"/>
                  <w:textAlignment w:val="baseline"/>
                  <w:rPr>
                    <w:lang w:eastAsia="en-GB"/>
                  </w:rPr>
                </w:pPr>
                <w:r>
                  <w:rPr>
                    <w:szCs w:val="24"/>
                    <w:lang w:eastAsia="lt-LT"/>
                  </w:rPr>
                  <w:t xml:space="preserve">Teisės akto projektas </w:t>
                </w:r>
                <w:r>
                  <w:rPr>
                    <w:lang w:eastAsia="en-GB"/>
                  </w:rPr>
                  <w:t xml:space="preserve">parengtas siekiant įgyvendinti </w:t>
                </w:r>
                <w:r>
                  <w:t xml:space="preserve">Laukinės gyvūnijos įstatymo 4 straipsnio 2 dalies 10 punkto nuostatą, kad Aplinkos ministerija, suderinusi su Valstybine maisto ir veterinarijos tarnyba, tvirtina </w:t>
                </w:r>
                <w:r>
                  <w:rPr>
                    <w:lang w:eastAsia="en-GB"/>
                  </w:rPr>
                  <w:t>Laukinių gyvūnų naudojimo taisykles.</w:t>
                </w:r>
              </w:p>
              <w:p w14:paraId="38077082" w14:textId="1A9907F9">
                <w:pPr>
                  <w:suppressAutoHyphens/>
                  <w:jc w:val="both"/>
                  <w:textAlignment w:val="baseline"/>
                  <w:rPr>
                    <w:color w:val="000000"/>
                  </w:rPr>
                </w:pPr>
              </w:p>
            </w:tc>
            <w:tc>
              <w:tcPr>
                <w:tcW w:w="396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0740585" w14:textId="77777777">
                <w:pPr>
                  <w:suppressAutoHyphens/>
                  <w:textAlignment w:val="baseline"/>
                  <w:rPr>
                    <w:szCs w:val="24"/>
                    <w:lang w:eastAsia="lt-LT"/>
                  </w:rPr>
                </w:pPr>
              </w:p>
            </w:tc>
            <w:tc>
              <w:tcPr>
                <w:tcW w:w="269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E046E12" w14:textId="5B63925A">
                <w:pPr>
                  <w:suppressAutoHyphens/>
                  <w:textAlignment w:val="baseline"/>
                  <w:rPr>
                    <w:szCs w:val="24"/>
                    <w:lang w:eastAsia="lt-LT"/>
                  </w:rPr>
                </w:pPr>
                <w:r>
                  <w:rPr>
                    <w:szCs w:val="24"/>
                    <w:lang w:eastAsia="lt-LT"/>
                  </w:rPr>
                  <w:t>X tenkina</w:t>
                </w:r>
              </w:p>
              <w:p w14:paraId="1AFF8F91" w14:textId="77777777">
                <w:pPr>
                  <w:suppressAutoHyphens/>
                  <w:textAlignment w:val="baseline"/>
                  <w:rPr>
                    <w:szCs w:val="24"/>
                    <w:lang w:eastAsia="lt-LT"/>
                  </w:rPr>
                </w:pPr>
                <w:r>
                  <w:rPr>
                    <w:szCs w:val="24"/>
                    <w:lang w:eastAsia="lt-LT"/>
                  </w:rPr>
                  <w:t>□ netenkina</w:t>
                </w:r>
              </w:p>
            </w:tc>
          </w:tr>
          <w:tr w14:paraId="3EA7FE51" w14:textId="77777777">
            <w:trPr>
              <w:gridAfter w:val="1"/>
              <w:wAfter w:w="454"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277B54CB" w14:textId="0E33744E">
                <w:pPr>
                  <w:suppressAutoHyphens/>
                  <w:jc w:val="center"/>
                  <w:textAlignment w:val="baseline"/>
                  <w:rPr>
                    <w:szCs w:val="24"/>
                    <w:lang w:eastAsia="lt-LT"/>
                  </w:rPr>
                </w:pPr>
                <w:r>
                  <w:rPr>
                    <w:szCs w:val="24"/>
                    <w:lang w:eastAsia="lt-LT"/>
                  </w:rPr>
                  <w:t>5.</w:t>
                </w:r>
              </w:p>
            </w:tc>
            <w:tc>
              <w:tcPr>
                <w:tcW w:w="3653"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170B32F" w14:textId="77777777">
                <w:pPr>
                  <w:suppressAutoHyphens/>
                  <w:textAlignment w:val="baseline"/>
                  <w:rPr>
                    <w:szCs w:val="24"/>
                    <w:lang w:eastAsia="lt-LT"/>
                  </w:rPr>
                </w:pPr>
                <w:r>
                  <w:rPr>
                    <w:szCs w:val="24"/>
                    <w:lang w:eastAsia="lt-LT"/>
                  </w:rPr>
                  <w:t>Teisės akto projekte nustatytas baigtinis sprendimų priėmimo kriterijų (atvejų) sąrašas</w:t>
                </w:r>
              </w:p>
            </w:tc>
            <w:tc>
              <w:tcPr>
                <w:tcW w:w="396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8BF687A" w14:textId="77777777">
                <w:pPr>
                  <w:suppressAutoHyphens/>
                  <w:jc w:val="both"/>
                  <w:textAlignment w:val="baseline"/>
                  <w:rPr>
                    <w:bCs/>
                  </w:rPr>
                </w:pPr>
                <w:r>
                  <w:rPr>
                    <w:bCs/>
                  </w:rPr>
                  <w:t>Kriterijus nėra teisės akto projekto reglamentavimo dalykas.</w:t>
                </w:r>
              </w:p>
              <w:p w14:paraId="5B5E2EC4" w14:textId="77777777">
                <w:pPr>
                  <w:suppressAutoHyphens/>
                  <w:jc w:val="both"/>
                  <w:textAlignment w:val="baseline"/>
                  <w:rPr>
                    <w:bCs/>
                  </w:rPr>
                </w:pPr>
              </w:p>
              <w:p w14:paraId="2C1708B4" w14:textId="6616E73C">
                <w:pPr>
                  <w:suppressAutoHyphens/>
                  <w:jc w:val="both"/>
                  <w:textAlignment w:val="baseline"/>
                  <w:rPr>
                    <w:bCs/>
                  </w:rPr>
                </w:pPr>
                <w:r>
                  <w:rPr>
                    <w:bCs/>
                  </w:rPr>
                  <w:t>Leidimų išdavimo / panaikinimo sąlygos numatytos Įstatyme.</w:t>
                </w:r>
              </w:p>
            </w:tc>
            <w:tc>
              <w:tcPr>
                <w:tcW w:w="396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AB5B637" w14:textId="77777777">
                <w:pPr>
                  <w:suppressAutoHyphens/>
                  <w:textAlignment w:val="baseline"/>
                  <w:rPr>
                    <w:szCs w:val="24"/>
                    <w:lang w:eastAsia="lt-LT"/>
                  </w:rPr>
                </w:pPr>
              </w:p>
            </w:tc>
            <w:tc>
              <w:tcPr>
                <w:tcW w:w="269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781C00C4" w14:textId="610DC36D">
                <w:pPr>
                  <w:suppressAutoHyphens/>
                  <w:textAlignment w:val="baseline"/>
                  <w:rPr>
                    <w:szCs w:val="24"/>
                    <w:lang w:eastAsia="lt-LT"/>
                  </w:rPr>
                </w:pPr>
                <w:r>
                  <w:rPr>
                    <w:szCs w:val="24"/>
                    <w:lang w:eastAsia="lt-LT"/>
                  </w:rPr>
                  <w:t xml:space="preserve">□  tenkina</w:t>
                </w:r>
              </w:p>
              <w:p w14:paraId="65566686" w14:textId="77777777">
                <w:pPr>
                  <w:suppressAutoHyphens/>
                  <w:textAlignment w:val="baseline"/>
                  <w:rPr>
                    <w:szCs w:val="24"/>
                    <w:lang w:eastAsia="lt-LT"/>
                  </w:rPr>
                </w:pPr>
                <w:r>
                  <w:rPr>
                    <w:szCs w:val="24"/>
                    <w:lang w:eastAsia="lt-LT"/>
                  </w:rPr>
                  <w:t>□ netenkina</w:t>
                </w:r>
              </w:p>
            </w:tc>
          </w:tr>
          <w:tr w14:paraId="7049C1BC" w14:textId="77777777">
            <w:trPr>
              <w:gridAfter w:val="1"/>
              <w:wAfter w:w="454"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DD448E2" w14:textId="77777777">
                <w:pPr>
                  <w:suppressAutoHyphens/>
                  <w:jc w:val="center"/>
                  <w:textAlignment w:val="baseline"/>
                  <w:rPr>
                    <w:szCs w:val="24"/>
                    <w:lang w:eastAsia="lt-LT"/>
                  </w:rPr>
                </w:pPr>
                <w:r>
                  <w:rPr>
                    <w:szCs w:val="24"/>
                    <w:lang w:eastAsia="lt-LT"/>
                  </w:rPr>
                  <w:t>6.</w:t>
                </w:r>
              </w:p>
            </w:tc>
            <w:tc>
              <w:tcPr>
                <w:tcW w:w="3653"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63FCEFAC" w14:textId="77777777">
                <w:pPr>
                  <w:suppressAutoHyphens/>
                  <w:textAlignment w:val="baseline"/>
                  <w:rPr>
                    <w:szCs w:val="24"/>
                    <w:highlight w:val="yellow"/>
                    <w:lang w:eastAsia="lt-LT"/>
                  </w:rPr>
                </w:pPr>
                <w:r>
                  <w:rPr>
                    <w:szCs w:val="24"/>
                    <w:lang w:eastAsia="lt-LT"/>
                  </w:rPr>
                  <w:t>Teisės akto projekte nustatytas baigtinis motyvuotų atvejų, kai priimant sprendimus taikomos išimtys, sąrašas</w:t>
                </w:r>
              </w:p>
            </w:tc>
            <w:tc>
              <w:tcPr>
                <w:tcW w:w="396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9839710" w14:textId="77777777">
                <w:pPr>
                  <w:suppressAutoHyphens/>
                  <w:jc w:val="both"/>
                  <w:textAlignment w:val="baseline"/>
                  <w:rPr>
                    <w:bCs/>
                  </w:rPr>
                </w:pPr>
                <w:r>
                  <w:rPr>
                    <w:bCs/>
                  </w:rPr>
                  <w:t>Kriterijus nėra teisės akto projekto reglamentavimo dalykas.</w:t>
                </w:r>
              </w:p>
              <w:p w14:paraId="48472B23" w14:textId="77777777">
                <w:pPr>
                  <w:suppressAutoHyphens/>
                  <w:jc w:val="both"/>
                  <w:textAlignment w:val="baseline"/>
                  <w:rPr>
                    <w:bCs/>
                  </w:rPr>
                </w:pPr>
              </w:p>
              <w:p w14:paraId="7E74A4CF" w14:textId="77777777">
                <w:pPr>
                  <w:suppressAutoHyphens/>
                  <w:jc w:val="both"/>
                  <w:textAlignment w:val="baseline"/>
                  <w:rPr>
                    <w:szCs w:val="24"/>
                    <w:lang w:eastAsia="lt-LT"/>
                  </w:rPr>
                </w:pPr>
              </w:p>
            </w:tc>
            <w:tc>
              <w:tcPr>
                <w:tcW w:w="396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BE38F82" w14:textId="77777777">
                <w:pPr>
                  <w:suppressAutoHyphens/>
                  <w:textAlignment w:val="baseline"/>
                  <w:rPr>
                    <w:szCs w:val="24"/>
                    <w:lang w:eastAsia="lt-LT"/>
                  </w:rPr>
                </w:pPr>
              </w:p>
            </w:tc>
            <w:tc>
              <w:tcPr>
                <w:tcW w:w="269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405673C" w14:textId="77777777">
                <w:pPr>
                  <w:suppressAutoHyphens/>
                  <w:textAlignment w:val="baseline"/>
                  <w:rPr>
                    <w:szCs w:val="24"/>
                    <w:lang w:eastAsia="lt-LT"/>
                  </w:rPr>
                </w:pPr>
                <w:r>
                  <w:rPr>
                    <w:szCs w:val="24"/>
                    <w:lang w:eastAsia="lt-LT"/>
                  </w:rPr>
                  <w:t>□ tenkina</w:t>
                </w:r>
              </w:p>
              <w:p w14:paraId="1E56500D" w14:textId="77777777">
                <w:pPr>
                  <w:suppressAutoHyphens/>
                  <w:textAlignment w:val="baseline"/>
                  <w:rPr>
                    <w:szCs w:val="24"/>
                    <w:lang w:eastAsia="lt-LT"/>
                  </w:rPr>
                </w:pPr>
                <w:r>
                  <w:rPr>
                    <w:szCs w:val="24"/>
                    <w:lang w:eastAsia="lt-LT"/>
                  </w:rPr>
                  <w:t>□ netenkina</w:t>
                </w:r>
              </w:p>
            </w:tc>
          </w:tr>
          <w:tr w14:paraId="192F20D4" w14:textId="77777777">
            <w:trPr>
              <w:gridAfter w:val="1"/>
              <w:wAfter w:w="454"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589A4048" w14:textId="77777777">
                <w:pPr>
                  <w:suppressAutoHyphens/>
                  <w:jc w:val="center"/>
                  <w:textAlignment w:val="baseline"/>
                  <w:rPr>
                    <w:szCs w:val="24"/>
                    <w:lang w:eastAsia="lt-LT"/>
                  </w:rPr>
                </w:pPr>
                <w:r>
                  <w:rPr>
                    <w:szCs w:val="24"/>
                    <w:lang w:eastAsia="lt-LT"/>
                  </w:rPr>
                  <w:t>7.</w:t>
                </w:r>
              </w:p>
            </w:tc>
            <w:tc>
              <w:tcPr>
                <w:tcW w:w="3653"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30A0F515" w14:textId="77777777">
                <w:pPr>
                  <w:suppressAutoHyphens/>
                  <w:textAlignment w:val="baseline"/>
                  <w:rPr>
                    <w:szCs w:val="24"/>
                    <w:lang w:eastAsia="lt-LT"/>
                  </w:rPr>
                </w:pPr>
                <w:r>
                  <w:rPr>
                    <w:szCs w:val="24"/>
                    <w:lang w:eastAsia="lt-LT"/>
                  </w:rPr>
                  <w:t xml:space="preserve">Teisės akto projekte nustatyta sprendimų priėmimo, įforminimo ir viešinimo tvarka </w:t>
                </w:r>
              </w:p>
            </w:tc>
            <w:tc>
              <w:tcPr>
                <w:tcW w:w="396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AF8B29F" w14:textId="77777777">
                <w:pPr>
                  <w:suppressAutoHyphens/>
                  <w:jc w:val="both"/>
                  <w:textAlignment w:val="baseline"/>
                  <w:rPr>
                    <w:szCs w:val="24"/>
                    <w:lang w:eastAsia="lt-LT"/>
                  </w:rPr>
                </w:pPr>
                <w:r>
                  <w:rPr>
                    <w:szCs w:val="24"/>
                    <w:lang w:eastAsia="lt-LT"/>
                  </w:rPr>
                  <w:t>Teisės akto projekte nustatyta sprendimų priėmimo ir įforminimo tvarka.</w:t>
                </w:r>
              </w:p>
              <w:p w14:paraId="786FB549" w14:textId="77777777">
                <w:pPr>
                  <w:suppressAutoHyphens/>
                  <w:jc w:val="both"/>
                  <w:textAlignment w:val="baseline"/>
                  <w:rPr>
                    <w:szCs w:val="24"/>
                    <w:lang w:eastAsia="lt-LT"/>
                  </w:rPr>
                </w:pPr>
              </w:p>
              <w:p w14:paraId="38837B46" w14:textId="6811DE55">
                <w:pPr>
                  <w:suppressAutoHyphens/>
                  <w:jc w:val="both"/>
                  <w:textAlignment w:val="baseline"/>
                  <w:rPr>
                    <w:szCs w:val="24"/>
                    <w:lang w:eastAsia="lt-LT"/>
                  </w:rPr>
                </w:pPr>
                <w:r>
                  <w:rPr>
                    <w:szCs w:val="24"/>
                    <w:lang w:eastAsia="lt-LT"/>
                  </w:rPr>
                  <w:t>III, VII-VIII skyriuose numatyta leidimų išdavimo, sustabdymo, panaikinimo ir įforminimo tvarka.</w:t>
                </w:r>
              </w:p>
              <w:p w14:paraId="6ABE9F5D" w14:textId="6EFB4498">
                <w:pPr>
                  <w:suppressAutoHyphens/>
                  <w:jc w:val="both"/>
                  <w:textAlignment w:val="baseline"/>
                  <w:rPr>
                    <w:szCs w:val="24"/>
                    <w:lang w:eastAsia="lt-LT"/>
                  </w:rPr>
                </w:pPr>
              </w:p>
            </w:tc>
            <w:tc>
              <w:tcPr>
                <w:tcW w:w="396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DF494CB" w14:textId="77777777">
                <w:pPr>
                  <w:suppressAutoHyphens/>
                  <w:textAlignment w:val="baseline"/>
                  <w:rPr>
                    <w:szCs w:val="24"/>
                    <w:lang w:eastAsia="lt-LT"/>
                  </w:rPr>
                </w:pPr>
              </w:p>
            </w:tc>
            <w:tc>
              <w:tcPr>
                <w:tcW w:w="269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1AFCF9B4" w14:textId="1AF78835">
                <w:pPr>
                  <w:suppressAutoHyphens/>
                  <w:textAlignment w:val="baseline"/>
                  <w:rPr>
                    <w:szCs w:val="24"/>
                    <w:lang w:eastAsia="lt-LT"/>
                  </w:rPr>
                </w:pPr>
                <w:r>
                  <w:rPr>
                    <w:szCs w:val="24"/>
                    <w:lang w:eastAsia="lt-LT"/>
                  </w:rPr>
                  <w:t>X tenkina</w:t>
                </w:r>
              </w:p>
              <w:p w14:paraId="76042C94" w14:textId="77777777">
                <w:pPr>
                  <w:suppressAutoHyphens/>
                  <w:textAlignment w:val="baseline"/>
                  <w:rPr>
                    <w:szCs w:val="24"/>
                    <w:lang w:eastAsia="lt-LT"/>
                  </w:rPr>
                </w:pPr>
                <w:r>
                  <w:rPr>
                    <w:szCs w:val="24"/>
                    <w:lang w:eastAsia="lt-LT"/>
                  </w:rPr>
                  <w:t>□ netenkina</w:t>
                </w:r>
              </w:p>
            </w:tc>
          </w:tr>
          <w:tr w14:paraId="28889AF3" w14:textId="77777777">
            <w:trPr>
              <w:gridAfter w:val="1"/>
              <w:wAfter w:w="454"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00B309E" w14:textId="31E9670A">
                <w:pPr>
                  <w:suppressAutoHyphens/>
                  <w:jc w:val="center"/>
                  <w:textAlignment w:val="baseline"/>
                </w:pPr>
                <w:r>
                  <w:t>8.</w:t>
                </w:r>
              </w:p>
            </w:tc>
            <w:tc>
              <w:tcPr>
                <w:tcW w:w="3653"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085501CE" w14:textId="77777777">
                <w:pPr>
                  <w:suppressAutoHyphens/>
                  <w:textAlignment w:val="baseline"/>
                </w:pPr>
                <w:r>
                  <w:t xml:space="preserve">Teisės akto projekte nustatyti sprendimų dėl mažareikšmiškumo kriterijai ir priėmimo tvarka </w:t>
                </w:r>
              </w:p>
            </w:tc>
            <w:tc>
              <w:tcPr>
                <w:tcW w:w="396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032FE99" w14:textId="77777777">
                <w:pPr>
                  <w:suppressAutoHyphens/>
                  <w:jc w:val="both"/>
                  <w:textAlignment w:val="baseline"/>
                  <w:rPr>
                    <w:bCs/>
                  </w:rPr>
                </w:pPr>
                <w:r>
                  <w:rPr>
                    <w:bCs/>
                  </w:rPr>
                  <w:t>Kriterijus nėra teisės akto projekto reglamentavimo dalykas.</w:t>
                </w:r>
              </w:p>
              <w:p w14:paraId="7F5E0759" w14:textId="77777777">
                <w:pPr>
                  <w:suppressAutoHyphens/>
                  <w:jc w:val="both"/>
                  <w:textAlignment w:val="baseline"/>
                  <w:rPr>
                    <w:bCs/>
                  </w:rPr>
                </w:pPr>
              </w:p>
              <w:p w14:paraId="01E2519B" w14:textId="77777777">
                <w:pPr>
                  <w:suppressAutoHyphens/>
                  <w:jc w:val="both"/>
                  <w:textAlignment w:val="baseline"/>
                  <w:rPr>
                    <w:b/>
                    <w:szCs w:val="24"/>
                    <w:lang w:eastAsia="lt-LT"/>
                  </w:rPr>
                </w:pPr>
              </w:p>
            </w:tc>
            <w:tc>
              <w:tcPr>
                <w:tcW w:w="396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2615E28" w14:textId="77777777">
                <w:pPr>
                  <w:suppressAutoHyphens/>
                  <w:textAlignment w:val="baseline"/>
                  <w:rPr>
                    <w:b/>
                    <w:szCs w:val="24"/>
                    <w:lang w:eastAsia="lt-LT"/>
                  </w:rPr>
                </w:pPr>
              </w:p>
            </w:tc>
            <w:tc>
              <w:tcPr>
                <w:tcW w:w="269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C65FCE0" w14:textId="77777777">
                <w:pPr>
                  <w:suppressAutoHyphens/>
                  <w:textAlignment w:val="baseline"/>
                  <w:rPr>
                    <w:szCs w:val="24"/>
                    <w:lang w:eastAsia="lt-LT"/>
                  </w:rPr>
                </w:pPr>
                <w:r>
                  <w:rPr>
                    <w:szCs w:val="24"/>
                    <w:lang w:eastAsia="lt-LT"/>
                  </w:rPr>
                  <w:t>□ tenkina</w:t>
                </w:r>
              </w:p>
              <w:p w14:paraId="7FA2EDC5" w14:textId="77777777">
                <w:pPr>
                  <w:suppressAutoHyphens/>
                  <w:textAlignment w:val="baseline"/>
                  <w:rPr>
                    <w:szCs w:val="24"/>
                    <w:lang w:eastAsia="lt-LT"/>
                  </w:rPr>
                </w:pPr>
                <w:r>
                  <w:rPr>
                    <w:szCs w:val="24"/>
                    <w:lang w:eastAsia="lt-LT"/>
                  </w:rPr>
                  <w:t>□ netenkina</w:t>
                </w:r>
              </w:p>
            </w:tc>
          </w:tr>
          <w:tr w14:paraId="553D52EB" w14:textId="77777777">
            <w:trPr>
              <w:gridAfter w:val="1"/>
              <w:wAfter w:w="454"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1BAD23D6" w14:textId="77777777">
                <w:pPr>
                  <w:suppressAutoHyphens/>
                  <w:jc w:val="center"/>
                  <w:textAlignment w:val="baseline"/>
                  <w:rPr>
                    <w:szCs w:val="24"/>
                    <w:lang w:eastAsia="lt-LT"/>
                  </w:rPr>
                </w:pPr>
                <w:r>
                  <w:rPr>
                    <w:szCs w:val="24"/>
                    <w:lang w:eastAsia="lt-LT"/>
                  </w:rPr>
                  <w:t>9.</w:t>
                </w:r>
              </w:p>
            </w:tc>
            <w:tc>
              <w:tcPr>
                <w:tcW w:w="3653"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5C448E20" w14:textId="77777777">
                <w:pPr>
                  <w:suppressAutoHyphens/>
                  <w:textAlignment w:val="baseline"/>
                  <w:rPr>
                    <w:szCs w:val="24"/>
                    <w:lang w:eastAsia="lt-LT"/>
                  </w:rPr>
                </w:pPr>
                <w:r>
                  <w:rPr>
                    <w:szCs w:val="24"/>
                    <w:lang w:eastAsia="lt-LT"/>
                  </w:rPr>
                  <w:t>Jeigu pagal numatomą reguliavimą sprendimus priima kolegialus subjektas, teisės akto projekte nustatyta kolegialaus sprendimus priimančio subjekto:</w:t>
                </w:r>
              </w:p>
              <w:p w14:paraId="4D0D431B" w14:textId="77777777">
                <w:pPr>
                  <w:suppressAutoHyphens/>
                  <w:ind w:left="33"/>
                  <w:textAlignment w:val="baseline"/>
                  <w:rPr>
                    <w:szCs w:val="24"/>
                  </w:rPr>
                </w:pPr>
                <w:r>
                  <w:rPr>
                    <w:szCs w:val="24"/>
                  </w:rPr>
                  <w:t>9.1. konkretus narių skaičius, užtikrinantis kolegialaus sprendimus priimančio subjekto veiklos objektyvumą</w:t>
                </w:r>
              </w:p>
              <w:p w14:paraId="10D448B7" w14:textId="77777777">
                <w:pPr>
                  <w:suppressAutoHyphens/>
                  <w:ind w:left="33"/>
                  <w:textAlignment w:val="baseline"/>
                  <w:rPr>
                    <w:szCs w:val="24"/>
                  </w:rPr>
                </w:pPr>
                <w:r>
                  <w:rPr>
                    <w:szCs w:val="24"/>
                  </w:rPr>
                  <w:t>9.2. jeigu narius skiria keli subjektai, proporcinga kiekvieno subjekto skiriamų narių dalis, užtikrinanti tinkamą atstovavimą valstybės interesams ir kolegialaus sprendimus priimančio subjekto veiklos objektyvumą ir skaidrumą</w:t>
                </w:r>
              </w:p>
              <w:p w14:paraId="3AF64928" w14:textId="77777777">
                <w:pPr>
                  <w:suppressAutoHyphens/>
                  <w:textAlignment w:val="baseline"/>
                </w:pPr>
                <w:r>
                  <w:rPr>
                    <w:szCs w:val="24"/>
                    <w:lang w:eastAsia="lt-LT"/>
                  </w:rPr>
                  <w:t>9.3</w:t>
                </w:r>
                <w:r>
                  <w:rPr>
                    <w:spacing w:val="-4"/>
                    <w:szCs w:val="24"/>
                    <w:lang w:eastAsia="lt-LT"/>
                  </w:rPr>
                  <w:t>. narių skyrimo mechanizmas</w:t>
                </w:r>
              </w:p>
              <w:p w14:paraId="1561519C" w14:textId="77777777">
                <w:pPr>
                  <w:suppressAutoHyphens/>
                  <w:textAlignment w:val="baseline"/>
                  <w:rPr>
                    <w:szCs w:val="24"/>
                    <w:lang w:eastAsia="lt-LT"/>
                  </w:rPr>
                </w:pPr>
                <w:r>
                  <w:rPr>
                    <w:szCs w:val="24"/>
                    <w:lang w:eastAsia="lt-LT"/>
                  </w:rPr>
                  <w:t>9.4. narių rotacija ir kadencijų skaičius ir trukmė</w:t>
                </w:r>
              </w:p>
              <w:p w14:paraId="51848B7D" w14:textId="77777777">
                <w:pPr>
                  <w:suppressAutoHyphens/>
                  <w:textAlignment w:val="baseline"/>
                  <w:rPr>
                    <w:szCs w:val="24"/>
                  </w:rPr>
                </w:pPr>
                <w:r>
                  <w:rPr>
                    <w:szCs w:val="24"/>
                  </w:rPr>
                  <w:t>9.5. veiklos pobūdis laiko atžvilgiu</w:t>
                </w:r>
              </w:p>
              <w:p w14:paraId="64E80EA1" w14:textId="77777777">
                <w:pPr>
                  <w:suppressAutoHyphens/>
                  <w:textAlignment w:val="baseline"/>
                  <w:rPr>
                    <w:szCs w:val="24"/>
                    <w:lang w:eastAsia="lt-LT"/>
                  </w:rPr>
                </w:pPr>
                <w:r>
                  <w:rPr>
                    <w:szCs w:val="24"/>
                    <w:lang w:eastAsia="lt-LT"/>
                  </w:rPr>
                  <w:t>9.6. asmeninė narių atsakomybė</w:t>
                </w:r>
              </w:p>
            </w:tc>
            <w:tc>
              <w:tcPr>
                <w:tcW w:w="396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586169F" w14:textId="77777777">
                <w:pPr>
                  <w:suppressAutoHyphens/>
                  <w:jc w:val="both"/>
                  <w:textAlignment w:val="baseline"/>
                  <w:rPr>
                    <w:bCs/>
                  </w:rPr>
                </w:pPr>
                <w:r>
                  <w:rPr>
                    <w:bCs/>
                  </w:rPr>
                  <w:t>Kriterijus nėra teisės akto projekto reglamentavimo dalykas.</w:t>
                </w:r>
              </w:p>
              <w:p w14:paraId="18D37E5A" w14:textId="77777777">
                <w:pPr>
                  <w:suppressAutoHyphens/>
                  <w:jc w:val="both"/>
                  <w:textAlignment w:val="baseline"/>
                  <w:rPr>
                    <w:bCs/>
                  </w:rPr>
                </w:pPr>
              </w:p>
              <w:p w14:paraId="04A2FA25" w14:textId="77777777">
                <w:pPr>
                  <w:suppressAutoHyphens/>
                  <w:jc w:val="both"/>
                  <w:textAlignment w:val="baseline"/>
                  <w:rPr>
                    <w:i/>
                    <w:szCs w:val="24"/>
                    <w:lang w:eastAsia="lt-LT"/>
                  </w:rPr>
                </w:pPr>
              </w:p>
            </w:tc>
            <w:tc>
              <w:tcPr>
                <w:tcW w:w="396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B6320CC" w14:textId="77777777">
                <w:pPr>
                  <w:suppressAutoHyphens/>
                  <w:textAlignment w:val="baseline"/>
                  <w:rPr>
                    <w:szCs w:val="24"/>
                    <w:lang w:eastAsia="lt-LT"/>
                  </w:rPr>
                </w:pPr>
              </w:p>
            </w:tc>
            <w:tc>
              <w:tcPr>
                <w:tcW w:w="269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24EE3DA1" w14:textId="77777777">
                <w:pPr>
                  <w:suppressAutoHyphens/>
                  <w:textAlignment w:val="baseline"/>
                  <w:rPr>
                    <w:szCs w:val="24"/>
                    <w:lang w:eastAsia="lt-LT"/>
                  </w:rPr>
                </w:pPr>
                <w:r>
                  <w:rPr>
                    <w:szCs w:val="24"/>
                    <w:lang w:eastAsia="lt-LT"/>
                  </w:rPr>
                  <w:t>□ tenkina</w:t>
                </w:r>
              </w:p>
              <w:p w14:paraId="62BF055B" w14:textId="77777777">
                <w:pPr>
                  <w:suppressAutoHyphens/>
                  <w:textAlignment w:val="baseline"/>
                  <w:rPr>
                    <w:szCs w:val="24"/>
                    <w:lang w:eastAsia="lt-LT"/>
                  </w:rPr>
                </w:pPr>
                <w:r>
                  <w:rPr>
                    <w:szCs w:val="24"/>
                    <w:lang w:eastAsia="lt-LT"/>
                  </w:rPr>
                  <w:t>□ netenkina</w:t>
                </w:r>
              </w:p>
            </w:tc>
          </w:tr>
          <w:tr w14:paraId="1939CDE6" w14:textId="77777777">
            <w:trPr>
              <w:gridAfter w:val="1"/>
              <w:wAfter w:w="454"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2CA2D990" w14:textId="77777777">
                <w:pPr>
                  <w:suppressAutoHyphens/>
                  <w:jc w:val="center"/>
                  <w:textAlignment w:val="baseline"/>
                  <w:rPr>
                    <w:szCs w:val="24"/>
                    <w:lang w:eastAsia="lt-LT"/>
                  </w:rPr>
                </w:pPr>
                <w:r>
                  <w:rPr>
                    <w:szCs w:val="24"/>
                    <w:lang w:eastAsia="lt-LT"/>
                  </w:rPr>
                  <w:t>10.</w:t>
                </w:r>
              </w:p>
            </w:tc>
            <w:tc>
              <w:tcPr>
                <w:tcW w:w="3653"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7E813B21" w14:textId="77777777">
                <w:pPr>
                  <w:suppressAutoHyphens/>
                  <w:textAlignment w:val="baseline"/>
                </w:pPr>
                <w:r>
                  <w:rPr>
                    <w:szCs w:val="24"/>
                    <w:lang w:eastAsia="lt-LT"/>
                  </w:rPr>
                  <w:t xml:space="preserve">Numatytos procedūros yra </w:t>
                </w:r>
                <w:r>
                  <w:rPr>
                    <w:szCs w:val="24"/>
                    <w:shd w:val="clear" w:color="auto" w:fill="FFFFFF"/>
                    <w:lang w:eastAsia="lt-LT"/>
                  </w:rPr>
                  <w:t>būtinos,</w:t>
                </w:r>
                <w:r>
                  <w:rPr>
                    <w:szCs w:val="24"/>
                    <w:lang w:eastAsia="lt-LT"/>
                  </w:rPr>
                  <w:t xml:space="preserve"> nustatyta išsami jų taikymo (viešinimo) tvarka </w:t>
                </w:r>
              </w:p>
            </w:tc>
            <w:tc>
              <w:tcPr>
                <w:tcW w:w="396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EC66EAE" w14:textId="3DE9C35E">
                <w:pPr>
                  <w:suppressAutoHyphens/>
                  <w:jc w:val="both"/>
                  <w:textAlignment w:val="baseline"/>
                  <w:rPr>
                    <w:szCs w:val="24"/>
                    <w:lang w:eastAsia="lt-LT"/>
                  </w:rPr>
                </w:pPr>
                <w:r>
                  <w:rPr>
                    <w:szCs w:val="24"/>
                    <w:lang w:eastAsia="lt-LT"/>
                  </w:rPr>
                  <w:t xml:space="preserve">Numatytos procedūros yra </w:t>
                </w:r>
                <w:r>
                  <w:rPr>
                    <w:szCs w:val="24"/>
                    <w:shd w:val="clear" w:color="auto" w:fill="FFFFFF"/>
                    <w:lang w:eastAsia="lt-LT"/>
                  </w:rPr>
                  <w:t>būtinos,</w:t>
                </w:r>
                <w:r>
                  <w:rPr>
                    <w:szCs w:val="24"/>
                    <w:lang w:eastAsia="lt-LT"/>
                  </w:rPr>
                  <w:t xml:space="preserve"> nustatyta išsami jų taikymo tvarka.</w:t>
                </w:r>
              </w:p>
              <w:p w14:paraId="5D90CF44" w14:textId="77777777">
                <w:pPr>
                  <w:suppressAutoHyphens/>
                  <w:jc w:val="both"/>
                  <w:textAlignment w:val="baseline"/>
                  <w:rPr>
                    <w:szCs w:val="24"/>
                    <w:lang w:eastAsia="lt-LT"/>
                  </w:rPr>
                </w:pPr>
              </w:p>
            </w:tc>
            <w:tc>
              <w:tcPr>
                <w:tcW w:w="396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76C5D8A" w14:textId="77777777">
                <w:pPr>
                  <w:suppressAutoHyphens/>
                  <w:textAlignment w:val="baseline"/>
                  <w:rPr>
                    <w:szCs w:val="24"/>
                    <w:lang w:eastAsia="lt-LT"/>
                  </w:rPr>
                </w:pPr>
              </w:p>
            </w:tc>
            <w:tc>
              <w:tcPr>
                <w:tcW w:w="269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334D37F2" w14:textId="77777777">
                <w:pPr>
                  <w:suppressAutoHyphens/>
                  <w:textAlignment w:val="baseline"/>
                  <w:rPr>
                    <w:szCs w:val="24"/>
                    <w:lang w:eastAsia="lt-LT"/>
                  </w:rPr>
                </w:pPr>
                <w:r>
                  <w:rPr>
                    <w:szCs w:val="24"/>
                    <w:lang w:eastAsia="lt-LT"/>
                  </w:rPr>
                  <w:t>X tenkina</w:t>
                </w:r>
              </w:p>
              <w:p w14:paraId="34681D53" w14:textId="77777777">
                <w:pPr>
                  <w:suppressAutoHyphens/>
                  <w:textAlignment w:val="baseline"/>
                  <w:rPr>
                    <w:szCs w:val="24"/>
                    <w:lang w:eastAsia="lt-LT"/>
                  </w:rPr>
                </w:pPr>
                <w:r>
                  <w:rPr>
                    <w:szCs w:val="24"/>
                    <w:lang w:eastAsia="lt-LT"/>
                  </w:rPr>
                  <w:t>□ netenkina</w:t>
                </w:r>
              </w:p>
            </w:tc>
          </w:tr>
          <w:tr w14:paraId="3E7DD744" w14:textId="77777777">
            <w:trPr>
              <w:gridAfter w:val="1"/>
              <w:wAfter w:w="454"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599CB4BD" w14:textId="77777777">
                <w:pPr>
                  <w:keepNext/>
                  <w:suppressAutoHyphens/>
                  <w:jc w:val="center"/>
                  <w:textAlignment w:val="baseline"/>
                  <w:rPr>
                    <w:szCs w:val="24"/>
                    <w:lang w:eastAsia="lt-LT"/>
                  </w:rPr>
                </w:pPr>
                <w:r>
                  <w:rPr>
                    <w:szCs w:val="24"/>
                    <w:lang w:eastAsia="lt-LT"/>
                  </w:rPr>
                  <w:t>11.</w:t>
                </w:r>
              </w:p>
            </w:tc>
            <w:tc>
              <w:tcPr>
                <w:tcW w:w="3653"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6BCE9BBC" w14:textId="77777777">
                <w:pPr>
                  <w:keepNext/>
                  <w:suppressAutoHyphens/>
                  <w:textAlignment w:val="baseline"/>
                </w:pPr>
                <w:r>
                  <w:rPr>
                    <w:szCs w:val="24"/>
                    <w:lang w:eastAsia="lt-LT"/>
                  </w:rPr>
                  <w:t>Teisės akto projekte nustatytas baigtinis motyvuotų atvejų, kai nustatoma procedūra netaikoma, sąrašas</w:t>
                </w:r>
              </w:p>
            </w:tc>
            <w:tc>
              <w:tcPr>
                <w:tcW w:w="396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0397CC5" w14:textId="77777777">
                <w:pPr>
                  <w:suppressAutoHyphens/>
                  <w:jc w:val="both"/>
                  <w:textAlignment w:val="baseline"/>
                  <w:rPr>
                    <w:bCs/>
                  </w:rPr>
                </w:pPr>
                <w:r>
                  <w:rPr>
                    <w:bCs/>
                  </w:rPr>
                  <w:t>Kriterijus nėra teisės akto projekto reglamentavimo dalykas.</w:t>
                </w:r>
              </w:p>
              <w:p w14:paraId="5A510C97" w14:textId="784414F5">
                <w:pPr>
                  <w:suppressAutoHyphens/>
                  <w:jc w:val="both"/>
                  <w:textAlignment w:val="baseline"/>
                  <w:rPr>
                    <w:bCs/>
                  </w:rPr>
                </w:pPr>
              </w:p>
              <w:p w14:paraId="725CD86A" w14:textId="77777777">
                <w:pPr>
                  <w:suppressAutoHyphens/>
                  <w:jc w:val="both"/>
                  <w:textAlignment w:val="baseline"/>
                  <w:rPr>
                    <w:szCs w:val="24"/>
                    <w:lang w:eastAsia="lt-LT"/>
                  </w:rPr>
                </w:pPr>
              </w:p>
            </w:tc>
            <w:tc>
              <w:tcPr>
                <w:tcW w:w="396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EE7595C" w14:textId="77777777">
                <w:pPr>
                  <w:keepNext/>
                  <w:suppressAutoHyphens/>
                  <w:textAlignment w:val="baseline"/>
                  <w:rPr>
                    <w:szCs w:val="24"/>
                    <w:lang w:eastAsia="lt-LT"/>
                  </w:rPr>
                </w:pPr>
              </w:p>
            </w:tc>
            <w:tc>
              <w:tcPr>
                <w:tcW w:w="269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3C5C0C31" w14:textId="77777777">
                <w:pPr>
                  <w:keepNext/>
                  <w:suppressAutoHyphens/>
                  <w:textAlignment w:val="baseline"/>
                  <w:rPr>
                    <w:szCs w:val="24"/>
                    <w:lang w:eastAsia="lt-LT"/>
                  </w:rPr>
                </w:pPr>
                <w:r>
                  <w:rPr>
                    <w:szCs w:val="24"/>
                    <w:lang w:eastAsia="lt-LT"/>
                  </w:rPr>
                  <w:t>□ tenkina</w:t>
                </w:r>
              </w:p>
              <w:p w14:paraId="324C91B0" w14:textId="77777777">
                <w:pPr>
                  <w:keepNext/>
                  <w:suppressAutoHyphens/>
                  <w:textAlignment w:val="baseline"/>
                  <w:rPr>
                    <w:szCs w:val="24"/>
                    <w:lang w:eastAsia="lt-LT"/>
                  </w:rPr>
                </w:pPr>
                <w:r>
                  <w:rPr>
                    <w:szCs w:val="24"/>
                    <w:lang w:eastAsia="lt-LT"/>
                  </w:rPr>
                  <w:t>□ netenkina</w:t>
                </w:r>
              </w:p>
            </w:tc>
          </w:tr>
          <w:tr w14:paraId="5BDBCD54" w14:textId="77777777">
            <w:trPr>
              <w:gridAfter w:val="1"/>
              <w:wAfter w:w="454"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7CB82CBB" w14:textId="77777777">
                <w:pPr>
                  <w:suppressAutoHyphens/>
                  <w:jc w:val="center"/>
                  <w:textAlignment w:val="baseline"/>
                  <w:rPr>
                    <w:szCs w:val="24"/>
                    <w:lang w:eastAsia="lt-LT"/>
                  </w:rPr>
                </w:pPr>
                <w:r>
                  <w:rPr>
                    <w:szCs w:val="24"/>
                    <w:lang w:eastAsia="lt-LT"/>
                  </w:rPr>
                  <w:t>12.</w:t>
                </w:r>
              </w:p>
            </w:tc>
            <w:tc>
              <w:tcPr>
                <w:tcW w:w="3653"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0990AC1" w14:textId="77777777">
                <w:pPr>
                  <w:suppressAutoHyphens/>
                  <w:textAlignment w:val="baseline"/>
                </w:pPr>
                <w:r>
                  <w:rPr>
                    <w:szCs w:val="24"/>
                    <w:lang w:eastAsia="lt-LT"/>
                  </w:rPr>
                  <w:t>Teisės akto projektas nustato jo nuostatoms įgyvendinti numatytų procedūrų ir sprendimų priėmimo konkrečius terminus</w:t>
                </w:r>
              </w:p>
            </w:tc>
            <w:tc>
              <w:tcPr>
                <w:tcW w:w="396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655219F" w14:textId="6C11CF1B">
                <w:pPr>
                  <w:suppressAutoHyphens/>
                  <w:jc w:val="both"/>
                  <w:textAlignment w:val="baseline"/>
                  <w:rPr>
                    <w:szCs w:val="24"/>
                    <w:lang w:eastAsia="lt-LT"/>
                  </w:rPr>
                </w:pPr>
                <w:r>
                  <w:rPr>
                    <w:szCs w:val="24"/>
                    <w:lang w:eastAsia="lt-LT"/>
                  </w:rPr>
                  <w:t>Teisės akto projektas nustato jo nuostatoms įgyvendinti numatytų procedūrų ir sprendimų priėmimo konkrečius terminus – 19, 20, 21, 22, 23, 25, 26, 29, 33, 34, 50, 51, 54, 55, 56, 60, 63, 69, 73, 74, 76, 83, 84, 85, 91, 94, 102, 103, 104, 106, 107, 110, 111, 115, 118, 119, 126, 136, 137 punktai.</w:t>
                </w:r>
              </w:p>
              <w:p w14:paraId="4C959941" w14:textId="7FC07BAA">
                <w:pPr>
                  <w:suppressAutoHyphens/>
                  <w:jc w:val="both"/>
                  <w:textAlignment w:val="baseline"/>
                  <w:rPr>
                    <w:szCs w:val="24"/>
                    <w:lang w:eastAsia="lt-LT"/>
                  </w:rPr>
                </w:pPr>
              </w:p>
            </w:tc>
            <w:tc>
              <w:tcPr>
                <w:tcW w:w="396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22533A6" w14:textId="77777777">
                <w:pPr>
                  <w:suppressAutoHyphens/>
                  <w:textAlignment w:val="baseline"/>
                  <w:rPr>
                    <w:b/>
                    <w:szCs w:val="24"/>
                    <w:lang w:eastAsia="lt-LT"/>
                  </w:rPr>
                </w:pPr>
              </w:p>
            </w:tc>
            <w:tc>
              <w:tcPr>
                <w:tcW w:w="269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083B2367" w14:textId="5ADCCE31">
                <w:pPr>
                  <w:suppressAutoHyphens/>
                  <w:textAlignment w:val="baseline"/>
                  <w:rPr>
                    <w:szCs w:val="24"/>
                    <w:lang w:eastAsia="lt-LT"/>
                  </w:rPr>
                </w:pPr>
                <w:r>
                  <w:rPr>
                    <w:szCs w:val="24"/>
                    <w:lang w:eastAsia="lt-LT"/>
                  </w:rPr>
                  <w:t>X tenkina</w:t>
                </w:r>
              </w:p>
              <w:p w14:paraId="5FC9CD74" w14:textId="77777777">
                <w:pPr>
                  <w:suppressAutoHyphens/>
                  <w:textAlignment w:val="baseline"/>
                  <w:rPr>
                    <w:b/>
                    <w:szCs w:val="24"/>
                    <w:lang w:eastAsia="lt-LT"/>
                  </w:rPr>
                </w:pPr>
                <w:r>
                  <w:rPr>
                    <w:szCs w:val="24"/>
                    <w:lang w:eastAsia="lt-LT"/>
                  </w:rPr>
                  <w:t>□ netenkina</w:t>
                </w:r>
              </w:p>
            </w:tc>
          </w:tr>
          <w:tr w14:paraId="67F1319D" w14:textId="77777777">
            <w:trPr>
              <w:gridAfter w:val="1"/>
              <w:wAfter w:w="454"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1A6108D4" w14:textId="5AF783C9">
                <w:pPr>
                  <w:suppressAutoHyphens/>
                  <w:jc w:val="center"/>
                  <w:textAlignment w:val="baseline"/>
                  <w:rPr>
                    <w:szCs w:val="24"/>
                    <w:lang w:eastAsia="lt-LT"/>
                  </w:rPr>
                </w:pPr>
                <w:r>
                  <w:rPr>
                    <w:szCs w:val="24"/>
                    <w:lang w:eastAsia="lt-LT"/>
                  </w:rPr>
                  <w:t>13.</w:t>
                </w:r>
              </w:p>
            </w:tc>
            <w:tc>
              <w:tcPr>
                <w:tcW w:w="3653"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179C636B" w14:textId="77777777">
                <w:pPr>
                  <w:suppressAutoHyphens/>
                  <w:textAlignment w:val="baseline"/>
                  <w:rPr>
                    <w:szCs w:val="24"/>
                    <w:lang w:eastAsia="lt-LT"/>
                  </w:rPr>
                </w:pPr>
                <w:r>
                  <w:rPr>
                    <w:szCs w:val="24"/>
                    <w:lang w:eastAsia="lt-LT"/>
                  </w:rPr>
                  <w:t>Teisės akto projektas nustato motyvuotas terminų sustabdymo ir pratęsimo galimybes</w:t>
                </w:r>
              </w:p>
            </w:tc>
            <w:tc>
              <w:tcPr>
                <w:tcW w:w="396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59EAE66" w14:textId="77777777">
                <w:pPr>
                  <w:suppressAutoHyphens/>
                  <w:jc w:val="both"/>
                  <w:textAlignment w:val="baseline"/>
                  <w:rPr>
                    <w:bCs/>
                  </w:rPr>
                </w:pPr>
                <w:r>
                  <w:rPr>
                    <w:bCs/>
                  </w:rPr>
                  <w:t>Kriterijus nėra teisės akto projekto reglamentavimo dalykas.</w:t>
                </w:r>
              </w:p>
              <w:p w14:paraId="1395778B" w14:textId="77777777">
                <w:pPr>
                  <w:suppressAutoHyphens/>
                  <w:textAlignment w:val="baseline"/>
                  <w:rPr>
                    <w:szCs w:val="24"/>
                    <w:lang w:eastAsia="lt-LT"/>
                  </w:rPr>
                </w:pPr>
              </w:p>
              <w:p w14:paraId="6817C5F8" w14:textId="77777777">
                <w:pPr>
                  <w:suppressAutoHyphens/>
                  <w:textAlignment w:val="baseline"/>
                  <w:rPr>
                    <w:szCs w:val="24"/>
                    <w:lang w:eastAsia="lt-LT"/>
                  </w:rPr>
                </w:pPr>
              </w:p>
            </w:tc>
            <w:tc>
              <w:tcPr>
                <w:tcW w:w="396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31296F4" w14:textId="77777777">
                <w:pPr>
                  <w:suppressAutoHyphens/>
                  <w:textAlignment w:val="baseline"/>
                  <w:rPr>
                    <w:szCs w:val="24"/>
                    <w:lang w:eastAsia="lt-LT"/>
                  </w:rPr>
                </w:pPr>
              </w:p>
            </w:tc>
            <w:tc>
              <w:tcPr>
                <w:tcW w:w="269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2B360302" w14:textId="77777777">
                <w:pPr>
                  <w:suppressAutoHyphens/>
                  <w:textAlignment w:val="baseline"/>
                  <w:rPr>
                    <w:szCs w:val="24"/>
                    <w:lang w:eastAsia="lt-LT"/>
                  </w:rPr>
                </w:pPr>
                <w:r>
                  <w:rPr>
                    <w:szCs w:val="24"/>
                    <w:lang w:eastAsia="lt-LT"/>
                  </w:rPr>
                  <w:t>□ tenkina</w:t>
                </w:r>
              </w:p>
              <w:p w14:paraId="521E1AA6" w14:textId="77777777">
                <w:pPr>
                  <w:suppressAutoHyphens/>
                  <w:textAlignment w:val="baseline"/>
                  <w:rPr>
                    <w:szCs w:val="24"/>
                    <w:lang w:eastAsia="lt-LT"/>
                  </w:rPr>
                </w:pPr>
                <w:r>
                  <w:rPr>
                    <w:szCs w:val="24"/>
                    <w:lang w:eastAsia="lt-LT"/>
                  </w:rPr>
                  <w:t>□ netenkina</w:t>
                </w:r>
              </w:p>
            </w:tc>
          </w:tr>
          <w:tr w14:paraId="48B2BDD4" w14:textId="77777777">
            <w:trPr>
              <w:gridAfter w:val="1"/>
              <w:wAfter w:w="454"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2B092FAD" w14:textId="77777777">
                <w:pPr>
                  <w:suppressAutoHyphens/>
                  <w:jc w:val="center"/>
                  <w:textAlignment w:val="baseline"/>
                  <w:rPr>
                    <w:szCs w:val="24"/>
                    <w:lang w:eastAsia="lt-LT"/>
                  </w:rPr>
                </w:pPr>
                <w:r>
                  <w:rPr>
                    <w:szCs w:val="24"/>
                    <w:lang w:eastAsia="lt-LT"/>
                  </w:rPr>
                  <w:t>14.</w:t>
                </w:r>
              </w:p>
            </w:tc>
            <w:tc>
              <w:tcPr>
                <w:tcW w:w="3653"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1A76B8F2" w14:textId="77777777">
                <w:pPr>
                  <w:suppressAutoHyphens/>
                  <w:textAlignment w:val="baseline"/>
                  <w:rPr>
                    <w:strike/>
                  </w:rPr>
                </w:pPr>
                <w:r>
                  <w:rPr>
                    <w:szCs w:val="24"/>
                    <w:lang w:eastAsia="lt-LT"/>
                  </w:rPr>
                  <w:t>Teisės akto projektas nustato kontrolės (priežiūros) procedūrą ir aiškius jos atlikimo kriterijus (atvejus, dažnį, fiksavimą, kontrolės rezultatų viešinimą ir pan.)</w:t>
                </w:r>
              </w:p>
            </w:tc>
            <w:tc>
              <w:tcPr>
                <w:tcW w:w="396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A092C41" w14:textId="77777777">
                <w:pPr>
                  <w:suppressAutoHyphens/>
                  <w:jc w:val="both"/>
                  <w:textAlignment w:val="baseline"/>
                  <w:rPr>
                    <w:bCs/>
                  </w:rPr>
                </w:pPr>
                <w:r>
                  <w:rPr>
                    <w:bCs/>
                  </w:rPr>
                  <w:t>Kriterijus nėra teisės akto projekto reglamentavimo dalykas.</w:t>
                </w:r>
              </w:p>
              <w:p w14:paraId="2DFB26C9" w14:textId="77777777">
                <w:pPr>
                  <w:suppressAutoHyphens/>
                  <w:jc w:val="both"/>
                  <w:textAlignment w:val="baseline"/>
                  <w:rPr>
                    <w:bCs/>
                  </w:rPr>
                </w:pPr>
              </w:p>
              <w:p w14:paraId="170BCAD5" w14:textId="66C07DDE">
                <w:pPr>
                  <w:suppressAutoHyphens/>
                  <w:jc w:val="both"/>
                  <w:textAlignment w:val="baseline"/>
                  <w:rPr>
                    <w:bCs/>
                  </w:rPr>
                </w:pPr>
                <w:r>
                  <w:rPr>
                    <w:bCs/>
                  </w:rPr>
                  <w:t>Pagal taisykles:</w:t>
                </w:r>
              </w:p>
              <w:p w14:paraId="29DE148D" w14:textId="77777777">
                <w:pPr>
                  <w:widowControl w:val="0"/>
                  <w:suppressAutoHyphens/>
                  <w:jc w:val="both"/>
                  <w:rPr>
                    <w:color w:val="000000"/>
                    <w:spacing w:val="-4"/>
                    <w:szCs w:val="24"/>
                  </w:rPr>
                </w:pPr>
                <w:r>
                  <w:rPr>
                    <w:color w:val="000000"/>
                    <w:spacing w:val="-4"/>
                    <w:szCs w:val="24"/>
                  </w:rPr>
                  <w:t xml:space="preserve">„75. Valstybinė maisto ir veterinarijos tarnyba atlieka nelaisvėje laikomų laukinių gyvūnų sveikatos (įskaitant veterinarinių vaistų, veterinarinių priemonių, pašarų ir pašarų priedų naudojimą), užkrečiamųjų ligų valstybinę stebėseną ir kontrolę vadovaudamasi 2016 m. kovo 9 d. Europos Parlamento ir Tarybos reglamentu </w:t>
                </w:r>
                <w:fldSimple w:instr="HYPERLINK http://eur-lex.europa.eu/legal-content/LIT/TXT/?uri=CELEX:3429R2016&amp;locale=lt \t _blank">
                  <w:r>
                    <w:rPr>
                      <w:color w:val="0000FF" w:themeColor="hyperlink"/>
                      <w:spacing w:val="-4"/>
                      <w:szCs w:val="24"/>
                      <w:u w:val="single"/>
                    </w:rPr>
                    <w:t>(ES) 2016/429</w:t>
                  </w:r>
                </w:fldSimple>
                <w:r>
                  <w:rPr>
                    <w:color w:val="000000"/>
                    <w:spacing w:val="-4"/>
                    <w:szCs w:val="24"/>
                  </w:rPr>
                  <w:t xml:space="preserve"> dėl užkrečiamųjų gyvūnų ligų, kuriuo iš dalies keičiami ir panaikinami tam tikri gyvūnų sveikatos srities aktai (Gyvūnų sveikatos teisės aktas) su pakeitimais, Lietuvos Respublikos veterinarijos įstatymo, Valstybinės maisto ir veterinarijos tarnybos direktoriaus įsakymo, nustatančio  gyvūnų užkrečiamųjų ligų kontrolę, nuostatomis.</w:t>
                </w:r>
              </w:p>
              <w:p w14:paraId="47C73698" w14:textId="77777777">
                <w:pPr>
                  <w:tabs>
                    <w:tab w:val="left" w:pos="1276"/>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rPr>
                </w:pPr>
                <w:r>
                  <w:rPr>
                    <w:szCs w:val="24"/>
                  </w:rPr>
                  <w:t>76. Praėjus metams nuo leidimo laikyti nelaisvėje laukinius gyvūnus išdavimo dienos AAD kasmet tikrina, kaip laikomasi saugomų rūšių laukinių gyvūnų laikymo nelaisvėje reikalavimų l ir laikymo sąlygas aptvare, voljere ar kitame statinyje. Kitų laukinių gyvūnų, nepriskiriamų saugomoms rūšims, laikymo nelaisvėje reikalavimų laikymosi ir laukinių gyvūnų laikymo sąlygas aptvare, voljere ar kitame statinyje AAD tikrina ne rečiau kaip kas 3 metus nuo leidimo laikyti nelaisvėje laukinius gyvūnus išdavimo dienos.</w:t>
                </w:r>
              </w:p>
              <w:p w14:paraId="4A623335" w14:textId="2EF2C93F">
                <w:pPr>
                  <w:jc w:val="both"/>
                </w:pPr>
                <w:r>
                  <w:rPr>
                    <w:szCs w:val="24"/>
                  </w:rPr>
                  <w:t>77. Planiniai ir neplaniniai leidimo laikyti nelaisvėje laukinius gyvūnus turėtojo ar laukinių gyvūnų laikytojo nelaisvėje veiklos patikrinimai atliekami pagal Ūkio subjektų veiklos planinių ir neplaninių patikrinimų vykdant aplinkos apsaugos valstybinę kontrolę taisykles, tvirtinamas Aplinkos apsaugos departamento prie Aplinkos ministerijos direktoriaus.</w:t>
                </w:r>
                <w:r>
                  <w:rPr>
                    <w:color w:val="000000"/>
                    <w:szCs w:val="24"/>
                  </w:rPr>
                  <w:t>“</w:t>
                </w:r>
              </w:p>
            </w:tc>
            <w:tc>
              <w:tcPr>
                <w:tcW w:w="396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45366B3" w14:textId="77777777">
                <w:pPr>
                  <w:suppressAutoHyphens/>
                  <w:textAlignment w:val="baseline"/>
                  <w:rPr>
                    <w:b/>
                    <w:szCs w:val="24"/>
                    <w:lang w:eastAsia="lt-LT"/>
                  </w:rPr>
                </w:pPr>
              </w:p>
            </w:tc>
            <w:tc>
              <w:tcPr>
                <w:tcW w:w="269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7E97B0D3" w14:textId="2BF37F44">
                <w:pPr>
                  <w:suppressAutoHyphens/>
                  <w:textAlignment w:val="baseline"/>
                  <w:rPr>
                    <w:szCs w:val="24"/>
                    <w:lang w:eastAsia="lt-LT"/>
                  </w:rPr>
                </w:pPr>
                <w:r>
                  <w:rPr>
                    <w:szCs w:val="24"/>
                    <w:lang w:eastAsia="lt-LT"/>
                  </w:rPr>
                  <w:t xml:space="preserve">X  tenkina</w:t>
                </w:r>
              </w:p>
              <w:p w14:paraId="1C6779A7" w14:textId="77777777">
                <w:pPr>
                  <w:suppressAutoHyphens/>
                  <w:textAlignment w:val="baseline"/>
                  <w:rPr>
                    <w:szCs w:val="24"/>
                    <w:lang w:eastAsia="lt-LT"/>
                  </w:rPr>
                </w:pPr>
                <w:r>
                  <w:rPr>
                    <w:szCs w:val="24"/>
                    <w:lang w:eastAsia="lt-LT"/>
                  </w:rPr>
                  <w:t>□ netenkina</w:t>
                </w:r>
              </w:p>
            </w:tc>
          </w:tr>
          <w:tr w14:paraId="5F9C364A" w14:textId="77777777">
            <w:trPr>
              <w:gridAfter w:val="1"/>
              <w:wAfter w:w="454"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0C2956C5" w14:textId="450F616A">
                <w:pPr>
                  <w:suppressAutoHyphens/>
                  <w:jc w:val="center"/>
                  <w:textAlignment w:val="baseline"/>
                  <w:rPr>
                    <w:szCs w:val="24"/>
                    <w:lang w:eastAsia="lt-LT"/>
                  </w:rPr>
                </w:pPr>
                <w:r>
                  <w:rPr>
                    <w:szCs w:val="24"/>
                    <w:lang w:eastAsia="lt-LT"/>
                  </w:rPr>
                  <w:t>15.</w:t>
                </w:r>
              </w:p>
            </w:tc>
            <w:tc>
              <w:tcPr>
                <w:tcW w:w="3653"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28F2747F" w14:textId="77777777">
                <w:pPr>
                  <w:suppressAutoHyphens/>
                  <w:textAlignment w:val="baseline"/>
                  <w:rPr>
                    <w:szCs w:val="24"/>
                    <w:lang w:eastAsia="lt-LT"/>
                  </w:rPr>
                </w:pPr>
                <w:r>
                  <w:rPr>
                    <w:szCs w:val="24"/>
                    <w:lang w:eastAsia="lt-LT"/>
                  </w:rPr>
                  <w:t>Teisės akto projekte nustatytos kontrolės (priežiūros) skaidrumo ir objektyvumo užtikrinimo priemonės (p</w:t>
                </w:r>
                <w:r>
                  <w:rPr>
                    <w:szCs w:val="24"/>
                  </w:rPr>
                  <w:t>vz., aiškiai ir išsamiai išdėstytos kontroliuojančio subjekto teisės ir pareigos, nustatyta standartizuota kontrolės atlikimo procedūra, reikalavimas fiksuoti atskirus kontrolės procedūros etapus ir jų rezultatus, atsakingų specialistų rotacija, užkirstas kelias kontroliuojančio ir kontroliuojamo subjektų tiesioginiam kontaktui be liudininkų ir pan.)</w:t>
                </w:r>
              </w:p>
            </w:tc>
            <w:tc>
              <w:tcPr>
                <w:tcW w:w="396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9794CD0" w14:textId="0B965125">
                <w:pPr>
                  <w:suppressAutoHyphens/>
                  <w:jc w:val="both"/>
                  <w:textAlignment w:val="baseline"/>
                  <w:rPr>
                    <w:bCs/>
                  </w:rPr>
                </w:pPr>
                <w:r>
                  <w:rPr>
                    <w:bCs/>
                  </w:rPr>
                  <w:t>Tas pats kaip dėl 14 kriterijaus.</w:t>
                </w:r>
              </w:p>
              <w:p w14:paraId="41D87FFF" w14:textId="1368109F">
                <w:pPr>
                  <w:suppressAutoHyphens/>
                  <w:textAlignment w:val="baseline"/>
                  <w:rPr>
                    <w:szCs w:val="24"/>
                    <w:lang w:eastAsia="lt-LT"/>
                  </w:rPr>
                </w:pPr>
              </w:p>
            </w:tc>
            <w:tc>
              <w:tcPr>
                <w:tcW w:w="396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9B33101" w14:textId="77777777">
                <w:pPr>
                  <w:suppressAutoHyphens/>
                  <w:textAlignment w:val="baseline"/>
                  <w:rPr>
                    <w:szCs w:val="24"/>
                    <w:lang w:eastAsia="lt-LT"/>
                  </w:rPr>
                </w:pPr>
              </w:p>
            </w:tc>
            <w:tc>
              <w:tcPr>
                <w:tcW w:w="269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5A6BC542" w14:textId="74F693EE">
                <w:pPr>
                  <w:suppressAutoHyphens/>
                  <w:textAlignment w:val="baseline"/>
                  <w:rPr>
                    <w:szCs w:val="24"/>
                    <w:lang w:eastAsia="lt-LT"/>
                  </w:rPr>
                </w:pPr>
                <w:r>
                  <w:rPr>
                    <w:szCs w:val="24"/>
                    <w:lang w:eastAsia="lt-LT"/>
                  </w:rPr>
                  <w:t>X tenkina</w:t>
                </w:r>
              </w:p>
              <w:p w14:paraId="737B6345" w14:textId="77777777">
                <w:pPr>
                  <w:suppressAutoHyphens/>
                  <w:textAlignment w:val="baseline"/>
                  <w:rPr>
                    <w:szCs w:val="24"/>
                    <w:lang w:eastAsia="lt-LT"/>
                  </w:rPr>
                </w:pPr>
                <w:r>
                  <w:rPr>
                    <w:szCs w:val="24"/>
                    <w:lang w:eastAsia="lt-LT"/>
                  </w:rPr>
                  <w:t>□ netenkina</w:t>
                </w:r>
              </w:p>
            </w:tc>
          </w:tr>
          <w:tr w14:paraId="594FA36F" w14:textId="77777777">
            <w:trPr>
              <w:gridAfter w:val="1"/>
              <w:wAfter w:w="454"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06DBA834" w14:textId="77777777">
                <w:pPr>
                  <w:suppressAutoHyphens/>
                  <w:jc w:val="center"/>
                  <w:textAlignment w:val="baseline"/>
                  <w:rPr>
                    <w:szCs w:val="24"/>
                    <w:lang w:eastAsia="lt-LT"/>
                  </w:rPr>
                </w:pPr>
                <w:r>
                  <w:rPr>
                    <w:szCs w:val="24"/>
                    <w:lang w:eastAsia="lt-LT"/>
                  </w:rPr>
                  <w:t>16.</w:t>
                </w:r>
              </w:p>
            </w:tc>
            <w:tc>
              <w:tcPr>
                <w:tcW w:w="3653"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33D074E9" w14:textId="77777777">
                <w:pPr>
                  <w:suppressAutoHyphens/>
                  <w:textAlignment w:val="baseline"/>
                  <w:rPr>
                    <w:szCs w:val="24"/>
                  </w:rPr>
                </w:pPr>
                <w:r>
                  <w:rPr>
                    <w:szCs w:val="24"/>
                    <w:lang w:eastAsia="lt-LT"/>
                  </w:rPr>
                  <w:t>Teisės akto projekte nustatyta subjektų, su kuriais susijęs teisės akto projekto nuostatų įgyvendinimas, atsakomybė</w:t>
                </w:r>
              </w:p>
            </w:tc>
            <w:tc>
              <w:tcPr>
                <w:tcW w:w="396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D84A66B" w14:textId="77777777">
                <w:pPr>
                  <w:suppressAutoHyphens/>
                  <w:jc w:val="both"/>
                  <w:textAlignment w:val="baseline"/>
                  <w:rPr>
                    <w:bCs/>
                  </w:rPr>
                </w:pPr>
                <w:r>
                  <w:rPr>
                    <w:bCs/>
                  </w:rPr>
                  <w:t>Kriterijus nėra teisės akto projekto reglamentavimo dalykas.</w:t>
                </w:r>
              </w:p>
              <w:p w14:paraId="20B3BA28" w14:textId="77777777">
                <w:pPr>
                  <w:suppressAutoHyphens/>
                  <w:jc w:val="both"/>
                  <w:textAlignment w:val="baseline"/>
                  <w:rPr>
                    <w:bCs/>
                  </w:rPr>
                </w:pPr>
              </w:p>
              <w:p w14:paraId="29F94F79" w14:textId="4A963241">
                <w:pPr>
                  <w:suppressAutoHyphens/>
                  <w:jc w:val="both"/>
                  <w:textAlignment w:val="baseline"/>
                  <w:rPr>
                    <w:bCs/>
                  </w:rPr>
                </w:pPr>
                <w:r>
                  <w:rPr>
                    <w:bCs/>
                  </w:rPr>
                  <w:t>Leidimų sustabdymo / panaikinimo pagrindai nustatyti Įstatyme.</w:t>
                </w:r>
              </w:p>
              <w:p w14:paraId="2FCD1228" w14:textId="6E1985B0">
                <w:pPr>
                  <w:suppressAutoHyphens/>
                  <w:jc w:val="both"/>
                  <w:textAlignment w:val="baseline"/>
                  <w:rPr>
                    <w:bCs/>
                  </w:rPr>
                </w:pPr>
              </w:p>
            </w:tc>
            <w:tc>
              <w:tcPr>
                <w:tcW w:w="396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93E4C30" w14:textId="77777777">
                <w:pPr>
                  <w:suppressAutoHyphens/>
                  <w:textAlignment w:val="baseline"/>
                  <w:rPr>
                    <w:szCs w:val="24"/>
                    <w:lang w:eastAsia="lt-LT"/>
                  </w:rPr>
                </w:pPr>
              </w:p>
            </w:tc>
            <w:tc>
              <w:tcPr>
                <w:tcW w:w="269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15FDCE78" w14:textId="50BDB811">
                <w:pPr>
                  <w:suppressAutoHyphens/>
                  <w:textAlignment w:val="baseline"/>
                  <w:rPr>
                    <w:szCs w:val="24"/>
                    <w:lang w:eastAsia="lt-LT"/>
                  </w:rPr>
                </w:pPr>
                <w:r>
                  <w:rPr>
                    <w:szCs w:val="24"/>
                    <w:lang w:eastAsia="lt-LT"/>
                  </w:rPr>
                  <w:t>□ tenkina</w:t>
                </w:r>
              </w:p>
              <w:p w14:paraId="44E67CD4" w14:textId="77777777">
                <w:pPr>
                  <w:suppressAutoHyphens/>
                  <w:textAlignment w:val="baseline"/>
                  <w:rPr>
                    <w:szCs w:val="24"/>
                    <w:lang w:eastAsia="lt-LT"/>
                  </w:rPr>
                </w:pPr>
                <w:r>
                  <w:rPr>
                    <w:szCs w:val="24"/>
                    <w:lang w:eastAsia="lt-LT"/>
                  </w:rPr>
                  <w:t>□ netenkina</w:t>
                </w:r>
              </w:p>
            </w:tc>
          </w:tr>
          <w:tr w14:paraId="5084222B" w14:textId="77777777">
            <w:trPr>
              <w:gridAfter w:val="1"/>
              <w:wAfter w:w="454"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5F3DD208" w14:textId="77777777">
                <w:pPr>
                  <w:keepNext/>
                  <w:suppressAutoHyphens/>
                  <w:jc w:val="center"/>
                  <w:textAlignment w:val="baseline"/>
                  <w:rPr>
                    <w:szCs w:val="24"/>
                    <w:lang w:eastAsia="lt-LT"/>
                  </w:rPr>
                </w:pPr>
                <w:r>
                  <w:rPr>
                    <w:szCs w:val="24"/>
                    <w:lang w:eastAsia="lt-LT"/>
                  </w:rPr>
                  <w:t>17.</w:t>
                </w:r>
              </w:p>
            </w:tc>
            <w:tc>
              <w:tcPr>
                <w:tcW w:w="3653"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61AF6EA5" w14:textId="77777777">
                <w:pPr>
                  <w:keepNext/>
                  <w:suppressAutoHyphens/>
                  <w:textAlignment w:val="baseline"/>
                  <w:rPr>
                    <w:szCs w:val="24"/>
                    <w:lang w:eastAsia="lt-LT"/>
                  </w:rPr>
                </w:pPr>
                <w:r>
                  <w:rPr>
                    <w:szCs w:val="24"/>
                    <w:lang w:eastAsia="lt-LT"/>
                  </w:rPr>
                  <w:t>Teisės aktų projekte numatytas baigtinis kriterijų, pagal kuriuos skiriama nuobauda (sankcija) už teisės akto projekte nustatytų nurodymų nevykdymą, sąrašas ir nustatyta aiški nuobaudos (sankcijos) skyrimo procedūra</w:t>
                </w:r>
              </w:p>
            </w:tc>
            <w:tc>
              <w:tcPr>
                <w:tcW w:w="396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F3FE6A2" w14:textId="77777777">
                <w:pPr>
                  <w:suppressAutoHyphens/>
                  <w:jc w:val="both"/>
                  <w:textAlignment w:val="baseline"/>
                  <w:rPr>
                    <w:bCs/>
                  </w:rPr>
                </w:pPr>
                <w:r>
                  <w:rPr>
                    <w:bCs/>
                  </w:rPr>
                  <w:t>Kriterijus nėra teisės akto projekto reglamentavimo dalykas.</w:t>
                </w:r>
              </w:p>
              <w:p w14:paraId="58C99EF6" w14:textId="27D9F2AF">
                <w:pPr>
                  <w:suppressAutoHyphens/>
                  <w:jc w:val="both"/>
                  <w:textAlignment w:val="baseline"/>
                  <w:rPr>
                    <w:bCs/>
                  </w:rPr>
                </w:pPr>
              </w:p>
            </w:tc>
            <w:tc>
              <w:tcPr>
                <w:tcW w:w="396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9E41603" w14:textId="77777777">
                <w:pPr>
                  <w:keepNext/>
                  <w:suppressAutoHyphens/>
                  <w:textAlignment w:val="baseline"/>
                  <w:rPr>
                    <w:b/>
                    <w:szCs w:val="24"/>
                    <w:lang w:eastAsia="lt-LT"/>
                  </w:rPr>
                </w:pPr>
              </w:p>
            </w:tc>
            <w:tc>
              <w:tcPr>
                <w:tcW w:w="269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E2D5857" w14:textId="78BED84B">
                <w:pPr>
                  <w:keepNext/>
                  <w:suppressAutoHyphens/>
                  <w:textAlignment w:val="baseline"/>
                  <w:rPr>
                    <w:szCs w:val="24"/>
                    <w:lang w:eastAsia="lt-LT"/>
                  </w:rPr>
                </w:pPr>
                <w:r>
                  <w:rPr>
                    <w:szCs w:val="24"/>
                    <w:lang w:eastAsia="lt-LT"/>
                  </w:rPr>
                  <w:t>□ tenkina</w:t>
                </w:r>
              </w:p>
              <w:p w14:paraId="3CA2E6FC" w14:textId="77777777">
                <w:pPr>
                  <w:keepNext/>
                  <w:suppressAutoHyphens/>
                  <w:textAlignment w:val="baseline"/>
                  <w:rPr>
                    <w:szCs w:val="24"/>
                    <w:lang w:eastAsia="lt-LT"/>
                  </w:rPr>
                </w:pPr>
                <w:r>
                  <w:rPr>
                    <w:szCs w:val="24"/>
                    <w:lang w:eastAsia="lt-LT"/>
                  </w:rPr>
                  <w:t>□ netenkina</w:t>
                </w:r>
              </w:p>
            </w:tc>
          </w:tr>
          <w:tr w14:paraId="38F79CD1" w14:textId="77777777">
            <w:trPr>
              <w:gridAfter w:val="1"/>
              <w:wAfter w:w="454"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781FB68A" w14:textId="77777777">
                <w:pPr>
                  <w:suppressAutoHyphens/>
                  <w:jc w:val="center"/>
                  <w:textAlignment w:val="baseline"/>
                  <w:rPr>
                    <w:szCs w:val="24"/>
                    <w:lang w:eastAsia="lt-LT"/>
                  </w:rPr>
                </w:pPr>
                <w:r>
                  <w:rPr>
                    <w:szCs w:val="24"/>
                    <w:lang w:eastAsia="lt-LT"/>
                  </w:rPr>
                  <w:t>18.</w:t>
                </w:r>
              </w:p>
            </w:tc>
            <w:tc>
              <w:tcPr>
                <w:tcW w:w="3653"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73AAD40D" w14:textId="77777777">
                <w:pPr>
                  <w:suppressAutoHyphens/>
                  <w:textAlignment w:val="baseline"/>
                  <w:rPr>
                    <w:szCs w:val="24"/>
                    <w:lang w:eastAsia="lt-LT"/>
                  </w:rPr>
                </w:pPr>
                <w:r>
                  <w:t xml:space="preserve">Kartu su teisės akto projektu pateikta pakankamai jį pagrindžiančių lydimųjų dokumentų ir informacijos,  siekiant antikorupciniu aspektu įvertinti teisės akto projektą</w:t>
                </w:r>
              </w:p>
            </w:tc>
            <w:tc>
              <w:tcPr>
                <w:tcW w:w="396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B95E3BD" w14:textId="77777777">
                <w:pPr>
                  <w:suppressAutoHyphens/>
                  <w:textAlignment w:val="baseline"/>
                  <w:rPr>
                    <w:szCs w:val="24"/>
                    <w:lang w:eastAsia="lt-LT"/>
                  </w:rPr>
                </w:pPr>
                <w:r>
                  <w:rPr>
                    <w:bCs/>
                  </w:rPr>
                  <w:t>Kriterijų atitinka.</w:t>
                </w:r>
              </w:p>
            </w:tc>
            <w:tc>
              <w:tcPr>
                <w:tcW w:w="396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04ED4F4" w14:textId="77777777">
                <w:pPr>
                  <w:suppressAutoHyphens/>
                  <w:textAlignment w:val="baseline"/>
                  <w:rPr>
                    <w:szCs w:val="24"/>
                    <w:lang w:eastAsia="lt-LT"/>
                  </w:rPr>
                </w:pPr>
              </w:p>
            </w:tc>
            <w:tc>
              <w:tcPr>
                <w:tcW w:w="269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2B4C61E5" w14:textId="77777777">
                <w:pPr>
                  <w:suppressAutoHyphens/>
                  <w:textAlignment w:val="baseline"/>
                  <w:rPr>
                    <w:szCs w:val="24"/>
                    <w:lang w:eastAsia="lt-LT"/>
                  </w:rPr>
                </w:pPr>
                <w:r>
                  <w:rPr>
                    <w:szCs w:val="24"/>
                    <w:lang w:eastAsia="lt-LT"/>
                  </w:rPr>
                  <w:t>X tenkina</w:t>
                </w:r>
              </w:p>
              <w:p w14:paraId="2C544C15" w14:textId="77777777">
                <w:pPr>
                  <w:suppressAutoHyphens/>
                  <w:textAlignment w:val="baseline"/>
                  <w:rPr>
                    <w:szCs w:val="24"/>
                    <w:lang w:eastAsia="lt-LT"/>
                  </w:rPr>
                </w:pPr>
                <w:r>
                  <w:rPr>
                    <w:szCs w:val="24"/>
                    <w:lang w:eastAsia="lt-LT"/>
                  </w:rPr>
                  <w:t>□ netenkina</w:t>
                </w:r>
              </w:p>
            </w:tc>
          </w:tr>
          <w:tr w14:paraId="30ECBF46" w14:textId="77777777">
            <w:trPr>
              <w:gridAfter w:val="1"/>
              <w:wAfter w:w="454"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0E47D9F1" w14:textId="77777777">
                <w:pPr>
                  <w:suppressAutoHyphens/>
                  <w:jc w:val="center"/>
                  <w:textAlignment w:val="baseline"/>
                  <w:rPr>
                    <w:szCs w:val="24"/>
                    <w:lang w:eastAsia="lt-LT"/>
                  </w:rPr>
                </w:pPr>
                <w:r>
                  <w:rPr>
                    <w:szCs w:val="24"/>
                    <w:lang w:eastAsia="lt-LT"/>
                  </w:rPr>
                  <w:t>19.</w:t>
                </w:r>
              </w:p>
            </w:tc>
            <w:tc>
              <w:tcPr>
                <w:tcW w:w="3653"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7580A81F" w14:textId="77777777">
                <w:pPr>
                  <w:suppressAutoHyphens/>
                  <w:textAlignment w:val="baseline"/>
                </w:pPr>
                <w:r>
                  <w:rPr>
                    <w:szCs w:val="24"/>
                    <w:lang w:eastAsia="lt-LT"/>
                  </w:rPr>
                  <w:t>Kiti svarbūs kriterijai</w:t>
                </w:r>
              </w:p>
            </w:tc>
            <w:tc>
              <w:tcPr>
                <w:tcW w:w="396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3BEA898" w14:textId="77777777">
                <w:pPr>
                  <w:suppressAutoHyphens/>
                  <w:textAlignment w:val="baseline"/>
                  <w:rPr>
                    <w:szCs w:val="24"/>
                    <w:lang w:eastAsia="lt-LT"/>
                  </w:rPr>
                </w:pPr>
                <w:r>
                  <w:rPr>
                    <w:szCs w:val="24"/>
                    <w:lang w:eastAsia="lt-LT"/>
                  </w:rPr>
                  <w:t>nėra</w:t>
                </w:r>
              </w:p>
            </w:tc>
            <w:tc>
              <w:tcPr>
                <w:tcW w:w="396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456A876" w14:textId="77777777">
                <w:pPr>
                  <w:suppressAutoHyphens/>
                  <w:textAlignment w:val="baseline"/>
                  <w:rPr>
                    <w:szCs w:val="24"/>
                    <w:lang w:eastAsia="lt-LT"/>
                  </w:rPr>
                </w:pPr>
              </w:p>
            </w:tc>
            <w:tc>
              <w:tcPr>
                <w:tcW w:w="269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2B897728" w14:textId="77777777">
                <w:pPr>
                  <w:suppressAutoHyphens/>
                  <w:textAlignment w:val="baseline"/>
                  <w:rPr>
                    <w:szCs w:val="24"/>
                    <w:lang w:eastAsia="lt-LT"/>
                  </w:rPr>
                </w:pPr>
                <w:r>
                  <w:rPr>
                    <w:szCs w:val="24"/>
                    <w:lang w:eastAsia="lt-LT"/>
                  </w:rPr>
                  <w:t>□ tenkina</w:t>
                </w:r>
              </w:p>
              <w:p w14:paraId="53AD0D86" w14:textId="77777777">
                <w:pPr>
                  <w:suppressAutoHyphens/>
                  <w:textAlignment w:val="baseline"/>
                  <w:rPr>
                    <w:szCs w:val="24"/>
                    <w:lang w:eastAsia="lt-LT"/>
                  </w:rPr>
                </w:pPr>
                <w:r>
                  <w:rPr>
                    <w:szCs w:val="24"/>
                    <w:lang w:eastAsia="lt-LT"/>
                  </w:rPr>
                  <w:t>□ netenkina</w:t>
                </w:r>
              </w:p>
            </w:tc>
          </w:tr>
          <w:tr w14:paraId="637DE4FB" w14:textId="77777777">
            <w:trPr>
              <w:gridBefore w:val="1"/>
              <w:wBefore w:w="103" w:type="dxa"/>
              <w:trHeight w:val="23"/>
            </w:trPr>
            <w:tc>
              <w:tcPr>
                <w:tcW w:w="2457" w:type="dxa"/>
                <w:gridSpan w:val="2"/>
                <w:tcBorders>
                  <w:top w:val="nil"/>
                  <w:left w:val="nil"/>
                  <w:bottom w:val="nil"/>
                  <w:right w:val="nil"/>
                </w:tcBorders>
                <w:tcMar>
                  <w:top w:w="0" w:type="dxa"/>
                  <w:left w:w="108" w:type="dxa"/>
                  <w:bottom w:w="0" w:type="dxa"/>
                  <w:right w:w="108" w:type="dxa"/>
                </w:tcMar>
              </w:tcPr>
              <w:p w14:paraId="0572A1FF" w14:textId="77777777">
                <w:pPr>
                  <w:suppressAutoHyphens/>
                  <w:textAlignment w:val="baseline"/>
                  <w:rPr>
                    <w:szCs w:val="24"/>
                    <w:lang w:eastAsia="lt-LT"/>
                  </w:rPr>
                </w:pPr>
              </w:p>
              <w:p w14:paraId="19BD64A4" w14:textId="77777777">
                <w:pPr>
                  <w:suppressAutoHyphens/>
                  <w:textAlignment w:val="baseline"/>
                  <w:rPr>
                    <w:szCs w:val="24"/>
                    <w:lang w:eastAsia="lt-LT"/>
                  </w:rPr>
                </w:pPr>
                <w:r>
                  <w:rPr>
                    <w:szCs w:val="24"/>
                    <w:lang w:eastAsia="lt-LT"/>
                  </w:rPr>
                  <w:t>Teisės akto projekto tiesioginis rengėjas:</w:t>
                </w:r>
              </w:p>
            </w:tc>
            <w:tc>
              <w:tcPr>
                <w:tcW w:w="4773" w:type="dxa"/>
                <w:gridSpan w:val="2"/>
                <w:tcBorders>
                  <w:top w:val="nil"/>
                  <w:left w:val="nil"/>
                  <w:bottom w:val="nil"/>
                  <w:right w:val="nil"/>
                </w:tcBorders>
                <w:tcMar>
                  <w:top w:w="0" w:type="dxa"/>
                  <w:left w:w="108" w:type="dxa"/>
                  <w:bottom w:w="0" w:type="dxa"/>
                  <w:right w:w="108" w:type="dxa"/>
                </w:tcMar>
              </w:tcPr>
              <w:p w14:paraId="11CAB97A" w14:textId="77777777">
                <w:pPr>
                  <w:suppressAutoHyphens/>
                  <w:textAlignment w:val="baseline"/>
                  <w:rPr>
                    <w:szCs w:val="24"/>
                    <w:lang w:eastAsia="lt-LT"/>
                  </w:rPr>
                </w:pPr>
              </w:p>
              <w:p w14:paraId="293A4541" w14:textId="77777777">
                <w:pPr>
                  <w:suppressAutoHyphens/>
                  <w:textAlignment w:val="baseline"/>
                  <w:rPr>
                    <w:szCs w:val="24"/>
                    <w:lang w:eastAsia="lt-LT"/>
                  </w:rPr>
                </w:pPr>
              </w:p>
            </w:tc>
            <w:tc>
              <w:tcPr>
                <w:tcW w:w="2434" w:type="dxa"/>
                <w:gridSpan w:val="2"/>
                <w:tcBorders>
                  <w:top w:val="nil"/>
                  <w:left w:val="nil"/>
                  <w:bottom w:val="nil"/>
                  <w:right w:val="nil"/>
                </w:tcBorders>
                <w:tcMar>
                  <w:top w:w="0" w:type="dxa"/>
                  <w:left w:w="108" w:type="dxa"/>
                  <w:bottom w:w="0" w:type="dxa"/>
                  <w:right w:w="108" w:type="dxa"/>
                </w:tcMar>
              </w:tcPr>
              <w:p w14:paraId="3B7F907A" w14:textId="77777777">
                <w:pPr>
                  <w:suppressAutoHyphens/>
                  <w:textAlignment w:val="baseline"/>
                  <w:rPr>
                    <w:szCs w:val="24"/>
                    <w:lang w:eastAsia="lt-LT"/>
                  </w:rPr>
                </w:pPr>
              </w:p>
              <w:p w14:paraId="27D66533" w14:textId="77777777">
                <w:pPr>
                  <w:suppressAutoHyphens/>
                  <w:textAlignment w:val="baseline"/>
                  <w:rPr>
                    <w:szCs w:val="24"/>
                    <w:lang w:eastAsia="lt-LT"/>
                  </w:rPr>
                </w:pPr>
                <w:r>
                  <w:rPr>
                    <w:szCs w:val="24"/>
                    <w:lang w:eastAsia="lt-LT"/>
                  </w:rPr>
                  <w:t>Teisės akto projekto vertintojas:</w:t>
                </w:r>
              </w:p>
            </w:tc>
            <w:tc>
              <w:tcPr>
                <w:tcW w:w="5679" w:type="dxa"/>
                <w:gridSpan w:val="3"/>
                <w:tcBorders>
                  <w:top w:val="nil"/>
                  <w:left w:val="nil"/>
                  <w:bottom w:val="nil"/>
                  <w:right w:val="nil"/>
                </w:tcBorders>
                <w:tcMar>
                  <w:top w:w="0" w:type="dxa"/>
                  <w:left w:w="108" w:type="dxa"/>
                  <w:bottom w:w="0" w:type="dxa"/>
                  <w:right w:w="108" w:type="dxa"/>
                </w:tcMar>
              </w:tcPr>
              <w:p w14:paraId="66F516F0" w14:textId="77777777">
                <w:pPr>
                  <w:suppressAutoHyphens/>
                  <w:textAlignment w:val="baseline"/>
                  <w:rPr>
                    <w:szCs w:val="24"/>
                    <w:lang w:eastAsia="lt-LT"/>
                  </w:rPr>
                </w:pPr>
              </w:p>
            </w:tc>
          </w:tr>
          <w:tr w14:paraId="2FC01AD9" w14:textId="77777777">
            <w:trPr>
              <w:gridBefore w:val="1"/>
              <w:wBefore w:w="103" w:type="dxa"/>
              <w:trHeight w:val="23"/>
            </w:trPr>
            <w:tc>
              <w:tcPr>
                <w:tcW w:w="2457" w:type="dxa"/>
                <w:gridSpan w:val="2"/>
                <w:tcBorders>
                  <w:top w:val="nil"/>
                  <w:left w:val="nil"/>
                  <w:bottom w:val="nil"/>
                  <w:right w:val="nil"/>
                </w:tcBorders>
                <w:tcMar>
                  <w:top w:w="0" w:type="dxa"/>
                  <w:left w:w="108" w:type="dxa"/>
                  <w:bottom w:w="0" w:type="dxa"/>
                  <w:right w:w="108" w:type="dxa"/>
                </w:tcMar>
              </w:tcPr>
              <w:p w14:paraId="6FC64B52" w14:textId="77777777">
                <w:pPr>
                  <w:suppressAutoHyphens/>
                  <w:textAlignment w:val="baseline"/>
                  <w:rPr>
                    <w:szCs w:val="24"/>
                    <w:lang w:eastAsia="lt-LT"/>
                  </w:rPr>
                </w:pPr>
              </w:p>
            </w:tc>
            <w:tc>
              <w:tcPr>
                <w:tcW w:w="4773" w:type="dxa"/>
                <w:gridSpan w:val="2"/>
                <w:tcBorders>
                  <w:top w:val="nil"/>
                  <w:left w:val="nil"/>
                  <w:bottom w:val="nil"/>
                  <w:right w:val="nil"/>
                </w:tcBorders>
                <w:tcMar>
                  <w:top w:w="0" w:type="dxa"/>
                  <w:left w:w="108" w:type="dxa"/>
                  <w:bottom w:w="0" w:type="dxa"/>
                  <w:right w:w="108" w:type="dxa"/>
                </w:tcMar>
                <w:hideMark/>
              </w:tcPr>
              <w:p w14:paraId="25447656" w14:textId="77777777">
                <w:pPr>
                  <w:suppressAutoHyphens/>
                  <w:ind w:left="-11" w:firstLine="11"/>
                  <w:textAlignment w:val="baseline"/>
                </w:pPr>
              </w:p>
              <w:p w14:paraId="4E7C8A4C" w14:textId="64C81358">
                <w:pPr>
                  <w:suppressAutoHyphens/>
                  <w:ind w:left="-11" w:firstLine="11"/>
                  <w:textAlignment w:val="baseline"/>
                  <w:rPr>
                    <w:szCs w:val="24"/>
                    <w:lang w:eastAsia="lt-LT"/>
                  </w:rPr>
                </w:pPr>
                <w:r>
                  <w:t>Aplinkos ministerijos Gamtos apsaugos politikos grupės patarėja Kristina Klovaitė</w:t>
                </w:r>
              </w:p>
            </w:tc>
            <w:tc>
              <w:tcPr>
                <w:tcW w:w="2434" w:type="dxa"/>
                <w:gridSpan w:val="2"/>
                <w:tcBorders>
                  <w:top w:val="nil"/>
                  <w:left w:val="nil"/>
                  <w:bottom w:val="nil"/>
                  <w:right w:val="nil"/>
                </w:tcBorders>
                <w:tcMar>
                  <w:top w:w="0" w:type="dxa"/>
                  <w:left w:w="108" w:type="dxa"/>
                  <w:bottom w:w="0" w:type="dxa"/>
                  <w:right w:w="108" w:type="dxa"/>
                </w:tcMar>
              </w:tcPr>
              <w:p w14:paraId="1AD26346" w14:textId="77777777">
                <w:pPr>
                  <w:suppressAutoHyphens/>
                  <w:textAlignment w:val="baseline"/>
                  <w:rPr>
                    <w:szCs w:val="24"/>
                    <w:lang w:eastAsia="lt-LT"/>
                  </w:rPr>
                </w:pPr>
              </w:p>
              <w:p w14:paraId="143729DB" w14:textId="77777777">
                <w:pPr>
                  <w:suppressAutoHyphens/>
                  <w:textAlignment w:val="baseline"/>
                  <w:rPr>
                    <w:szCs w:val="24"/>
                    <w:lang w:eastAsia="lt-LT"/>
                  </w:rPr>
                </w:pPr>
              </w:p>
            </w:tc>
            <w:tc>
              <w:tcPr>
                <w:tcW w:w="5679" w:type="dxa"/>
                <w:gridSpan w:val="3"/>
                <w:tcBorders>
                  <w:top w:val="nil"/>
                  <w:left w:val="nil"/>
                  <w:bottom w:val="nil"/>
                  <w:right w:val="nil"/>
                </w:tcBorders>
                <w:tcMar>
                  <w:top w:w="0" w:type="dxa"/>
                  <w:left w:w="108" w:type="dxa"/>
                  <w:bottom w:w="0" w:type="dxa"/>
                  <w:right w:w="108" w:type="dxa"/>
                </w:tcMar>
                <w:hideMark/>
              </w:tcPr>
              <w:p w14:paraId="234D7D98" w14:textId="77777777">
                <w:pPr>
                  <w:suppressAutoHyphens/>
                  <w:ind w:left="-11" w:firstLine="11"/>
                  <w:textAlignment w:val="baseline"/>
                  <w:rPr>
                    <w:szCs w:val="24"/>
                    <w:lang w:eastAsia="lt-LT"/>
                  </w:rPr>
                </w:pPr>
              </w:p>
              <w:p w14:paraId="6C666867" w14:textId="1B59AD07">
                <w:pPr>
                  <w:suppressAutoHyphens/>
                  <w:ind w:left="-11" w:firstLine="11"/>
                  <w:textAlignment w:val="baseline"/>
                  <w:rPr>
                    <w:szCs w:val="24"/>
                    <w:lang w:eastAsia="lt-LT"/>
                  </w:rPr>
                </w:pPr>
                <w:r>
                  <w:rPr>
                    <w:szCs w:val="24"/>
                    <w:lang w:eastAsia="lt-LT"/>
                  </w:rPr>
                  <w:t>Aplinkos ministerijos Korupcijos prevencijos ir vidaus tyrimų skyriaus vyriausiasis specialistas Remigijus Alavočius</w:t>
                </w:r>
              </w:p>
            </w:tc>
          </w:tr>
          <w:tr w14:paraId="32066627" w14:textId="77777777">
            <w:trPr>
              <w:gridBefore w:val="1"/>
              <w:wBefore w:w="103" w:type="dxa"/>
              <w:trHeight w:val="23"/>
            </w:trPr>
            <w:tc>
              <w:tcPr>
                <w:tcW w:w="2457" w:type="dxa"/>
                <w:gridSpan w:val="2"/>
                <w:tcBorders>
                  <w:top w:val="nil"/>
                  <w:left w:val="nil"/>
                  <w:bottom w:val="nil"/>
                  <w:right w:val="nil"/>
                </w:tcBorders>
                <w:tcMar>
                  <w:top w:w="0" w:type="dxa"/>
                  <w:left w:w="108" w:type="dxa"/>
                  <w:bottom w:w="0" w:type="dxa"/>
                  <w:right w:w="108" w:type="dxa"/>
                </w:tcMar>
              </w:tcPr>
              <w:p w14:paraId="77D2D22B" w14:textId="77777777">
                <w:pPr>
                  <w:suppressAutoHyphens/>
                  <w:textAlignment w:val="baseline"/>
                  <w:rPr>
                    <w:szCs w:val="24"/>
                    <w:lang w:eastAsia="lt-LT"/>
                  </w:rPr>
                </w:pPr>
              </w:p>
            </w:tc>
            <w:tc>
              <w:tcPr>
                <w:tcW w:w="4773" w:type="dxa"/>
                <w:gridSpan w:val="2"/>
                <w:tcBorders>
                  <w:top w:val="nil"/>
                  <w:left w:val="nil"/>
                  <w:bottom w:val="nil"/>
                  <w:right w:val="nil"/>
                </w:tcBorders>
                <w:tcMar>
                  <w:top w:w="0" w:type="dxa"/>
                  <w:left w:w="108" w:type="dxa"/>
                  <w:bottom w:w="0" w:type="dxa"/>
                  <w:right w:w="108" w:type="dxa"/>
                </w:tcMar>
              </w:tcPr>
              <w:p w14:paraId="6DD5A591" w14:textId="77777777">
                <w:pPr>
                  <w:suppressAutoHyphens/>
                  <w:textAlignment w:val="baseline"/>
                  <w:rPr>
                    <w:szCs w:val="24"/>
                    <w:lang w:eastAsia="lt-LT"/>
                  </w:rPr>
                </w:pPr>
              </w:p>
            </w:tc>
            <w:tc>
              <w:tcPr>
                <w:tcW w:w="2434" w:type="dxa"/>
                <w:gridSpan w:val="2"/>
                <w:tcBorders>
                  <w:top w:val="nil"/>
                  <w:left w:val="nil"/>
                  <w:bottom w:val="nil"/>
                  <w:right w:val="nil"/>
                </w:tcBorders>
                <w:tcMar>
                  <w:top w:w="0" w:type="dxa"/>
                  <w:left w:w="108" w:type="dxa"/>
                  <w:bottom w:w="0" w:type="dxa"/>
                  <w:right w:w="108" w:type="dxa"/>
                </w:tcMar>
              </w:tcPr>
              <w:p w14:paraId="383DA5E2" w14:textId="77777777">
                <w:pPr>
                  <w:suppressAutoHyphens/>
                  <w:textAlignment w:val="baseline"/>
                  <w:rPr>
                    <w:szCs w:val="24"/>
                    <w:lang w:eastAsia="lt-LT"/>
                  </w:rPr>
                </w:pPr>
              </w:p>
            </w:tc>
            <w:tc>
              <w:tcPr>
                <w:tcW w:w="5679" w:type="dxa"/>
                <w:gridSpan w:val="3"/>
                <w:tcBorders>
                  <w:top w:val="nil"/>
                  <w:left w:val="nil"/>
                  <w:bottom w:val="nil"/>
                  <w:right w:val="nil"/>
                </w:tcBorders>
                <w:tcMar>
                  <w:top w:w="0" w:type="dxa"/>
                  <w:left w:w="108" w:type="dxa"/>
                  <w:bottom w:w="0" w:type="dxa"/>
                  <w:right w:w="108" w:type="dxa"/>
                </w:tcMar>
              </w:tcPr>
              <w:p w14:paraId="3011B2D5" w14:textId="77777777">
                <w:pPr>
                  <w:suppressAutoHyphens/>
                  <w:ind w:left="-11" w:firstLine="11"/>
                  <w:textAlignment w:val="baseline"/>
                  <w:rPr>
                    <w:szCs w:val="24"/>
                    <w:lang w:eastAsia="lt-LT"/>
                  </w:rPr>
                </w:pPr>
              </w:p>
            </w:tc>
          </w:tr>
          <w:tr w14:paraId="06D3FF11" w14:textId="77777777">
            <w:trPr>
              <w:gridBefore w:val="1"/>
              <w:wBefore w:w="103" w:type="dxa"/>
              <w:trHeight w:val="555"/>
            </w:trPr>
            <w:tc>
              <w:tcPr>
                <w:tcW w:w="2457" w:type="dxa"/>
                <w:gridSpan w:val="2"/>
                <w:tcBorders>
                  <w:top w:val="nil"/>
                  <w:left w:val="nil"/>
                  <w:bottom w:val="nil"/>
                  <w:right w:val="nil"/>
                </w:tcBorders>
                <w:tcMar>
                  <w:top w:w="0" w:type="dxa"/>
                  <w:left w:w="108" w:type="dxa"/>
                  <w:bottom w:w="0" w:type="dxa"/>
                  <w:right w:w="108" w:type="dxa"/>
                </w:tcMar>
              </w:tcPr>
              <w:p w14:paraId="3A89B8AA" w14:textId="77777777">
                <w:pPr>
                  <w:suppressAutoHyphens/>
                  <w:textAlignment w:val="baseline"/>
                  <w:rPr>
                    <w:szCs w:val="24"/>
                    <w:lang w:eastAsia="lt-LT"/>
                  </w:rPr>
                </w:pPr>
              </w:p>
            </w:tc>
            <w:tc>
              <w:tcPr>
                <w:tcW w:w="4773" w:type="dxa"/>
                <w:gridSpan w:val="2"/>
                <w:tcBorders>
                  <w:top w:val="nil"/>
                  <w:left w:val="nil"/>
                  <w:bottom w:val="nil"/>
                  <w:right w:val="nil"/>
                </w:tcBorders>
                <w:tcMar>
                  <w:top w:w="0" w:type="dxa"/>
                  <w:left w:w="108" w:type="dxa"/>
                  <w:bottom w:w="0" w:type="dxa"/>
                  <w:right w:w="108" w:type="dxa"/>
                </w:tcMar>
              </w:tcPr>
              <w:p w14:paraId="2F4ED7C5" w14:textId="10A1D140">
                <w:pPr>
                  <w:suppressAutoHyphens/>
                  <w:ind w:left="-11" w:firstLine="11"/>
                  <w:textAlignment w:val="baseline"/>
                  <w:rPr>
                    <w:szCs w:val="24"/>
                    <w:lang w:eastAsia="lt-LT"/>
                  </w:rPr>
                </w:pPr>
              </w:p>
            </w:tc>
            <w:tc>
              <w:tcPr>
                <w:tcW w:w="2434" w:type="dxa"/>
                <w:gridSpan w:val="2"/>
                <w:tcBorders>
                  <w:top w:val="nil"/>
                  <w:left w:val="nil"/>
                  <w:bottom w:val="nil"/>
                  <w:right w:val="nil"/>
                </w:tcBorders>
                <w:tcMar>
                  <w:top w:w="0" w:type="dxa"/>
                  <w:left w:w="108" w:type="dxa"/>
                  <w:bottom w:w="0" w:type="dxa"/>
                  <w:right w:w="108" w:type="dxa"/>
                </w:tcMar>
              </w:tcPr>
              <w:p w14:paraId="7EB86C2A" w14:textId="77777777">
                <w:pPr>
                  <w:suppressAutoHyphens/>
                  <w:textAlignment w:val="baseline"/>
                  <w:rPr>
                    <w:szCs w:val="24"/>
                    <w:lang w:eastAsia="lt-LT"/>
                  </w:rPr>
                </w:pPr>
              </w:p>
            </w:tc>
            <w:tc>
              <w:tcPr>
                <w:tcW w:w="5679" w:type="dxa"/>
                <w:gridSpan w:val="3"/>
                <w:tcBorders>
                  <w:top w:val="nil"/>
                  <w:left w:val="nil"/>
                  <w:bottom w:val="nil"/>
                  <w:right w:val="nil"/>
                </w:tcBorders>
                <w:tcMar>
                  <w:top w:w="0" w:type="dxa"/>
                  <w:left w:w="108" w:type="dxa"/>
                  <w:bottom w:w="0" w:type="dxa"/>
                  <w:right w:w="108" w:type="dxa"/>
                </w:tcMar>
              </w:tcPr>
              <w:p w14:paraId="23D03D7F" w14:textId="20A5BF20">
                <w:pPr>
                  <w:suppressAutoHyphens/>
                  <w:ind w:left="-11" w:firstLine="64"/>
                  <w:textAlignment w:val="baseline"/>
                  <w:rPr>
                    <w:szCs w:val="24"/>
                    <w:lang w:eastAsia="lt-LT"/>
                  </w:rPr>
                </w:pPr>
                <w:r>
                  <w:rPr>
                    <w:szCs w:val="24"/>
                    <w:lang w:eastAsia="lt-LT"/>
                  </w:rPr>
                  <w:t xml:space="preserve">(parašas)                                                     (data)</w:t>
                </w:r>
              </w:p>
            </w:tc>
          </w:tr>
        </w:tbl>
        <w:p w14:paraId="0DECDF0F" w14:textId="77777777">
          <w:pPr>
            <w:tabs>
              <w:tab w:val="left" w:pos="6237"/>
            </w:tabs>
            <w:suppressAutoHyphens/>
            <w:spacing w:line="276" w:lineRule="auto"/>
            <w:jc w:val="center"/>
            <w:textAlignment w:val="baseline"/>
          </w:pPr>
          <w:r>
            <w:rPr>
              <w:color w:val="000000"/>
              <w:szCs w:val="24"/>
              <w:lang w:eastAsia="lt-LT"/>
            </w:rPr>
            <w:t>___________________________</w:t>
          </w:r>
        </w:p>
      </w:sdtContent>
    </w:sdt>
    <w:sectPr>
      <w:headerReference w:type="first" r:id="rId7"/>
      <w:pgSz w:w="16838" w:h="11906" w:orient="landscape" w:code="9"/>
      <w:pgMar w:top="1134" w:right="1134" w:bottom="1134" w:left="1134" w:header="567" w:footer="567" w:gutter="0"/>
      <w:pgNumType w:start="1"/>
      <w:cols w:space="1296"/>
      <w:docGrid w:linePitch="326"/>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2E62129" w14:textId="77777777">
      <w:r>
        <w:separator/>
      </w:r>
    </w:p>
  </w:endnote>
  <w:endnote w:type="continuationSeparator" w:id="0">
    <w:p w14:paraId="0878160B" w14:textId="77777777">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0222853" w14:textId="77777777">
      <w:r>
        <w:separator/>
      </w:r>
    </w:p>
  </w:footnote>
  <w:footnote w:type="continuationSeparator" w:id="0">
    <w:p w14:paraId="40FBD324" w14:textId="77777777">
      <w: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AB07C01" w14:textId="77777777">
    <w:pPr>
      <w:tabs>
        <w:tab w:val="center" w:pos="4819"/>
        <w:tab w:val="right" w:pos="9638"/>
      </w:tabs>
      <w:jc w:val="center"/>
    </w:pPr>
    <w:r>
      <w:fldChar w:fldCharType="begin"/>
    </w:r>
    <w:r>
      <w:instrText xml:space="preserve"> PAGE   \* MERGEFORMAT </w:instrText>
    </w:r>
    <w:r>
      <w:fldChar w:fldCharType="separate"/>
    </w:r>
    <w:r>
      <w:t>1</w:t>
    </w:r>
    <w:r>
      <w:fldChar w:fldCharType="end"/>
    </w:r>
  </w:p>
  <w:p w14:paraId="6F922022" w14:textId="77777777">
    <w:pPr>
      <w:tabs>
        <w:tab w:val="center" w:pos="4819"/>
        <w:tab w:val="right" w:pos="9638"/>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doNotDisplayPageBoundaries/>
  <w:revisionView w:inkAnnotations="0"/>
  <w:doNotTrackFormatting/>
  <w:defaultTabStop w:val="720"/>
  <w:hyphenationZone w:val="396"/>
  <w:doNotHyphenateCaps/>
  <w:characterSpacingControl w:val="doNotCompress"/>
  <w:hdrShapeDefaults>
    <o:shapedefaults v:ext="edit" spidmax="4096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0575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40961"/>
    <o:shapelayout v:ext="edit">
      <o:idmap v:ext="edit" data="1"/>
    </o:shapelayout>
  </w:shapeDefaults>
  <w:decimalSymbol w:val="."/>
  <w:listSeparator w:val=","/>
  <w14:docId w14:val="3FE39198"/>
  <w15:docId w15:val="{1E954242-CF88-4A4A-9E63-AD98406E56DD}"/>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310986159">
      <w:bodyDiv w:val="1"/>
      <w:marLeft w:val="0"/>
      <w:marRight w:val="0"/>
      <w:marTop w:val="0"/>
      <w:marBottom w:val="0"/>
      <w:divBdr>
        <w:top w:val="none" w:sz="0" w:space="0" w:color="auto"/>
        <w:left w:val="none" w:sz="0" w:space="0" w:color="auto"/>
        <w:bottom w:val="none" w:sz="0" w:space="0" w:color="auto"/>
        <w:right w:val="none" w:sz="0" w:space="0" w:color="auto"/>
      </w:divBdr>
    </w:div>
    <w:div w:id="647635897">
      <w:bodyDiv w:val="1"/>
      <w:marLeft w:val="0"/>
      <w:marRight w:val="0"/>
      <w:marTop w:val="0"/>
      <w:marBottom w:val="0"/>
      <w:divBdr>
        <w:top w:val="none" w:sz="0" w:space="0" w:color="auto"/>
        <w:left w:val="none" w:sz="0" w:space="0" w:color="auto"/>
        <w:bottom w:val="none" w:sz="0" w:space="0" w:color="auto"/>
        <w:right w:val="none" w:sz="0" w:space="0" w:color="auto"/>
      </w:divBdr>
      <w:divsChild>
        <w:div w:id="1706828567">
          <w:marLeft w:val="0"/>
          <w:marRight w:val="0"/>
          <w:marTop w:val="0"/>
          <w:marBottom w:val="0"/>
          <w:divBdr>
            <w:top w:val="none" w:sz="0" w:space="0" w:color="auto"/>
            <w:left w:val="none" w:sz="0" w:space="0" w:color="auto"/>
            <w:bottom w:val="none" w:sz="0" w:space="0" w:color="auto"/>
            <w:right w:val="none" w:sz="0" w:space="0" w:color="auto"/>
          </w:divBdr>
        </w:div>
        <w:div w:id="993804002">
          <w:marLeft w:val="0"/>
          <w:marRight w:val="0"/>
          <w:marTop w:val="0"/>
          <w:marBottom w:val="0"/>
          <w:divBdr>
            <w:top w:val="none" w:sz="0" w:space="0" w:color="auto"/>
            <w:left w:val="none" w:sz="0" w:space="0" w:color="auto"/>
            <w:bottom w:val="none" w:sz="0" w:space="0" w:color="auto"/>
            <w:right w:val="none" w:sz="0" w:space="0" w:color="auto"/>
          </w:divBdr>
        </w:div>
        <w:div w:id="1907184896">
          <w:marLeft w:val="0"/>
          <w:marRight w:val="0"/>
          <w:marTop w:val="0"/>
          <w:marBottom w:val="0"/>
          <w:divBdr>
            <w:top w:val="none" w:sz="0" w:space="0" w:color="auto"/>
            <w:left w:val="none" w:sz="0" w:space="0" w:color="auto"/>
            <w:bottom w:val="none" w:sz="0" w:space="0" w:color="auto"/>
            <w:right w:val="none" w:sz="0" w:space="0" w:color="auto"/>
          </w:divBdr>
        </w:div>
        <w:div w:id="2105419677">
          <w:marLeft w:val="0"/>
          <w:marRight w:val="0"/>
          <w:marTop w:val="0"/>
          <w:marBottom w:val="0"/>
          <w:divBdr>
            <w:top w:val="none" w:sz="0" w:space="0" w:color="auto"/>
            <w:left w:val="none" w:sz="0" w:space="0" w:color="auto"/>
            <w:bottom w:val="none" w:sz="0" w:space="0" w:color="auto"/>
            <w:right w:val="none" w:sz="0" w:space="0" w:color="auto"/>
          </w:divBdr>
        </w:div>
        <w:div w:id="1300112901">
          <w:marLeft w:val="0"/>
          <w:marRight w:val="0"/>
          <w:marTop w:val="0"/>
          <w:marBottom w:val="0"/>
          <w:divBdr>
            <w:top w:val="none" w:sz="0" w:space="0" w:color="auto"/>
            <w:left w:val="none" w:sz="0" w:space="0" w:color="auto"/>
            <w:bottom w:val="none" w:sz="0" w:space="0" w:color="auto"/>
            <w:right w:val="none" w:sz="0" w:space="0" w:color="auto"/>
          </w:divBdr>
        </w:div>
      </w:divsChild>
    </w:div>
    <w:div w:id="1013536466">
      <w:bodyDiv w:val="1"/>
      <w:marLeft w:val="0"/>
      <w:marRight w:val="0"/>
      <w:marTop w:val="0"/>
      <w:marBottom w:val="0"/>
      <w:divBdr>
        <w:top w:val="none" w:sz="0" w:space="0" w:color="auto"/>
        <w:left w:val="none" w:sz="0" w:space="0" w:color="auto"/>
        <w:bottom w:val="none" w:sz="0" w:space="0" w:color="auto"/>
        <w:right w:val="none" w:sz="0" w:space="0" w:color="auto"/>
      </w:divBdr>
      <w:divsChild>
        <w:div w:id="1828087985">
          <w:marLeft w:val="0"/>
          <w:marRight w:val="0"/>
          <w:marTop w:val="0"/>
          <w:marBottom w:val="0"/>
          <w:divBdr>
            <w:top w:val="none" w:sz="0" w:space="0" w:color="auto"/>
            <w:left w:val="none" w:sz="0" w:space="0" w:color="auto"/>
            <w:bottom w:val="none" w:sz="0" w:space="0" w:color="auto"/>
            <w:right w:val="none" w:sz="0" w:space="0" w:color="auto"/>
          </w:divBdr>
        </w:div>
        <w:div w:id="1890991314">
          <w:marLeft w:val="0"/>
          <w:marRight w:val="0"/>
          <w:marTop w:val="0"/>
          <w:marBottom w:val="0"/>
          <w:divBdr>
            <w:top w:val="none" w:sz="0" w:space="0" w:color="auto"/>
            <w:left w:val="none" w:sz="0" w:space="0" w:color="auto"/>
            <w:bottom w:val="none" w:sz="0" w:space="0" w:color="auto"/>
            <w:right w:val="none" w:sz="0" w:space="0" w:color="auto"/>
          </w:divBdr>
        </w:div>
        <w:div w:id="72120050">
          <w:marLeft w:val="0"/>
          <w:marRight w:val="0"/>
          <w:marTop w:val="0"/>
          <w:marBottom w:val="0"/>
          <w:divBdr>
            <w:top w:val="none" w:sz="0" w:space="0" w:color="auto"/>
            <w:left w:val="none" w:sz="0" w:space="0" w:color="auto"/>
            <w:bottom w:val="none" w:sz="0" w:space="0" w:color="auto"/>
            <w:right w:val="none" w:sz="0" w:space="0" w:color="auto"/>
          </w:divBdr>
          <w:divsChild>
            <w:div w:id="1518233288">
              <w:marLeft w:val="0"/>
              <w:marRight w:val="0"/>
              <w:marTop w:val="0"/>
              <w:marBottom w:val="0"/>
              <w:divBdr>
                <w:top w:val="none" w:sz="0" w:space="0" w:color="auto"/>
                <w:left w:val="none" w:sz="0" w:space="0" w:color="auto"/>
                <w:bottom w:val="none" w:sz="0" w:space="0" w:color="auto"/>
                <w:right w:val="none" w:sz="0" w:space="0" w:color="auto"/>
              </w:divBdr>
            </w:div>
            <w:div w:id="922954631">
              <w:marLeft w:val="0"/>
              <w:marRight w:val="0"/>
              <w:marTop w:val="0"/>
              <w:marBottom w:val="0"/>
              <w:divBdr>
                <w:top w:val="none" w:sz="0" w:space="0" w:color="auto"/>
                <w:left w:val="none" w:sz="0" w:space="0" w:color="auto"/>
                <w:bottom w:val="none" w:sz="0" w:space="0" w:color="auto"/>
                <w:right w:val="none" w:sz="0" w:space="0" w:color="auto"/>
              </w:divBdr>
            </w:div>
            <w:div w:id="17954391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41852127">
      <w:bodyDiv w:val="1"/>
      <w:marLeft w:val="0"/>
      <w:marRight w:val="0"/>
      <w:marTop w:val="0"/>
      <w:marBottom w:val="0"/>
      <w:divBdr>
        <w:top w:val="none" w:sz="0" w:space="0" w:color="auto"/>
        <w:left w:val="none" w:sz="0" w:space="0" w:color="auto"/>
        <w:bottom w:val="none" w:sz="0" w:space="0" w:color="auto"/>
        <w:right w:val="none" w:sz="0" w:space="0" w:color="auto"/>
      </w:divBdr>
      <w:divsChild>
        <w:div w:id="269894447">
          <w:marLeft w:val="0"/>
          <w:marRight w:val="0"/>
          <w:marTop w:val="0"/>
          <w:marBottom w:val="0"/>
          <w:divBdr>
            <w:top w:val="none" w:sz="0" w:space="0" w:color="auto"/>
            <w:left w:val="none" w:sz="0" w:space="0" w:color="auto"/>
            <w:bottom w:val="none" w:sz="0" w:space="0" w:color="auto"/>
            <w:right w:val="none" w:sz="0" w:space="0" w:color="auto"/>
          </w:divBdr>
        </w:div>
        <w:div w:id="253704561">
          <w:marLeft w:val="0"/>
          <w:marRight w:val="0"/>
          <w:marTop w:val="0"/>
          <w:marBottom w:val="0"/>
          <w:divBdr>
            <w:top w:val="none" w:sz="0" w:space="0" w:color="auto"/>
            <w:left w:val="none" w:sz="0" w:space="0" w:color="auto"/>
            <w:bottom w:val="none" w:sz="0" w:space="0" w:color="auto"/>
            <w:right w:val="none" w:sz="0" w:space="0" w:color="auto"/>
          </w:divBdr>
        </w:div>
        <w:div w:id="1091895713">
          <w:marLeft w:val="0"/>
          <w:marRight w:val="0"/>
          <w:marTop w:val="0"/>
          <w:marBottom w:val="0"/>
          <w:divBdr>
            <w:top w:val="none" w:sz="0" w:space="0" w:color="auto"/>
            <w:left w:val="none" w:sz="0" w:space="0" w:color="auto"/>
            <w:bottom w:val="none" w:sz="0" w:space="0" w:color="auto"/>
            <w:right w:val="none" w:sz="0" w:space="0" w:color="auto"/>
          </w:divBdr>
        </w:div>
        <w:div w:id="1941909204">
          <w:marLeft w:val="0"/>
          <w:marRight w:val="0"/>
          <w:marTop w:val="0"/>
          <w:marBottom w:val="0"/>
          <w:divBdr>
            <w:top w:val="none" w:sz="0" w:space="0" w:color="auto"/>
            <w:left w:val="none" w:sz="0" w:space="0" w:color="auto"/>
            <w:bottom w:val="none" w:sz="0" w:space="0" w:color="auto"/>
            <w:right w:val="none" w:sz="0" w:space="0" w:color="auto"/>
          </w:divBdr>
        </w:div>
        <w:div w:id="109976521">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fontTable" Target="fontTable.xml"/>
  <Relationship Id="rId9" Type="http://schemas.openxmlformats.org/officeDocument/2006/relationships/theme" Target="theme/theme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riedas" Abbr="pr." Title="TEISĖS AKTŲ PROJEKTŲ ANTIKORUPCINIO VERTINIMO PAŽYMA" DocPartId="8d29b15fb77d4381bcf6ee0cee7c5000" PartId="82891b10944a472d94fcb218f0cdee9c"/>
</Parts>
</file>

<file path=customXml/itemProps1.xml><?xml version="1.0" encoding="utf-8"?>
<ds:datastoreItem xmlns:ds="http://schemas.openxmlformats.org/officeDocument/2006/customXml" ds:itemID="{E0761D55-35ED-4979-A4D4-74B634A47670}">
  <ds:schemaRefs>
    <ds:schemaRef ds:uri="http://schemas.openxmlformats.org/officeDocument/2006/bibliography"/>
  </ds:schemaRefs>
</ds:datastoreItem>
</file>

<file path=customXml/itemProps2.xml><?xml version="1.0" encoding="utf-8"?>
<ds:datastoreItem xmlns:ds="http://schemas.openxmlformats.org/officeDocument/2006/customXml" ds:itemID="{7DA763BA-1700-4F62-8FDC-1E88729773DE}">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7</Pages>
  <Words>1413</Words>
  <Characters>10079</Characters>
  <Application>Microsoft Office Word</Application>
  <DocSecurity>4</DocSecurity>
  <Lines>458</Lines>
  <Paragraphs>153</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vector>
  </TitlesOfParts>
  <Company/>
  <LinksUpToDate>false</LinksUpToDate>
  <CharactersWithSpaces>11339</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2022-08-31T10:09:00Z</dcterms:created>
  <dc:creator>Remigijus Alavočius</dc:creator>
  <lastModifiedBy>adlibuser</lastModifiedBy>
  <dcterms:modified xsi:type="dcterms:W3CDTF">2022-08-31T10:09:00Z</dcterms:modified>
  <revision>2</revision>
</coreProperties>
</file>