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lentele"/>
        <w:tag w:val="part_f6a36edda5f44fcf96c79561d229a207"/>
        <w:lock w:val="sdtLocked"/>
        <w:richText/>
      </w:sdtPr>
      <w:sdtContent>
        <w:p>
          <w:pPr>
            <w:tabs>
              <w:tab w:val="center" w:pos="4986"/>
              <w:tab w:val="right" w:pos="9972"/>
            </w:tabs>
          </w:pPr>
        </w:p>
        <w:p>
          <w:pPr>
            <w:jc w:val="center"/>
            <w:rPr>
              <w:szCs w:val="24"/>
            </w:rPr>
          </w:pPr>
          <w:r>
            <w:rPr>
              <w:b/>
              <w:szCs w:val="24"/>
            </w:rPr>
            <w:t xml:space="preserve">REGLAMENTO (ES) 2024/1789 IR </w:t>
          </w:r>
          <w:r>
            <w:rPr>
              <w:b/>
              <w:bCs/>
              <w:caps/>
              <w:szCs w:val="24"/>
            </w:rPr>
            <w:t>LIETUVOS RESPUBLIKOS VANDENILIO ĮSTATYMO PROJEKTO</w:t>
          </w:r>
          <w:r>
            <w:rPr>
              <w:b/>
              <w:szCs w:val="24"/>
            </w:rPr>
            <w:t xml:space="preserve"> ATITIKTIES LENTELĖ</w:t>
          </w:r>
        </w:p>
        <w:p>
          <w:pPr>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6091"/>
            <w:gridCol w:w="6813"/>
            <w:gridCol w:w="1722"/>
          </w:tblGrid>
          <w:tr>
            <w:tc>
              <w:tcPr>
                <w:tcW w:w="6091" w:type="dxa"/>
              </w:tcPr>
              <w:p>
                <w:pPr>
                  <w:tabs>
                    <w:tab w:val="center" w:pos="4153"/>
                    <w:tab w:val="right" w:pos="8306"/>
                  </w:tabs>
                  <w:jc w:val="both"/>
                  <w:rPr>
                    <w:b/>
                    <w:bCs/>
                    <w:szCs w:val="24"/>
                  </w:rPr>
                </w:pPr>
                <w:r>
                  <w:rPr>
                    <w:b/>
                    <w:bCs/>
                    <w:color w:val="333333"/>
                    <w:szCs w:val="24"/>
                    <w:shd w:val="clear" w:color="auto" w:fill="FFFFFF"/>
                  </w:rPr>
                  <w:t xml:space="preserve">2024 m. birželio 13 d. Europos Parlamento ir Tarybos reglamentas </w:t>
                </w:r>
                <w:fldSimple w:instr="HYPERLINK http://eur-lex.europa.eu/legal-content/LIT/TXT/?uri=CELEX:32024R1789&amp;locale=lt \t _blank">
                  <w:r>
                    <w:rPr>
                      <w:b/>
                      <w:bCs/>
                      <w:color w:val="0000FF" w:themeColor="hyperlink"/>
                      <w:szCs w:val="24"/>
                      <w:shd w:val="clear" w:color="auto" w:fill="FFFFFF"/>
                      <w:u w:val="single"/>
                    </w:rPr>
                    <w:t>(ES) 2024/1789</w:t>
                  </w:r>
                </w:fldSimple>
                <w:r>
                  <w:rPr>
                    <w:b/>
                    <w:bCs/>
                    <w:color w:val="333333"/>
                    <w:szCs w:val="24"/>
                    <w:shd w:val="clear" w:color="auto" w:fill="FFFFFF"/>
                  </w:rPr>
                  <w:t xml:space="preserve">, dėl dujų iš atsinaujinančiųjų išteklių, gamtinių dujų ir vandenilio vidaus rinkų, kuriuo iš dalies keičiami reglamentai </w:t>
                </w:r>
                <w:fldSimple w:instr="HYPERLINK http://eur-lex.europa.eu/legal-content/LIT/TXT/?uri=CELEX:32011R1227&amp;locale=lt \t _blank">
                  <w:r>
                    <w:rPr>
                      <w:b/>
                      <w:bCs/>
                      <w:color w:val="0000FF" w:themeColor="hyperlink"/>
                      <w:szCs w:val="24"/>
                      <w:shd w:val="clear" w:color="auto" w:fill="FFFFFF"/>
                      <w:u w:val="single"/>
                    </w:rPr>
                    <w:t>(ES) Nr. 1227/2011</w:t>
                  </w:r>
                </w:fldSimple>
                <w:r>
                  <w:rPr>
                    <w:b/>
                    <w:bCs/>
                    <w:color w:val="333333"/>
                    <w:szCs w:val="24"/>
                    <w:shd w:val="clear" w:color="auto" w:fill="FFFFFF"/>
                  </w:rPr>
                  <w:t xml:space="preserve">, </w:t>
                </w:r>
                <w:fldSimple w:instr="HYPERLINK http://eur-lex.europa.eu/legal-content/LIT/TXT/?uri=CELEX:32017R1938&amp;locale=lt \t _blank">
                  <w:r>
                    <w:rPr>
                      <w:b/>
                      <w:bCs/>
                      <w:color w:val="0000FF" w:themeColor="hyperlink"/>
                      <w:szCs w:val="24"/>
                      <w:shd w:val="clear" w:color="auto" w:fill="FFFFFF"/>
                      <w:u w:val="single"/>
                    </w:rPr>
                    <w:t>(ES) 2017/1938</w:t>
                  </w:r>
                </w:fldSimple>
                <w:r>
                  <w:rPr>
                    <w:b/>
                    <w:bCs/>
                    <w:color w:val="333333"/>
                    <w:szCs w:val="24"/>
                    <w:shd w:val="clear" w:color="auto" w:fill="FFFFFF"/>
                  </w:rPr>
                  <w:t xml:space="preserve">, </w:t>
                </w:r>
                <w:fldSimple w:instr="HYPERLINK http://eur-lex.europa.eu/legal-content/LIT/TXT/?uri=CELEX:32019R0942&amp;locale=lt \t _blank">
                  <w:r>
                    <w:rPr>
                      <w:b/>
                      <w:bCs/>
                      <w:color w:val="0000FF" w:themeColor="hyperlink"/>
                      <w:szCs w:val="24"/>
                      <w:shd w:val="clear" w:color="auto" w:fill="FFFFFF"/>
                      <w:u w:val="single"/>
                    </w:rPr>
                    <w:t>(ES) 2019/942</w:t>
                  </w:r>
                </w:fldSimple>
                <w:r>
                  <w:rPr>
                    <w:b/>
                    <w:bCs/>
                    <w:color w:val="333333"/>
                    <w:szCs w:val="24"/>
                    <w:shd w:val="clear" w:color="auto" w:fill="FFFFFF"/>
                  </w:rPr>
                  <w:t xml:space="preserve"> bei </w:t>
                </w:r>
                <w:fldSimple w:instr="HYPERLINK http://eur-lex.europa.eu/legal-content/LIT/TXT/?uri=CELEX:32022R0869&amp;locale=lt \t _blank">
                  <w:r>
                    <w:rPr>
                      <w:b/>
                      <w:bCs/>
                      <w:color w:val="0000FF" w:themeColor="hyperlink"/>
                      <w:szCs w:val="24"/>
                      <w:shd w:val="clear" w:color="auto" w:fill="FFFFFF"/>
                      <w:u w:val="single"/>
                    </w:rPr>
                    <w:t>(ES) 2022/869</w:t>
                  </w:r>
                </w:fldSimple>
                <w:r>
                  <w:rPr>
                    <w:b/>
                    <w:bCs/>
                    <w:color w:val="333333"/>
                    <w:szCs w:val="24"/>
                    <w:shd w:val="clear" w:color="auto" w:fill="FFFFFF"/>
                  </w:rPr>
                  <w:t xml:space="preserve"> ir Sprendimas </w:t>
                </w:r>
                <w:fldSimple w:instr="HYPERLINK http://eur-lex.europa.eu/legal-content/LIT/TXT/?uri=CELEX:32017D0684&amp;locale=lt \t _blank">
                  <w:r>
                    <w:rPr>
                      <w:b/>
                      <w:bCs/>
                      <w:color w:val="0000FF" w:themeColor="hyperlink"/>
                      <w:szCs w:val="24"/>
                      <w:shd w:val="clear" w:color="auto" w:fill="FFFFFF"/>
                      <w:u w:val="single"/>
                    </w:rPr>
                    <w:t>(ES) 2017/684</w:t>
                  </w:r>
                </w:fldSimple>
                <w:r>
                  <w:rPr>
                    <w:b/>
                    <w:bCs/>
                    <w:color w:val="333333"/>
                    <w:szCs w:val="24"/>
                    <w:shd w:val="clear" w:color="auto" w:fill="FFFFFF"/>
                  </w:rPr>
                  <w:t xml:space="preserve"> bei panaikinamas Reglamentas </w:t>
                </w:r>
                <w:fldSimple w:instr="HYPERLINK http://eur-lex.europa.eu/legal-content/LIT/TXT/?uri=CELEX:32009R0715&amp;locale=lt \t _blank">
                  <w:r>
                    <w:rPr>
                      <w:b/>
                      <w:bCs/>
                      <w:color w:val="0000FF" w:themeColor="hyperlink"/>
                      <w:szCs w:val="24"/>
                      <w:shd w:val="clear" w:color="auto" w:fill="FFFFFF"/>
                      <w:u w:val="single"/>
                    </w:rPr>
                    <w:t>(EB) Nr. 715/2009</w:t>
                  </w:r>
                </w:fldSimple>
                <w:r>
                  <w:rPr>
                    <w:b/>
                    <w:bCs/>
                    <w:color w:val="333333"/>
                    <w:szCs w:val="24"/>
                    <w:shd w:val="clear" w:color="auto" w:fill="FFFFFF"/>
                  </w:rPr>
                  <w:t xml:space="preserve"> (nauja redakcija)</w:t>
                </w:r>
              </w:p>
            </w:tc>
            <w:tc>
              <w:tcPr>
                <w:tcW w:w="6813" w:type="dxa"/>
              </w:tcPr>
              <w:p>
                <w:pPr>
                  <w:tabs>
                    <w:tab w:val="left" w:pos="709"/>
                    <w:tab w:val="left" w:pos="993"/>
                  </w:tabs>
                  <w:jc w:val="both"/>
                  <w:rPr>
                    <w:b/>
                    <w:szCs w:val="24"/>
                  </w:rPr>
                </w:pPr>
                <w:r>
                  <w:rPr>
                    <w:b/>
                    <w:bCs/>
                    <w:szCs w:val="24"/>
                  </w:rPr>
                  <w:t xml:space="preserve">Lietuvos Respublikos vandenilio įstatymo </w:t>
                </w:r>
                <w:r>
                  <w:rPr>
                    <w:b/>
                    <w:szCs w:val="24"/>
                  </w:rPr>
                  <w:t>projektas (toliau – Įstatymo projektas)</w:t>
                </w:r>
              </w:p>
            </w:tc>
            <w:tc>
              <w:tcPr>
                <w:tcW w:w="1722" w:type="dxa"/>
              </w:tcPr>
              <w:p>
                <w:pPr>
                  <w:tabs>
                    <w:tab w:val="center" w:pos="4153"/>
                    <w:tab w:val="right" w:pos="8306"/>
                  </w:tabs>
                  <w:rPr>
                    <w:b/>
                    <w:szCs w:val="24"/>
                  </w:rPr>
                </w:pPr>
                <w:r>
                  <w:rPr>
                    <w:b/>
                    <w:szCs w:val="24"/>
                  </w:rPr>
                  <w:t>Reglamento įgyvendinimo lygis (visiškas, dalinis)</w:t>
                </w:r>
              </w:p>
              <w:p>
                <w:pPr>
                  <w:tabs>
                    <w:tab w:val="center" w:pos="4153"/>
                    <w:tab w:val="right" w:pos="8306"/>
                  </w:tabs>
                  <w:rPr>
                    <w:szCs w:val="24"/>
                  </w:rPr>
                </w:pPr>
              </w:p>
            </w:tc>
          </w:tr>
          <w:tr>
            <w:tc>
              <w:tcPr>
                <w:tcW w:w="6091" w:type="dxa"/>
              </w:tcPr>
              <w:p>
                <w:pPr>
                  <w:rPr>
                    <w:i/>
                    <w:iCs/>
                    <w:szCs w:val="24"/>
                  </w:rPr>
                </w:pPr>
                <w:r>
                  <w:rPr>
                    <w:i/>
                    <w:iCs/>
                    <w:szCs w:val="24"/>
                  </w:rPr>
                  <w:t>5 straipsnis</w:t>
                </w:r>
              </w:p>
              <w:p>
                <w:pPr>
                  <w:rPr>
                    <w:b/>
                    <w:bCs/>
                    <w:color w:val="333333"/>
                    <w:szCs w:val="24"/>
                  </w:rPr>
                </w:pPr>
                <w:r>
                  <w:rPr>
                    <w:b/>
                    <w:bCs/>
                    <w:color w:val="333333"/>
                    <w:szCs w:val="24"/>
                  </w:rPr>
                  <w:t>Reguliuojamo turto bazių atskyrimas</w:t>
                </w:r>
              </w:p>
            </w:tc>
            <w:tc>
              <w:tcPr>
                <w:tcW w:w="6813" w:type="dxa"/>
              </w:tcPr>
              <w:p>
                <w:pPr>
                  <w:spacing w:line="276" w:lineRule="atLeast"/>
                  <w:ind w:firstLine="709"/>
                  <w:jc w:val="both"/>
                  <w:rPr>
                    <w:b/>
                    <w:szCs w:val="24"/>
                    <w:lang w:eastAsia="lt-LT"/>
                  </w:rPr>
                </w:pPr>
              </w:p>
            </w:tc>
            <w:tc>
              <w:tcPr>
                <w:tcW w:w="1722" w:type="dxa"/>
              </w:tcPr>
              <w:p>
                <w:pPr>
                  <w:tabs>
                    <w:tab w:val="center" w:pos="4153"/>
                    <w:tab w:val="right" w:pos="8306"/>
                  </w:tabs>
                  <w:rPr>
                    <w:b/>
                    <w:szCs w:val="24"/>
                  </w:rPr>
                </w:pPr>
              </w:p>
            </w:tc>
          </w:tr>
          <w:tr>
            <w:tc>
              <w:tcPr>
                <w:tcW w:w="6091" w:type="dxa"/>
              </w:tcPr>
              <w:p>
                <w:pPr>
                  <w:jc w:val="both"/>
                  <w:rPr>
                    <w:i/>
                    <w:iCs/>
                    <w:szCs w:val="24"/>
                  </w:rPr>
                </w:pPr>
                <w:r>
                  <w:rPr>
                    <w:color w:val="333333"/>
                    <w:szCs w:val="24"/>
                    <w:shd w:val="clear" w:color="auto" w:fill="FFFFFF"/>
                  </w:rPr>
                  <w:t>3.   Valstybės narės gali leisti vandenilio tinklo operatoriams vandenilio tinklo išlaidų grąžinimą paskirstyti per tam tikrą laikotarpį taikant vandenilio tinklo prieigos tarifus, siekiant užtikrinti, kad būsimi naudotojai tinkamai prisidėtų prie pradinių vandenilio tinklo plėtros išlaidų. Tokį išlaidų paskirstymą per tam tikrą laikotarpį ir jį pagrindžiančią metodiką tvirtina reguliavimo institucija. Valstybės narės gali nustatyti priemones, pavyzdžiui, valstybės garantiją, kad būtų padengta vandenilio tinklo operatorių finansinė rizika, susijusi su pradiniu išlaidų susigrąžinimo skirtumu, atsirandančiu dėl išlaidų paskirstymo per tam tikrą laikotarpį, jei tokios priemonės atitinka SESV 107 straipsnį.</w:t>
                </w:r>
              </w:p>
            </w:tc>
            <w:tc>
              <w:tcPr>
                <w:tcW w:w="6813" w:type="dxa"/>
              </w:tcPr>
              <w:p>
                <w:pPr>
                  <w:spacing w:line="276" w:lineRule="atLeast"/>
                  <w:jc w:val="both"/>
                  <w:rPr>
                    <w:b/>
                    <w:bCs/>
                    <w:color w:val="000000"/>
                    <w:szCs w:val="24"/>
                  </w:rPr>
                </w:pPr>
                <w:r>
                  <w:rPr>
                    <w:b/>
                    <w:bCs/>
                    <w:color w:val="000000"/>
                    <w:szCs w:val="24"/>
                  </w:rPr>
                  <w:t>Įstatymo projektas</w:t>
                </w:r>
              </w:p>
              <w:p>
                <w:pPr>
                  <w:spacing w:line="276" w:lineRule="atLeast"/>
                  <w:jc w:val="both"/>
                  <w:rPr>
                    <w:b/>
                    <w:bCs/>
                    <w:color w:val="000000"/>
                    <w:szCs w:val="24"/>
                  </w:rPr>
                </w:pPr>
                <w:r>
                  <w:rPr>
                    <w:b/>
                    <w:bCs/>
                    <w:color w:val="000000"/>
                    <w:szCs w:val="24"/>
                  </w:rPr>
                  <w:t>13 straipsnis. Vandenilio sektoriaus kainų reguliavimas</w:t>
                </w:r>
              </w:p>
              <w:p>
                <w:pPr>
                  <w:spacing w:line="276" w:lineRule="atLeast"/>
                  <w:jc w:val="both"/>
                  <w:rPr>
                    <w:b/>
                    <w:bCs/>
                    <w:color w:val="000000"/>
                    <w:szCs w:val="24"/>
                  </w:rPr>
                </w:pPr>
                <w:r>
                  <w:rPr>
                    <w:b/>
                    <w:bCs/>
                    <w:color w:val="000000"/>
                    <w:szCs w:val="24"/>
                  </w:rPr>
                  <w:t>&lt;...&gt;</w:t>
                </w:r>
              </w:p>
              <w:p>
                <w:pPr>
                  <w:spacing w:line="276" w:lineRule="atLeast"/>
                  <w:jc w:val="both"/>
                  <w:rPr>
                    <w:b/>
                    <w:bCs/>
                    <w:color w:val="000000"/>
                    <w:szCs w:val="24"/>
                  </w:rPr>
                </w:pPr>
                <w:r>
                  <w:rPr>
                    <w:b/>
                    <w:bCs/>
                    <w:color w:val="000000"/>
                    <w:szCs w:val="24"/>
                  </w:rPr>
                  <w:t>9. Vandenilio tinklo infrastruktūros įrengimo ir vandenilio tinklo operatoriaus išlaidų, kai yra taikomas išlaidų paskirstymo per tam tikrą laikotarpį mechanizmas, taip kaip numatyta šio straipsnio 8 dalyje ir Reglamento </w:t>
                </w:r>
                <w:fldSimple w:instr="HYPERLINK http://eur-lex.europa.eu/legal-content/LIT/TXT/?uri=CELEX:32024R1789&amp;locale=lt \t _blank">
                  <w:r>
                    <w:rPr>
                      <w:b/>
                      <w:bCs/>
                      <w:szCs w:val="24"/>
                      <w:u w:val="single"/>
                      <w:color w:val="0000FF" w:themeColor="hyperlink"/>
                    </w:rPr>
                    <w:t>(ES) 2024/1789</w:t>
                  </w:r>
                </w:fldSimple>
                <w:r>
                  <w:rPr>
                    <w:b/>
                    <w:bCs/>
                    <w:color w:val="000000"/>
                    <w:szCs w:val="24"/>
                  </w:rPr>
                  <w:t> 5 straipsnio 3 dalyje, finansavimui, teisės aktų nustatyta tvarka gali būti taikomos finansavimo užtikrinimo priemonės (valstybės garantija, laidavimas, turto įkeitimas ir kitos priemonės). Sprendimas suteikti finansavimo užtikrinimo priemones priimamas Lietuvos Respublikos valstybės skolos įstatyme nustatyta tvarka. Siūlymą dėl finansavimo užtikrinimo priemonių taikymo, Taryba, įvertinusi vandenilio tinklo operatoriaus pateiktą pagrindžiančią informaciją ir Tarybos priimtą sprendimą dėl išlaidų paskirstymo per tam tikrą laikotarpį mechanizmo taikymo, pateikia Energetikos ministerijai. Energetikos ministerija, suderinusi sprendimo projektą su suinteresuotomis institucijomis, pateikia siūlymą Vyriausybei.</w:t>
                </w:r>
              </w:p>
              <w:p>
                <w:pPr>
                  <w:spacing w:line="276" w:lineRule="atLeast"/>
                  <w:jc w:val="both"/>
                  <w:rPr>
                    <w:b/>
                    <w:bCs/>
                    <w:color w:val="000000"/>
                    <w:szCs w:val="24"/>
                  </w:rPr>
                </w:pPr>
                <w:r>
                  <w:rPr>
                    <w:b/>
                    <w:bCs/>
                    <w:color w:val="000000"/>
                    <w:szCs w:val="24"/>
                  </w:rPr>
                  <w:t>&lt;...&gt;</w:t>
                </w:r>
              </w:p>
              <w:p>
                <w:pPr>
                  <w:spacing w:line="276" w:lineRule="atLeast"/>
                  <w:jc w:val="both"/>
                  <w:rPr>
                    <w:b/>
                    <w:bCs/>
                    <w:szCs w:val="24"/>
                    <w:lang w:eastAsia="lt-LT"/>
                  </w:rPr>
                </w:pPr>
                <w:r>
                  <w:rPr>
                    <w:b/>
                    <w:bCs/>
                    <w:color w:val="000000"/>
                    <w:szCs w:val="24"/>
                  </w:rPr>
                  <w:t>12. Iki vandenilio perdavimo ar skirstymo tinklo eksploatavimo pradžios ir iki vandenilio perdavimo ar skirstymo tinklo operatoriaus licencijos išdavimo datos patirtos pagrįstos vandenilio perdavimo ar skirstymo tinklo vystymo išlaidos, kai ši investicija ir su ja susijusios sąnaudos teisės aktų nustatyta tvarka yra suderintos su Taryba, laikomos pagrįstomis vandenilio perdavimo ar skirstymo tinklo operatoriaus sąnaudomis ir turtu, kurios Tarybos nustatyta tvarka įtraukiamos į vandenilio perdavimo ar skirstymo tinklo operatoriaus reguliuojamo turto bazę, reguliuojamas sąnaudas ir (ar) priskirtąjį mokestį finansiniam pervedimui, ir (ar) kompensuojamos kitomis priemonėmis, vadovaujantis šio įstatymo ir Reglamento </w:t>
                </w:r>
                <w:fldSimple w:instr="HYPERLINK http://eur-lex.europa.eu/legal-content/LIT/TXT/?uri=CELEX:32024R1789&amp;locale=lt \t _blank">
                  <w:r>
                    <w:rPr>
                      <w:b/>
                      <w:bCs/>
                      <w:szCs w:val="24"/>
                      <w:u w:val="single"/>
                      <w:color w:val="0000FF" w:themeColor="hyperlink"/>
                    </w:rPr>
                    <w:t>(ES) 2024/1789</w:t>
                  </w:r>
                </w:fldSimple>
                <w:r>
                  <w:rPr>
                    <w:b/>
                    <w:bCs/>
                    <w:color w:val="000000"/>
                    <w:szCs w:val="24"/>
                  </w:rPr>
                  <w:t> 5 straipsnio nuostatomis.</w:t>
                </w:r>
              </w:p>
            </w:tc>
            <w:tc>
              <w:tcPr>
                <w:tcW w:w="1722" w:type="dxa"/>
              </w:tcPr>
              <w:p>
                <w:pPr>
                  <w:tabs>
                    <w:tab w:val="center" w:pos="4153"/>
                    <w:tab w:val="right" w:pos="8306"/>
                  </w:tabs>
                  <w:rPr>
                    <w:b/>
                    <w:szCs w:val="24"/>
                  </w:rPr>
                </w:pPr>
                <w:r>
                  <w:rPr>
                    <w:b/>
                    <w:szCs w:val="24"/>
                  </w:rPr>
                  <w:t>Visiškas</w:t>
                </w:r>
              </w:p>
            </w:tc>
          </w:tr>
          <w:tr>
            <w:tc>
              <w:tcPr>
                <w:tcW w:w="6091" w:type="dxa"/>
              </w:tcPr>
              <w:p>
                <w:pPr>
                  <w:jc w:val="both"/>
                  <w:rPr>
                    <w:i/>
                    <w:iCs/>
                    <w:szCs w:val="24"/>
                  </w:rPr>
                </w:pPr>
                <w:r>
                  <w:rPr>
                    <w:color w:val="333333"/>
                    <w:szCs w:val="24"/>
                    <w:shd w:val="clear" w:color="auto" w:fill="FFFFFF"/>
                  </w:rPr>
                  <w:t>4.   Nukrypstant nuo 2 dalies, valstybė narė gali leisti finansinius pervedimus tarp reguliuojamų paslaugų, kurios yra atskiros, kaip tai suprantama 1 dalyje, jei reguliavimo institucija nustatė, kad tinklų finansavimas taikant tik tinklo naudotojų mokamus tinklo prieigos tarifus yra neperspektyvus. Reguliavimo institucija, atlikdama vertinimą, atsižvelgia, </w:t>
                </w:r>
                <w:r>
                  <w:rPr>
                    <w:i/>
                    <w:iCs/>
                    <w:color w:val="333333"/>
                    <w:szCs w:val="24"/>
                    <w:shd w:val="clear" w:color="auto" w:fill="FFFFFF"/>
                  </w:rPr>
                  <w:t>inter alia</w:t>
                </w:r>
                <w:r>
                  <w:rPr>
                    <w:color w:val="333333"/>
                    <w:szCs w:val="24"/>
                    <w:shd w:val="clear" w:color="auto" w:fill="FFFFFF"/>
                  </w:rPr>
                  <w:t>, į numatytų finansinių pervedimų vertę, susijusį kryžminį subsidijavimą tarp atitinkamų tinklų naudotojų ir tų finansinių pervedimų ekonominį efektyvumą.</w:t>
                </w:r>
              </w:p>
            </w:tc>
            <w:tc>
              <w:tcPr>
                <w:tcW w:w="6813" w:type="dxa"/>
              </w:tcPr>
              <w:p>
                <w:pPr>
                  <w:spacing w:line="276" w:lineRule="atLeast"/>
                  <w:jc w:val="both"/>
                  <w:rPr>
                    <w:b/>
                    <w:bCs/>
                    <w:color w:val="000000"/>
                    <w:szCs w:val="24"/>
                  </w:rPr>
                </w:pPr>
                <w:r>
                  <w:rPr>
                    <w:b/>
                    <w:bCs/>
                    <w:color w:val="000000"/>
                    <w:szCs w:val="24"/>
                  </w:rPr>
                  <w:t>Įstatymo projektas</w:t>
                </w:r>
              </w:p>
              <w:p>
                <w:pPr>
                  <w:spacing w:line="276" w:lineRule="atLeast"/>
                  <w:jc w:val="both"/>
                  <w:rPr>
                    <w:b/>
                    <w:bCs/>
                    <w:color w:val="000000"/>
                    <w:szCs w:val="24"/>
                  </w:rPr>
                </w:pPr>
                <w:r>
                  <w:rPr>
                    <w:b/>
                    <w:bCs/>
                    <w:color w:val="000000"/>
                    <w:szCs w:val="24"/>
                  </w:rPr>
                  <w:t>&lt;...&gt;</w:t>
                </w:r>
              </w:p>
              <w:p>
                <w:pPr>
                  <w:spacing w:line="276" w:lineRule="atLeast"/>
                  <w:jc w:val="both"/>
                  <w:rPr>
                    <w:b/>
                    <w:bCs/>
                    <w:color w:val="000000"/>
                    <w:szCs w:val="24"/>
                  </w:rPr>
                </w:pPr>
                <w:r>
                  <w:rPr>
                    <w:b/>
                    <w:bCs/>
                    <w:color w:val="000000"/>
                    <w:szCs w:val="24"/>
                  </w:rPr>
                  <w:t>13 straipsnis. Vandenilio sektoriaus kainų reguliavimas</w:t>
                </w:r>
              </w:p>
              <w:p>
                <w:pPr>
                  <w:spacing w:line="276" w:lineRule="atLeast"/>
                  <w:jc w:val="both"/>
                  <w:rPr>
                    <w:b/>
                    <w:bCs/>
                    <w:color w:val="000000"/>
                    <w:szCs w:val="24"/>
                  </w:rPr>
                </w:pPr>
                <w:r>
                  <w:rPr>
                    <w:b/>
                    <w:bCs/>
                    <w:color w:val="000000"/>
                    <w:szCs w:val="24"/>
                  </w:rPr>
                  <w:t>1. Vandenilio sektoriuje nustatydama viršutines paslaugų pajamų ribas, Taryba reguliuoja vandenilio perdavimo, skirstymo, vandenilio saugyklų paslaugų tarifus.</w:t>
                </w:r>
              </w:p>
              <w:p>
                <w:pPr>
                  <w:spacing w:line="276" w:lineRule="atLeast"/>
                  <w:jc w:val="both"/>
                  <w:rPr>
                    <w:b/>
                    <w:bCs/>
                    <w:color w:val="000000"/>
                    <w:szCs w:val="24"/>
                  </w:rPr>
                </w:pPr>
                <w:r>
                  <w:rPr>
                    <w:b/>
                    <w:bCs/>
                    <w:color w:val="000000"/>
                    <w:szCs w:val="24"/>
                  </w:rPr>
                  <w:t>2. Taryba rengia ir tvirtina šio straipsnio 1 dalyje nurodytų paslaugų tarifų ir viršutinių paslaugų pajamų ribų nustatymo metodikas.</w:t>
                </w:r>
              </w:p>
              <w:p>
                <w:pPr>
                  <w:spacing w:line="276" w:lineRule="atLeast"/>
                  <w:jc w:val="both"/>
                  <w:rPr>
                    <w:b/>
                    <w:bCs/>
                    <w:color w:val="000000"/>
                    <w:szCs w:val="24"/>
                  </w:rPr>
                </w:pPr>
                <w:r>
                  <w:rPr>
                    <w:b/>
                    <w:bCs/>
                    <w:color w:val="000000"/>
                    <w:szCs w:val="24"/>
                  </w:rPr>
                  <w:t>3. Taryba, nustatydama šio straipsnio 1 dalyje nurodytus reguliuojamus tarifus ir pajamų viršutines ribas:</w:t>
                </w:r>
              </w:p>
              <w:p>
                <w:pPr>
                  <w:spacing w:line="276" w:lineRule="atLeast"/>
                  <w:ind w:firstLine="709"/>
                  <w:jc w:val="both"/>
                  <w:rPr>
                    <w:b/>
                    <w:bCs/>
                    <w:szCs w:val="24"/>
                    <w:lang w:eastAsia="lt-LT"/>
                  </w:rPr>
                </w:pPr>
                <w:r>
                  <w:rPr>
                    <w:b/>
                    <w:bCs/>
                    <w:szCs w:val="24"/>
                    <w:lang w:eastAsia="lt-LT"/>
                  </w:rPr>
                  <w:t>&lt;...&gt;</w:t>
                </w:r>
              </w:p>
              <w:p>
                <w:pPr>
                  <w:spacing w:line="276" w:lineRule="atLeast"/>
                  <w:ind w:firstLine="709"/>
                  <w:jc w:val="both"/>
                  <w:rPr>
                    <w:b/>
                    <w:szCs w:val="24"/>
                    <w:lang w:eastAsia="lt-LT"/>
                  </w:rPr>
                </w:pPr>
                <w:r>
                  <w:rPr>
                    <w:b/>
                    <w:bCs/>
                    <w:color w:val="000000"/>
                    <w:szCs w:val="24"/>
                  </w:rPr>
                  <w:t>6) esant poreikiui parengia, konsultuojasi ir tvirtina skaidrias ir aiškias finansinio kompensavimo mechanizmo, išlaidų paskirstymo per tam tikrą laikotarpį ir priskirtojo mokesčio ir finansinio pervedimo apskaičiavimo metodikas pagal Reglamento </w:t>
                </w:r>
                <w:fldSimple w:instr="HYPERLINK http://eur-lex.europa.eu/legal-content/LIT/TXT/?uri=CELEX:32024R1789&amp;locale=lt \t _blank">
                  <w:r>
                    <w:rPr>
                      <w:b/>
                      <w:bCs/>
                      <w:szCs w:val="24"/>
                      <w:u w:val="single"/>
                      <w:color w:val="0000FF" w:themeColor="hyperlink"/>
                    </w:rPr>
                    <w:t>(ES) 2024/1789</w:t>
                  </w:r>
                </w:fldSimple>
                <w:r>
                  <w:rPr>
                    <w:b/>
                    <w:bCs/>
                    <w:szCs w:val="24"/>
                  </w:rPr>
                  <w:t> </w:t>
                </w:r>
                <w:r>
                  <w:rPr>
                    <w:b/>
                    <w:bCs/>
                    <w:color w:val="000000"/>
                    <w:szCs w:val="24"/>
                  </w:rPr>
                  <w:t>5 straipsnio 4 dalį bei atsižvelgia į šių mechanizmų taikymą, nustatydama pajamų viršutines ribas ir vertindama naudojimosi vandenilio tinklais tarifus.</w:t>
                </w:r>
              </w:p>
            </w:tc>
            <w:tc>
              <w:tcPr>
                <w:tcW w:w="1722" w:type="dxa"/>
              </w:tcPr>
              <w:p>
                <w:pPr>
                  <w:tabs>
                    <w:tab w:val="center" w:pos="4153"/>
                    <w:tab w:val="right" w:pos="8306"/>
                  </w:tabs>
                  <w:rPr>
                    <w:b/>
                    <w:szCs w:val="24"/>
                  </w:rPr>
                </w:pPr>
                <w:r>
                  <w:rPr>
                    <w:b/>
                    <w:szCs w:val="24"/>
                  </w:rPr>
                  <w:t>Visiškas</w:t>
                </w:r>
              </w:p>
              <w:p>
                <w:pPr>
                  <w:tabs>
                    <w:tab w:val="center" w:pos="4153"/>
                    <w:tab w:val="right" w:pos="8306"/>
                  </w:tabs>
                  <w:rPr>
                    <w:b/>
                    <w:szCs w:val="24"/>
                  </w:rPr>
                </w:pPr>
              </w:p>
            </w:tc>
          </w:tr>
          <w:tr>
            <w:tc>
              <w:tcPr>
                <w:tcW w:w="6091" w:type="dxa"/>
              </w:tcPr>
              <w:p>
                <w:pPr>
                  <w:rPr>
                    <w:szCs w:val="24"/>
                  </w:rPr>
                </w:pPr>
                <w:r>
                  <w:rPr>
                    <w:i/>
                    <w:iCs/>
                    <w:color w:val="333333"/>
                    <w:szCs w:val="24"/>
                  </w:rPr>
                  <w:t>7 straipsnis</w:t>
                </w:r>
              </w:p>
              <w:p>
                <w:pPr>
                  <w:rPr>
                    <w:b/>
                    <w:bCs/>
                    <w:szCs w:val="24"/>
                  </w:rPr>
                </w:pPr>
                <w:r>
                  <w:rPr>
                    <w:b/>
                    <w:bCs/>
                    <w:color w:val="333333"/>
                    <w:szCs w:val="24"/>
                  </w:rPr>
                  <w:t>Su vandenilio tinklų operatoriais susijusios trečiųjų šalių prieigos paslaugos</w:t>
                </w:r>
              </w:p>
            </w:tc>
            <w:tc>
              <w:tcPr>
                <w:tcW w:w="6813" w:type="dxa"/>
              </w:tcPr>
              <w:p>
                <w:pPr>
                  <w:spacing w:line="276" w:lineRule="atLeast"/>
                  <w:jc w:val="both"/>
                  <w:rPr>
                    <w:b/>
                    <w:szCs w:val="24"/>
                    <w:lang w:eastAsia="lt-LT"/>
                  </w:rPr>
                </w:pPr>
              </w:p>
            </w:tc>
            <w:tc>
              <w:tcPr>
                <w:tcW w:w="1722" w:type="dxa"/>
              </w:tcPr>
              <w:p>
                <w:pPr>
                  <w:tabs>
                    <w:tab w:val="center" w:pos="4153"/>
                    <w:tab w:val="right" w:pos="8306"/>
                  </w:tabs>
                  <w:rPr>
                    <w:b/>
                    <w:szCs w:val="24"/>
                  </w:rPr>
                </w:pPr>
              </w:p>
            </w:tc>
          </w:tr>
          <w:tr>
            <w:tc>
              <w:tcPr>
                <w:tcW w:w="6091" w:type="dxa"/>
              </w:tcPr>
              <w:p>
                <w:pPr>
                  <w:rPr>
                    <w:i/>
                    <w:iCs/>
                    <w:color w:val="333333"/>
                    <w:szCs w:val="24"/>
                  </w:rPr>
                </w:pPr>
                <w:r>
                  <w:rPr>
                    <w:color w:val="333333"/>
                    <w:szCs w:val="24"/>
                    <w:shd w:val="clear" w:color="auto" w:fill="FFFFFF"/>
                  </w:rPr>
                  <w:t xml:space="preserve">7.   Valstybės narės gali nuspręsti netaikyti šio straipsnio 6 dalies vandenilio tinklams, kuriems pagal Direktyvos </w:t>
                </w:r>
                <w:fldSimple w:instr="HYPERLINK http://eur-lex.europa.eu/legal-content/LIT/TXT/?uri=CELEX:32024L1788&amp;locale=lt \t _blank">
                  <w:r>
                    <w:rPr>
                      <w:color w:val="0000FF" w:themeColor="hyperlink"/>
                      <w:szCs w:val="24"/>
                      <w:shd w:val="clear" w:color="auto" w:fill="FFFFFF"/>
                      <w:u w:val="single"/>
                    </w:rPr>
                    <w:t>(ES) 2024/1788</w:t>
                  </w:r>
                </w:fldSimple>
                <w:r>
                  <w:rPr>
                    <w:color w:val="333333"/>
                    <w:szCs w:val="24"/>
                    <w:shd w:val="clear" w:color="auto" w:fill="FFFFFF"/>
                  </w:rPr>
                  <w:t xml:space="preserve"> 52 straipsnį taikoma nukrypti leidžianti nuostata ir kurie nėra prijungti prie kito vandenilio tinklo.</w:t>
                </w:r>
              </w:p>
            </w:tc>
            <w:tc>
              <w:tcPr>
                <w:tcW w:w="6813" w:type="dxa"/>
              </w:tcPr>
              <w:p>
                <w:pPr>
                  <w:spacing w:line="276" w:lineRule="atLeast"/>
                  <w:jc w:val="both"/>
                  <w:rPr>
                    <w:b/>
                    <w:szCs w:val="24"/>
                    <w:lang w:eastAsia="lt-LT"/>
                  </w:rPr>
                </w:pPr>
                <w:r>
                  <w:rPr>
                    <w:b/>
                    <w:szCs w:val="24"/>
                    <w:lang w:eastAsia="lt-LT"/>
                  </w:rPr>
                  <w:t>Įstatymo projektas</w:t>
                </w:r>
              </w:p>
              <w:p>
                <w:pPr>
                  <w:spacing w:line="276" w:lineRule="atLeast"/>
                  <w:jc w:val="both"/>
                  <w:rPr>
                    <w:b/>
                    <w:bCs/>
                    <w:color w:val="000000"/>
                    <w:szCs w:val="24"/>
                  </w:rPr>
                </w:pPr>
                <w:r>
                  <w:rPr>
                    <w:b/>
                    <w:bCs/>
                    <w:color w:val="000000"/>
                    <w:szCs w:val="24"/>
                  </w:rPr>
                  <w:t>32 straipsnis. Geografiškai riboti vandenilio tinklai</w:t>
                </w:r>
              </w:p>
              <w:p>
                <w:pPr>
                  <w:spacing w:line="276" w:lineRule="atLeast"/>
                  <w:jc w:val="both"/>
                  <w:rPr>
                    <w:b/>
                    <w:bCs/>
                    <w:color w:val="000000"/>
                    <w:szCs w:val="24"/>
                  </w:rPr>
                </w:pPr>
                <w:r>
                  <w:rPr>
                    <w:b/>
                    <w:bCs/>
                    <w:color w:val="000000"/>
                    <w:szCs w:val="24"/>
                  </w:rPr>
                  <w:t>&lt;...&gt;</w:t>
                </w:r>
              </w:p>
              <w:p>
                <w:pPr>
                  <w:spacing w:line="276" w:lineRule="atLeast"/>
                  <w:jc w:val="both"/>
                  <w:rPr>
                    <w:b/>
                    <w:bCs/>
                    <w:szCs w:val="24"/>
                    <w:lang w:eastAsia="lt-LT"/>
                  </w:rPr>
                </w:pPr>
                <w:r>
                  <w:rPr>
                    <w:b/>
                    <w:bCs/>
                    <w:color w:val="000000"/>
                    <w:szCs w:val="24"/>
                  </w:rPr>
                  <w:t>4. Taryba, savo nustatyta tvarka, priimdama sprendimą dėl šio straipsnio 1 dalyje nurodytos išimties suteikimo, kartu priima sprendimą ir dėl Reglamento </w:t>
                </w:r>
                <w:fldSimple w:instr="HYPERLINK http://eur-lex.europa.eu/legal-content/LIT/TXT/?uri=CELEX:32024R1789&amp;locale=lt \t _blank">
                  <w:r>
                    <w:rPr>
                      <w:b/>
                      <w:bCs/>
                      <w:szCs w:val="24"/>
                      <w:u w:val="single"/>
                      <w:color w:val="0000FF" w:themeColor="hyperlink"/>
                    </w:rPr>
                    <w:t>(ES) 2024/1789</w:t>
                  </w:r>
                </w:fldSimple>
                <w:r>
                  <w:rPr>
                    <w:b/>
                    <w:bCs/>
                    <w:szCs w:val="24"/>
                  </w:rPr>
                  <w:t> </w:t>
                </w:r>
                <w:r>
                  <w:rPr>
                    <w:b/>
                    <w:bCs/>
                    <w:color w:val="000000"/>
                    <w:szCs w:val="24"/>
                  </w:rPr>
                  <w:t>7 straipsnio 7 dalyje nurodytos išimties suteikimo. Tokiu atveju, geografiškai riboti vandenilio tinklai nelaikomi įleidimo ir išleidimo sistema ar jos dalimi.</w:t>
                </w:r>
              </w:p>
            </w:tc>
            <w:tc>
              <w:tcPr>
                <w:tcW w:w="1722" w:type="dxa"/>
              </w:tcPr>
              <w:p>
                <w:pPr>
                  <w:tabs>
                    <w:tab w:val="center" w:pos="4153"/>
                    <w:tab w:val="right" w:pos="8306"/>
                  </w:tabs>
                  <w:rPr>
                    <w:b/>
                    <w:szCs w:val="24"/>
                  </w:rPr>
                </w:pPr>
                <w:r>
                  <w:rPr>
                    <w:b/>
                    <w:szCs w:val="24"/>
                  </w:rPr>
                  <w:t>Visiškas</w:t>
                </w:r>
              </w:p>
            </w:tc>
          </w:tr>
          <w:tr>
            <w:tc>
              <w:tcPr>
                <w:tcW w:w="6091" w:type="dxa"/>
              </w:tcPr>
              <w:p>
                <w:pPr>
                  <w:jc w:val="both"/>
                  <w:rPr>
                    <w:i/>
                    <w:iCs/>
                    <w:szCs w:val="24"/>
                  </w:rPr>
                </w:pPr>
                <w:r>
                  <w:rPr>
                    <w:color w:val="333333"/>
                    <w:szCs w:val="24"/>
                    <w:shd w:val="clear" w:color="auto" w:fill="FFFFFF"/>
                  </w:rPr>
                  <w:t>8.   Nuo 2033 m. sausio 1 d. arba jei valstybė narė nusprendžia anksčiau nei 2033 m. sausio 1 d. taikyti reguliuojamą trečiųjų šalių prieigą prie vandenilio tinklų pagal Direktyvos </w:t>
                </w:r>
                <w:fldSimple w:instr="HYPERLINK http://eur-lex.europa.eu/legal-content/LIT/TXT/?uri=CELEX:32024L1788&amp;locale=lt \t _blank">
                  <w:r>
                    <w:rPr>
                      <w:color w:val="0000FF" w:themeColor="hyperlink"/>
                      <w:szCs w:val="24"/>
                      <w:shd w:val="clear" w:color="auto" w:fill="FFFFFF"/>
                      <w:u w:val="single"/>
                    </w:rPr>
                    <w:t>(ES) 2024/1788</w:t>
                  </w:r>
                </w:fldSimple>
                <w:r>
                  <w:rPr>
                    <w:color w:val="333333"/>
                    <w:szCs w:val="24"/>
                    <w:shd w:val="clear" w:color="auto" w:fill="FFFFFF"/>
                  </w:rPr>
                  <w:t xml:space="preserve"> 35 straipsnį, prieigos prie vandenilio tinklų tarifams taikomas šio reglamento 17 straipsnis, o šio reglamento 17 straipsnio 1, 2, 4 ir 5 dalyse nustatytos perdavimo sistemos operatorių pareigos taikomos vandenilio tinklo operatoriams. Šio reglamento 18 ir 19 straipsniai netaikomi vandenilio tinklams. Tie straipsniai taikomi tik gamtinių dujų tinklams.</w:t>
                </w:r>
              </w:p>
            </w:tc>
            <w:tc>
              <w:tcPr>
                <w:tcW w:w="6813" w:type="dxa"/>
              </w:tcPr>
              <w:p>
                <w:pPr>
                  <w:spacing w:line="276" w:lineRule="atLeast"/>
                  <w:jc w:val="both"/>
                  <w:rPr>
                    <w:b/>
                    <w:bCs/>
                    <w:color w:val="000000"/>
                    <w:szCs w:val="24"/>
                  </w:rPr>
                </w:pPr>
                <w:r>
                  <w:rPr>
                    <w:b/>
                    <w:bCs/>
                    <w:color w:val="000000"/>
                    <w:szCs w:val="24"/>
                  </w:rPr>
                  <w:t>Įstatymo projektas</w:t>
                </w:r>
              </w:p>
              <w:p>
                <w:pPr>
                  <w:spacing w:line="276" w:lineRule="atLeast"/>
                  <w:jc w:val="both"/>
                  <w:rPr>
                    <w:b/>
                    <w:bCs/>
                    <w:color w:val="000000"/>
                    <w:szCs w:val="24"/>
                  </w:rPr>
                </w:pPr>
                <w:r>
                  <w:rPr>
                    <w:b/>
                    <w:bCs/>
                    <w:color w:val="000000"/>
                    <w:szCs w:val="24"/>
                  </w:rPr>
                  <w:t>&lt;...&gt;</w:t>
                </w:r>
              </w:p>
              <w:p>
                <w:pPr>
                  <w:spacing w:line="276" w:lineRule="atLeast"/>
                  <w:ind w:firstLine="709"/>
                  <w:jc w:val="both"/>
                  <w:rPr>
                    <w:b/>
                    <w:bCs/>
                    <w:color w:val="000000"/>
                    <w:szCs w:val="24"/>
                  </w:rPr>
                </w:pPr>
                <w:r>
                  <w:rPr>
                    <w:b/>
                    <w:bCs/>
                    <w:color w:val="000000"/>
                    <w:szCs w:val="24"/>
                  </w:rPr>
                  <w:t>12 straipsnis. Regioninis bendradarbiavimas ir integracija</w:t>
                </w:r>
              </w:p>
              <w:p>
                <w:pPr>
                  <w:spacing w:line="276" w:lineRule="atLeast"/>
                  <w:ind w:firstLine="709"/>
                  <w:jc w:val="both"/>
                  <w:rPr>
                    <w:b/>
                    <w:bCs/>
                    <w:color w:val="000000"/>
                    <w:szCs w:val="24"/>
                  </w:rPr>
                </w:pPr>
                <w:r>
                  <w:rPr>
                    <w:b/>
                    <w:bCs/>
                    <w:color w:val="000000"/>
                    <w:szCs w:val="24"/>
                  </w:rPr>
                  <w:t>3. Taryba, Vyriausybei pritarus dėl regioninės rinkos sukūrimo, pasikonsultavusi ir sutarusi su kitų regioninės rinkos valstybių nacionalinėmis reguliavimo institucijomis ir vandenilio perdavimo tinklo operatoriais, gali priimti bendrą su kitomis nacionalinėmis reguliavimo institucijomis sprendimą dėl gretimų įleidimo ir išleidimo sistemų sujungimo ir atitinkamų įleidimo ir išleidimo sistemų sujungimo taškuose tarifų panaikinimo pagal Reglamento </w:t>
                </w:r>
                <w:fldSimple w:instr="HYPERLINK http://eur-lex.europa.eu/legal-content/LIT/TXT/?uri=CELEX:32024R1789&amp;locale=lt \t _blank">
                  <w:r>
                    <w:rPr>
                      <w:b/>
                      <w:bCs/>
                      <w:szCs w:val="24"/>
                      <w:u w:val="single"/>
                      <w:color w:val="0000FF" w:themeColor="hyperlink"/>
                    </w:rPr>
                    <w:t>(ES) 2024/1789</w:t>
                  </w:r>
                </w:fldSimple>
                <w:r>
                  <w:rPr>
                    <w:b/>
                    <w:bCs/>
                    <w:color w:val="000000"/>
                    <w:szCs w:val="24"/>
                  </w:rPr>
                  <w:t> 7 straipsnio 8 dalį ir 17 straipsnio 4, 5 dalis. Tokiu atveju, Taryba sutarus kartu su kitomis nacionalinėmis reguliavimo institucijomis gali patvirtinti bendrus įleidimo ir išleidimo tarifų nustatymo principus, netaikyti tarifų sujungimo taškuose tarp vandenilio perdavimo tinklų operatorių, ir nustatyti tarp vandenilio perdavimo tinklų operatorių finansinio kompensavimo mechanizmą, skirtą su tarifų panaikinimu vandenilio perdavimo tinklų sujungimo taškuose tarp integracijoje dalyvaujančių vandenilio perdavimo tinklų operatorių susijusioms išlaidoms perskirstyti tarp vandenilio perdavimo tinklų operatorių, esančių bendroje regioninėje rinkoje.</w:t>
                </w:r>
              </w:p>
              <w:p>
                <w:pPr>
                  <w:spacing w:line="276" w:lineRule="atLeast"/>
                  <w:ind w:firstLine="709"/>
                  <w:jc w:val="both"/>
                  <w:rPr>
                    <w:b/>
                    <w:bCs/>
                    <w:color w:val="000000"/>
                    <w:szCs w:val="24"/>
                  </w:rPr>
                </w:pPr>
                <w:r>
                  <w:rPr>
                    <w:b/>
                    <w:bCs/>
                    <w:color w:val="000000"/>
                    <w:szCs w:val="24"/>
                  </w:rPr>
                  <w:t>&lt;...&gt;</w:t>
                </w:r>
              </w:p>
              <w:p>
                <w:pPr>
                  <w:spacing w:line="276" w:lineRule="atLeast"/>
                  <w:ind w:firstLine="709"/>
                  <w:jc w:val="both"/>
                  <w:rPr>
                    <w:b/>
                    <w:bCs/>
                    <w:color w:val="000000"/>
                    <w:szCs w:val="24"/>
                  </w:rPr>
                </w:pPr>
                <w:r>
                  <w:rPr>
                    <w:b/>
                    <w:bCs/>
                    <w:color w:val="000000"/>
                    <w:szCs w:val="24"/>
                  </w:rPr>
                  <w:t>5. Jei pagal Reglamento </w:t>
                </w:r>
                <w:fldSimple w:instr="HYPERLINK http://eur-lex.europa.eu/legal-content/LIT/TXT/?uri=CELEX:32024R1789&amp;locale=lt \t _blank">
                  <w:r>
                    <w:rPr>
                      <w:b/>
                      <w:bCs/>
                      <w:szCs w:val="24"/>
                      <w:u w:val="single"/>
                      <w:color w:val="0000FF" w:themeColor="hyperlink"/>
                    </w:rPr>
                    <w:t>(ES) 2024/1789</w:t>
                  </w:r>
                </w:fldSimple>
                <w:r>
                  <w:rPr>
                    <w:b/>
                    <w:bCs/>
                    <w:szCs w:val="24"/>
                  </w:rPr>
                  <w:t> </w:t>
                </w:r>
                <w:r>
                  <w:rPr>
                    <w:b/>
                    <w:bCs/>
                    <w:color w:val="000000"/>
                    <w:szCs w:val="24"/>
                  </w:rPr>
                  <w:t>7 straipsnio 8 dalį sujungimo taškuose tarp valstybių narių už teisę naudotis vandenilio perdavimo tinklu netaikomi jokie tarifai, vandenilio perdavimo tinklo operatorius, kartu su kitais regioninės rinkos vandenilio perdavimo tinklų operatoriais atlikęs viešąsias konsultacijas su vandenilio rinkos dalyviais ir susitaręs su visais regioninės vandenilio rinkos vandenilio perdavimo tinklų operatoriais, gali pateikti Tarybai regioninės rinkos vandenilio perdavimo paslaugų kainodaros modelio ir finansinio kompensavimo mechanizmo projektą. Toks vandenilio perdavimo tinklų operatorių susitarimas yra pasiekiamas ir viešos konsultacijos gali būti atliekamos nuo 2033 m. sausio 1 d.</w:t>
                </w:r>
              </w:p>
            </w:tc>
            <w:tc>
              <w:tcPr>
                <w:tcW w:w="1722" w:type="dxa"/>
              </w:tcPr>
              <w:p>
                <w:pPr>
                  <w:tabs>
                    <w:tab w:val="center" w:pos="4153"/>
                    <w:tab w:val="right" w:pos="8306"/>
                  </w:tabs>
                  <w:rPr>
                    <w:b/>
                    <w:szCs w:val="24"/>
                  </w:rPr>
                </w:pPr>
                <w:r>
                  <w:rPr>
                    <w:b/>
                    <w:szCs w:val="24"/>
                  </w:rPr>
                  <w:t>Visiškas</w:t>
                </w:r>
              </w:p>
            </w:tc>
          </w:tr>
          <w:tr>
            <w:tc>
              <w:tcPr>
                <w:tcW w:w="6091" w:type="dxa"/>
              </w:tcPr>
              <w:p>
                <w:pPr>
                  <w:rPr>
                    <w:szCs w:val="24"/>
                  </w:rPr>
                </w:pPr>
                <w:r>
                  <w:rPr>
                    <w:i/>
                    <w:iCs/>
                    <w:color w:val="333333"/>
                    <w:szCs w:val="24"/>
                  </w:rPr>
                  <w:t>17 straipsnis</w:t>
                </w:r>
              </w:p>
              <w:p>
                <w:pPr>
                  <w:rPr>
                    <w:b/>
                    <w:bCs/>
                    <w:szCs w:val="24"/>
                  </w:rPr>
                </w:pPr>
                <w:r>
                  <w:rPr>
                    <w:b/>
                    <w:bCs/>
                    <w:color w:val="333333"/>
                    <w:szCs w:val="24"/>
                  </w:rPr>
                  <w:t>Tinklų prieigos tarifai</w:t>
                </w:r>
              </w:p>
            </w:tc>
            <w:tc>
              <w:tcPr>
                <w:tcW w:w="6813" w:type="dxa"/>
              </w:tcPr>
              <w:p>
                <w:pPr>
                  <w:spacing w:line="276" w:lineRule="atLeast"/>
                  <w:jc w:val="both"/>
                  <w:rPr>
                    <w:b/>
                    <w:bCs/>
                    <w:color w:val="000000"/>
                    <w:szCs w:val="24"/>
                  </w:rPr>
                </w:pPr>
              </w:p>
            </w:tc>
            <w:tc>
              <w:tcPr>
                <w:tcW w:w="1722" w:type="dxa"/>
              </w:tcPr>
              <w:p>
                <w:pPr>
                  <w:tabs>
                    <w:tab w:val="center" w:pos="4153"/>
                    <w:tab w:val="right" w:pos="8306"/>
                  </w:tabs>
                  <w:rPr>
                    <w:b/>
                    <w:szCs w:val="24"/>
                  </w:rPr>
                </w:pPr>
              </w:p>
            </w:tc>
          </w:tr>
          <w:tr>
            <w:tc>
              <w:tcPr>
                <w:tcW w:w="6091" w:type="dxa"/>
              </w:tcPr>
              <w:p>
                <w:pPr>
                  <w:shd w:val="clear" w:color="auto" w:fill="FFFFFF"/>
                  <w:spacing w:line="312" w:lineRule="atLeast"/>
                  <w:jc w:val="both"/>
                  <w:rPr>
                    <w:color w:val="333333"/>
                    <w:szCs w:val="24"/>
                  </w:rPr>
                </w:pPr>
                <w:r>
                  <w:rPr>
                    <w:color w:val="333333"/>
                    <w:szCs w:val="24"/>
                  </w:rPr>
                  <w:t>4.   Reguliavimo institucijos gali sujungti gretimas įleidimo ir išleidimo sistemas, kad būtų sudarytos sąlygos visiškai arba dalinei regioninei integracijai, ir atitinkamų įleidimo ir išleidimo sistemų sujungimo taškuose tarifai gali būti panaikinti. Po reguliavimo institucijų arba perdavimo sistemos operatorių surengtų viešų konsultacijų reguliavimo institucijos gali patvirtinti bendrą tarifą ir tarp perdavimo sistemos operatorių taikomą veiksmingą kompensavimo mechanizmą, skirtą su sujungimo taškų panaikinimu susijusioms išlaidoms perskirstyti.</w:t>
                </w:r>
              </w:p>
              <w:p>
                <w:pPr>
                  <w:shd w:val="clear" w:color="auto" w:fill="FFFFFF"/>
                  <w:spacing w:line="312" w:lineRule="atLeast"/>
                  <w:jc w:val="both"/>
                  <w:rPr>
                    <w:color w:val="333333"/>
                    <w:szCs w:val="24"/>
                  </w:rPr>
                </w:pPr>
                <w:r>
                  <w:rPr>
                    <w:color w:val="333333"/>
                    <w:szCs w:val="24"/>
                  </w:rPr>
                  <w:t>5.   Valstybės narės, turinčios daugiau nei vieną sujungtą įleidimo ir išleidimo sistemą arba daugiau nei vieną vienos įleidimo ir išleidimo sistemos tinklo operatorių, gali taikyti vienodą tinklo tarifą, siekdamos sudaryti vienodas sąlygas tinklo naudotojams, jei yra patvirtintas tinklo planas ir įgyvendinamas tinklo operatorių tarpusavio kompensavimo mechanizmas.</w:t>
                </w:r>
              </w:p>
              <w:p>
                <w:pPr>
                  <w:jc w:val="both"/>
                  <w:rPr>
                    <w:color w:val="333333"/>
                    <w:szCs w:val="24"/>
                    <w:shd w:val="clear" w:color="auto" w:fill="FFFFFF"/>
                  </w:rPr>
                </w:pPr>
              </w:p>
            </w:tc>
            <w:tc>
              <w:tcPr>
                <w:tcW w:w="6813" w:type="dxa"/>
              </w:tcPr>
              <w:p>
                <w:pPr>
                  <w:spacing w:line="276" w:lineRule="atLeast"/>
                  <w:jc w:val="both"/>
                  <w:rPr>
                    <w:b/>
                    <w:bCs/>
                    <w:color w:val="000000"/>
                    <w:szCs w:val="24"/>
                  </w:rPr>
                </w:pPr>
                <w:r>
                  <w:rPr>
                    <w:b/>
                    <w:bCs/>
                    <w:color w:val="000000"/>
                    <w:szCs w:val="24"/>
                  </w:rPr>
                  <w:t>Įstatymo projektas</w:t>
                </w:r>
              </w:p>
              <w:p>
                <w:pPr>
                  <w:spacing w:line="276" w:lineRule="atLeast"/>
                  <w:jc w:val="both"/>
                  <w:rPr>
                    <w:b/>
                    <w:bCs/>
                    <w:color w:val="000000"/>
                    <w:szCs w:val="24"/>
                  </w:rPr>
                </w:pPr>
                <w:r>
                  <w:rPr>
                    <w:b/>
                    <w:bCs/>
                    <w:color w:val="000000"/>
                    <w:szCs w:val="24"/>
                  </w:rPr>
                  <w:t>&lt;...&gt;</w:t>
                </w:r>
              </w:p>
              <w:p>
                <w:pPr>
                  <w:spacing w:line="276" w:lineRule="atLeast"/>
                  <w:ind w:firstLine="709"/>
                  <w:jc w:val="both"/>
                  <w:rPr>
                    <w:b/>
                    <w:bCs/>
                    <w:color w:val="000000"/>
                    <w:szCs w:val="24"/>
                  </w:rPr>
                </w:pPr>
                <w:r>
                  <w:rPr>
                    <w:b/>
                    <w:bCs/>
                    <w:color w:val="000000"/>
                    <w:szCs w:val="24"/>
                  </w:rPr>
                  <w:t>12 straipsnis. Regioninis bendradarbiavimas ir integracija</w:t>
                </w:r>
              </w:p>
              <w:p>
                <w:pPr>
                  <w:spacing w:line="276" w:lineRule="atLeast"/>
                  <w:ind w:firstLine="709"/>
                  <w:jc w:val="both"/>
                  <w:rPr>
                    <w:b/>
                    <w:bCs/>
                    <w:color w:val="000000"/>
                    <w:szCs w:val="24"/>
                  </w:rPr>
                </w:pPr>
                <w:r>
                  <w:rPr>
                    <w:b/>
                    <w:bCs/>
                    <w:color w:val="000000"/>
                    <w:szCs w:val="24"/>
                  </w:rPr>
                  <w:t>&lt;...&gt;</w:t>
                </w:r>
              </w:p>
              <w:p>
                <w:pPr>
                  <w:spacing w:line="276" w:lineRule="atLeast"/>
                  <w:ind w:firstLine="709"/>
                  <w:jc w:val="both"/>
                  <w:rPr>
                    <w:b/>
                    <w:bCs/>
                    <w:color w:val="000000"/>
                    <w:szCs w:val="24"/>
                  </w:rPr>
                </w:pPr>
                <w:r>
                  <w:rPr>
                    <w:b/>
                    <w:bCs/>
                    <w:color w:val="000000"/>
                    <w:szCs w:val="24"/>
                  </w:rPr>
                  <w:t>3. Taryba, Vyriausybei pritarus dėl regioninės rinkos sukūrimo, pasikonsultavusi ir sutarusi su kitų regioninės rinkos valstybių nacionalinėmis reguliavimo institucijomis ir vandenilio perdavimo tinklo operatoriais, gali priimti bendrą su kitomis nacionalinėmis reguliavimo institucijomis sprendimą dėl gretimų įleidimo ir išleidimo sistemų sujungimo ir atitinkamų įleidimo ir išleidimo sistemų sujungimo taškuose tarifų panaikinimo pagal Reglamento </w:t>
                </w:r>
                <w:fldSimple w:instr="HYPERLINK http://eur-lex.europa.eu/legal-content/LIT/TXT/?uri=CELEX:32024R1789&amp;locale=lt \t _blank">
                  <w:r>
                    <w:rPr>
                      <w:b/>
                      <w:bCs/>
                      <w:szCs w:val="24"/>
                      <w:u w:val="single"/>
                      <w:color w:val="0000FF" w:themeColor="hyperlink"/>
                    </w:rPr>
                    <w:t>(ES) 2024/1789</w:t>
                  </w:r>
                </w:fldSimple>
                <w:r>
                  <w:rPr>
                    <w:b/>
                    <w:bCs/>
                    <w:color w:val="000000"/>
                    <w:szCs w:val="24"/>
                  </w:rPr>
                  <w:t> 7 straipsnio 8 dalį ir 17 straipsnio 4, 5 dalis. Tokiu atveju, Taryba sutarus kartu su kitomis nacionalinėmis reguliavimo institucijomis gali patvirtinti bendrus įleidimo ir išleidimo tarifų nustatymo principus, netaikyti tarifų sujungimo taškuose tarp vandenilio perdavimo tinklų operatorių, ir nustatyti tarp vandenilio perdavimo tinklų operatorių finansinio kompensavimo mechanizmą, skirtą su tarifų panaikinimu vandenilio perdavimo tinklų sujungimo taškuose tarp integracijoje dalyvaujančių vandenilio perdavimo tinklų operatorių susijusioms išlaidoms perskirstyti tarp vandenilio perdavimo tinklų operatorių, esančių bendroje regioninėje rinkoje.</w:t>
                </w:r>
              </w:p>
              <w:p>
                <w:pPr>
                  <w:spacing w:line="276" w:lineRule="atLeast"/>
                  <w:jc w:val="both"/>
                  <w:rPr>
                    <w:b/>
                    <w:bCs/>
                    <w:color w:val="000000"/>
                    <w:szCs w:val="24"/>
                  </w:rPr>
                </w:pPr>
              </w:p>
            </w:tc>
            <w:tc>
              <w:tcPr>
                <w:tcW w:w="1722" w:type="dxa"/>
              </w:tcPr>
              <w:p>
                <w:pPr>
                  <w:tabs>
                    <w:tab w:val="center" w:pos="4153"/>
                    <w:tab w:val="right" w:pos="8306"/>
                  </w:tabs>
                  <w:rPr>
                    <w:b/>
                    <w:szCs w:val="24"/>
                  </w:rPr>
                </w:pPr>
                <w:r>
                  <w:rPr>
                    <w:b/>
                    <w:szCs w:val="24"/>
                  </w:rPr>
                  <w:t>Visiškas</w:t>
                </w:r>
              </w:p>
            </w:tc>
          </w:tr>
          <w:tr>
            <w:tc>
              <w:tcPr>
                <w:tcW w:w="6091" w:type="dxa"/>
              </w:tcPr>
              <w:p>
                <w:pPr>
                  <w:jc w:val="both"/>
                  <w:rPr>
                    <w:szCs w:val="24"/>
                  </w:rPr>
                </w:pPr>
                <w:r>
                  <w:rPr>
                    <w:i/>
                    <w:iCs/>
                    <w:color w:val="333333"/>
                    <w:szCs w:val="24"/>
                  </w:rPr>
                  <w:t>57 straipsnis</w:t>
                </w:r>
              </w:p>
              <w:p>
                <w:pPr>
                  <w:jc w:val="both"/>
                  <w:rPr>
                    <w:b/>
                    <w:bCs/>
                    <w:szCs w:val="24"/>
                  </w:rPr>
                </w:pPr>
                <w:r>
                  <w:rPr>
                    <w:b/>
                    <w:bCs/>
                    <w:color w:val="333333"/>
                    <w:szCs w:val="24"/>
                  </w:rPr>
                  <w:t>Europos vandenilio tinklo operatorių tinklas</w:t>
                </w:r>
              </w:p>
              <w:p>
                <w:pPr>
                  <w:jc w:val="both"/>
                  <w:rPr>
                    <w:szCs w:val="24"/>
                    <w:shd w:val="clear" w:color="auto" w:fill="FFFFFF"/>
                  </w:rPr>
                </w:pPr>
                <w:r>
                  <w:rPr>
                    <w:color w:val="333333"/>
                    <w:szCs w:val="24"/>
                    <w:shd w:val="clear" w:color="auto" w:fill="FFFFFF"/>
                  </w:rPr>
                  <w:t>1.   Vandenilio perdavimo tinklo operatoriai Sąjungos lygmeniu bendradarbiauja per ENNOH, kad būtų skatinama vandenilio vidaus rinkos plėtra ir sklandus jos veikimas bei tarpvalstybinė prekyba ir užtikrintas optimalus Europos vandenilio perdavimo tinklo valdymas, koordinuota veikla ir patikima techninė raida.</w:t>
                </w:r>
              </w:p>
            </w:tc>
            <w:tc>
              <w:tcPr>
                <w:tcW w:w="6813" w:type="dxa"/>
              </w:tcPr>
              <w:p>
                <w:pPr>
                  <w:spacing w:line="276" w:lineRule="atLeast"/>
                  <w:jc w:val="both"/>
                  <w:rPr>
                    <w:b/>
                    <w:bCs/>
                    <w:color w:val="000000"/>
                    <w:szCs w:val="24"/>
                  </w:rPr>
                </w:pPr>
                <w:r>
                  <w:rPr>
                    <w:b/>
                    <w:bCs/>
                    <w:color w:val="000000"/>
                    <w:szCs w:val="24"/>
                  </w:rPr>
                  <w:t>Įstatymo projektas</w:t>
                </w:r>
              </w:p>
              <w:p>
                <w:pPr>
                  <w:spacing w:line="276" w:lineRule="atLeast"/>
                  <w:jc w:val="both"/>
                  <w:rPr>
                    <w:b/>
                    <w:bCs/>
                    <w:color w:val="000000"/>
                    <w:szCs w:val="24"/>
                  </w:rPr>
                </w:pPr>
                <w:r>
                  <w:rPr>
                    <w:b/>
                    <w:bCs/>
                    <w:color w:val="000000"/>
                    <w:szCs w:val="24"/>
                  </w:rPr>
                  <w:t>53 straipsnis. Vandenilio perdavimo tinklo operatoriaus bendradarbiavimas su užsienio valstybių vandenilio perdavimo tinklų operatoriais</w:t>
                </w:r>
              </w:p>
              <w:p>
                <w:pPr>
                  <w:spacing w:line="276" w:lineRule="atLeast"/>
                  <w:ind w:firstLine="720"/>
                  <w:jc w:val="both"/>
                  <w:rPr>
                    <w:b/>
                    <w:bCs/>
                    <w:color w:val="000000"/>
                    <w:szCs w:val="24"/>
                  </w:rPr>
                </w:pPr>
                <w:r>
                  <w:rPr>
                    <w:b/>
                    <w:bCs/>
                    <w:color w:val="000000"/>
                    <w:szCs w:val="24"/>
                  </w:rPr>
                  <w:t>53 straipsnis. Vandenilio perdavimo tinklo operatoriaus bendradarbiavimas su užsienio valstybių vandenilio perdavimo tinklų operatoriais</w:t>
                </w:r>
              </w:p>
              <w:p>
                <w:pPr>
                  <w:spacing w:line="276" w:lineRule="atLeast"/>
                  <w:ind w:firstLine="709"/>
                  <w:jc w:val="both"/>
                  <w:rPr>
                    <w:b/>
                    <w:bCs/>
                    <w:color w:val="000000"/>
                    <w:szCs w:val="24"/>
                  </w:rPr>
                </w:pPr>
                <w:r>
                  <w:rPr>
                    <w:b/>
                    <w:bCs/>
                    <w:color w:val="000000"/>
                    <w:szCs w:val="24"/>
                  </w:rPr>
                  <w:t>1. Vandenilio perdavimo tinklo operatorius bendradarbiauja su Europos Sąjungos valstybių vandenilio perdavimo tinklų operatoriais, siekdamas sukurti konkurencingą vandenilio vidaus rinką:</w:t>
                </w:r>
              </w:p>
              <w:p>
                <w:pPr>
                  <w:spacing w:line="276" w:lineRule="atLeast"/>
                  <w:ind w:firstLine="709"/>
                  <w:jc w:val="both"/>
                  <w:rPr>
                    <w:b/>
                    <w:bCs/>
                    <w:color w:val="000000"/>
                    <w:szCs w:val="24"/>
                  </w:rPr>
                </w:pPr>
                <w:r>
                  <w:rPr>
                    <w:b/>
                    <w:bCs/>
                    <w:color w:val="000000"/>
                    <w:szCs w:val="24"/>
                  </w:rPr>
                  <w:t>1)  spręsdamas tarpvalstybinius vandenilio sektoriaus klausimus;</w:t>
                </w:r>
              </w:p>
              <w:p>
                <w:pPr>
                  <w:spacing w:line="276" w:lineRule="atLeast"/>
                  <w:ind w:firstLine="709"/>
                  <w:jc w:val="both"/>
                  <w:rPr>
                    <w:b/>
                    <w:bCs/>
                    <w:color w:val="000000"/>
                    <w:szCs w:val="24"/>
                  </w:rPr>
                </w:pPr>
                <w:r>
                  <w:rPr>
                    <w:b/>
                    <w:bCs/>
                    <w:color w:val="000000"/>
                    <w:szCs w:val="24"/>
                  </w:rPr>
                  <w:t>2)  derindamas techninius vandenilio perdavimo reikalavimus;</w:t>
                </w:r>
              </w:p>
              <w:p>
                <w:pPr>
                  <w:spacing w:line="276" w:lineRule="atLeast"/>
                  <w:ind w:firstLine="709"/>
                  <w:jc w:val="both"/>
                  <w:rPr>
                    <w:b/>
                    <w:bCs/>
                    <w:color w:val="000000"/>
                    <w:szCs w:val="24"/>
                  </w:rPr>
                </w:pPr>
                <w:r>
                  <w:rPr>
                    <w:b/>
                    <w:bCs/>
                    <w:color w:val="000000"/>
                    <w:szCs w:val="24"/>
                  </w:rPr>
                  <w:t>3)  užtikrindamas vandenilio perdavimo tinklo darbo saugumą nacionaliniu ir regioniniu lygmeniu, įskaitant avarijų prevenciją, jų padarinių šalinimą ir vandenilio sistemos veikimo atkūrimą;</w:t>
                </w:r>
              </w:p>
              <w:p>
                <w:pPr>
                  <w:spacing w:line="276" w:lineRule="atLeast"/>
                  <w:ind w:firstLine="709"/>
                  <w:jc w:val="both"/>
                  <w:rPr>
                    <w:b/>
                    <w:bCs/>
                    <w:color w:val="000000"/>
                    <w:szCs w:val="24"/>
                  </w:rPr>
                </w:pPr>
                <w:r>
                  <w:rPr>
                    <w:b/>
                    <w:bCs/>
                    <w:color w:val="000000"/>
                    <w:szCs w:val="24"/>
                  </w:rPr>
                  <w:t>4)  įgyvendindamas strateginius vandenilio sektoriaus projektus, priskirtus vandenilio perdavimo tinklo operatoriaus kompetencijai;</w:t>
                </w:r>
              </w:p>
              <w:p>
                <w:pPr>
                  <w:spacing w:line="276" w:lineRule="atLeast"/>
                  <w:ind w:firstLine="709"/>
                  <w:jc w:val="both"/>
                  <w:rPr>
                    <w:b/>
                    <w:bCs/>
                    <w:color w:val="000000"/>
                    <w:szCs w:val="24"/>
                  </w:rPr>
                </w:pPr>
                <w:r>
                  <w:rPr>
                    <w:b/>
                    <w:bCs/>
                    <w:color w:val="000000"/>
                    <w:szCs w:val="24"/>
                  </w:rPr>
                  <w:t>5)  kitais vandenilio perdavimo tinklo valdymo ir organizavimo tikslais.</w:t>
                </w:r>
              </w:p>
              <w:p>
                <w:pPr>
                  <w:spacing w:line="276" w:lineRule="atLeast"/>
                  <w:ind w:firstLine="709"/>
                  <w:jc w:val="both"/>
                  <w:rPr>
                    <w:b/>
                    <w:bCs/>
                    <w:color w:val="000000"/>
                    <w:szCs w:val="24"/>
                  </w:rPr>
                </w:pPr>
                <w:r>
                  <w:rPr>
                    <w:b/>
                    <w:bCs/>
                    <w:color w:val="000000"/>
                    <w:szCs w:val="24"/>
                  </w:rPr>
                  <w:t>2. Bendradarbiavimas apima informacijos mainus, jungčių planavimą ir eksploatacijos koordinavimą, techninių reikalavimų ir standartų suderinimą bei veiksmų, susijusių su tarpvalstybinio vandenilio tinklų plėtra, derinimą.</w:t>
                </w:r>
              </w:p>
              <w:p>
                <w:pPr>
                  <w:spacing w:line="276" w:lineRule="atLeast"/>
                  <w:ind w:firstLine="709"/>
                  <w:jc w:val="both"/>
                  <w:rPr>
                    <w:b/>
                    <w:bCs/>
                    <w:color w:val="000000"/>
                    <w:szCs w:val="24"/>
                  </w:rPr>
                </w:pPr>
                <w:r>
                  <w:rPr>
                    <w:b/>
                    <w:bCs/>
                    <w:color w:val="000000"/>
                    <w:szCs w:val="24"/>
                  </w:rPr>
                  <w:t>3. Vandenilio perdavimo tinklo operatorius su Europos Sąjungos valstybių vandenilio perdavimo tinklų operatoriais bendradarbiauja Europos Sąjungos ir regioniniu lygmeniu.</w:t>
                </w:r>
              </w:p>
              <w:p>
                <w:pPr>
                  <w:spacing w:line="276" w:lineRule="atLeast"/>
                  <w:ind w:firstLine="709"/>
                  <w:jc w:val="both"/>
                  <w:rPr>
                    <w:b/>
                    <w:bCs/>
                    <w:color w:val="000000"/>
                    <w:szCs w:val="24"/>
                  </w:rPr>
                </w:pPr>
                <w:r>
                  <w:rPr>
                    <w:b/>
                    <w:bCs/>
                    <w:color w:val="000000"/>
                    <w:szCs w:val="24"/>
                  </w:rPr>
                  <w:t>4. Vandenilio perdavimo tinklo operatorius, atlikdamas jam pavestas funkcijas, nepažeisdamas nacionalinių ir Europos Sąjungos teisės aktų, gali sudaryti bendradarbiavimo susitarimus su kitų valstybių vandenilio perdavimo tinklų operatoriais, reguliavimo institucijomis, pagal kompetenciją dalyvauti tarptautinių ir regioninių organizacijų, asociacijų, komitetų, komisijų ir darbo grupių veikloje.</w:t>
                </w:r>
              </w:p>
              <w:p>
                <w:pPr>
                  <w:spacing w:line="276" w:lineRule="atLeast"/>
                  <w:ind w:firstLine="709"/>
                  <w:jc w:val="both"/>
                  <w:rPr>
                    <w:b/>
                    <w:bCs/>
                    <w:color w:val="000000"/>
                    <w:szCs w:val="24"/>
                  </w:rPr>
                </w:pPr>
                <w:r>
                  <w:rPr>
                    <w:b/>
                    <w:bCs/>
                    <w:color w:val="000000"/>
                    <w:szCs w:val="24"/>
                  </w:rPr>
                  <w:t>5. Vandenilio perdavimo tinklo operatorius dalyvauja Europos vandenilio tinklo operatorių tinklo (toliau – ENNOH) veikloje. Vandenilio perdavimo tinklo operatorius, dalyvaudamas ENNOH veikloje ir bendradarbiaudamas su Europos Sąjungos valstybių vandenilio perdavimo tinklų operatoriais, vadovaujasi Reglamento </w:t>
                </w:r>
                <w:fldSimple w:instr="HYPERLINK http://eur-lex.europa.eu/legal-content/LIT/TXT/?uri=CELEX:32024R1789&amp;locale=lt \t _blank">
                  <w:r>
                    <w:rPr>
                      <w:b/>
                      <w:bCs/>
                      <w:szCs w:val="24"/>
                      <w:u w:val="single"/>
                      <w:color w:val="0000FF" w:themeColor="hyperlink"/>
                    </w:rPr>
                    <w:t>(ES) 2024/1789</w:t>
                  </w:r>
                </w:fldSimple>
                <w:r>
                  <w:rPr>
                    <w:b/>
                    <w:bCs/>
                    <w:color w:val="000000"/>
                    <w:szCs w:val="24"/>
                  </w:rPr>
                  <w:t> 57 ir 59 straipsnių nuostatomis. Vandenilio perdavimo tinklo operatoriaus pagrįstos sąnaudos, susijusios su dalyvavimu šios organizacijos veikloje, Tarybos nustatyta tvarka įvertinamos, nustatant ar koreguojant vandenilio perdavimo paslaugų kainų viršutines ribas.</w:t>
                </w:r>
              </w:p>
              <w:p>
                <w:pPr>
                  <w:spacing w:line="276" w:lineRule="atLeast"/>
                  <w:ind w:firstLine="709"/>
                  <w:jc w:val="both"/>
                  <w:rPr>
                    <w:b/>
                    <w:bCs/>
                    <w:color w:val="000000"/>
                    <w:szCs w:val="24"/>
                  </w:rPr>
                </w:pPr>
                <w:r>
                  <w:rPr>
                    <w:b/>
                    <w:bCs/>
                    <w:color w:val="000000"/>
                    <w:szCs w:val="24"/>
                  </w:rPr>
                  <w:t>6. Taryba vykdo vandenilio perdavimo tinklo operatoriaus techninio bendradarbiavimo su Europos Sąjungos valstybių operatoriais stebėseną, užtikrindama atitiktį šiame įstatyme, Reglamente </w:t>
                </w:r>
                <w:fldSimple w:instr="HYPERLINK http://eur-lex.europa.eu/legal-content/LIT/TXT/?uri=CELEX:32024R1789&amp;locale=lt \t _blank">
                  <w:r>
                    <w:rPr>
                      <w:b/>
                      <w:bCs/>
                      <w:szCs w:val="24"/>
                      <w:u w:val="single"/>
                      <w:color w:val="0000FF" w:themeColor="hyperlink"/>
                    </w:rPr>
                    <w:t>(ES) 2024/1789</w:t>
                  </w:r>
                </w:fldSimple>
                <w:r>
                  <w:rPr>
                    <w:b/>
                    <w:bCs/>
                    <w:color w:val="000000"/>
                    <w:szCs w:val="24"/>
                  </w:rPr>
                  <w:t>, kituose Europos Sąjungos reglamentuose ir kituose teisės aktuose nustatytiems reikalavimams.</w:t>
                </w:r>
              </w:p>
              <w:p>
                <w:pPr>
                  <w:spacing w:line="276" w:lineRule="atLeast"/>
                  <w:jc w:val="both"/>
                  <w:rPr>
                    <w:b/>
                    <w:bCs/>
                    <w:color w:val="000000"/>
                    <w:szCs w:val="24"/>
                  </w:rPr>
                </w:pPr>
              </w:p>
            </w:tc>
            <w:tc>
              <w:tcPr>
                <w:tcW w:w="1722" w:type="dxa"/>
              </w:tcPr>
              <w:p>
                <w:pPr>
                  <w:tabs>
                    <w:tab w:val="center" w:pos="4153"/>
                    <w:tab w:val="right" w:pos="8306"/>
                  </w:tabs>
                  <w:rPr>
                    <w:b/>
                    <w:szCs w:val="24"/>
                  </w:rPr>
                </w:pPr>
                <w:r>
                  <w:rPr>
                    <w:b/>
                    <w:szCs w:val="24"/>
                  </w:rPr>
                  <w:t>Visiškas</w:t>
                </w:r>
              </w:p>
            </w:tc>
          </w:tr>
          <w:tr>
            <w:tc>
              <w:tcPr>
                <w:tcW w:w="6091" w:type="dxa"/>
              </w:tcPr>
              <w:p>
                <w:pPr>
                  <w:shd w:val="clear" w:color="auto" w:fill="FFFFFF"/>
                  <w:spacing w:line="312" w:lineRule="atLeast"/>
                  <w:rPr>
                    <w:i/>
                    <w:iCs/>
                    <w:color w:val="333333"/>
                    <w:szCs w:val="24"/>
                  </w:rPr>
                </w:pPr>
                <w:r>
                  <w:rPr>
                    <w:i/>
                    <w:iCs/>
                    <w:color w:val="333333"/>
                    <w:szCs w:val="24"/>
                  </w:rPr>
                  <w:t>60 straipsnis</w:t>
                </w:r>
              </w:p>
              <w:p>
                <w:pPr>
                  <w:shd w:val="clear" w:color="auto" w:fill="FFFFFF"/>
                  <w:spacing w:line="312" w:lineRule="atLeast"/>
                  <w:rPr>
                    <w:i/>
                    <w:iCs/>
                    <w:color w:val="333333"/>
                    <w:szCs w:val="24"/>
                  </w:rPr>
                </w:pPr>
                <w:r>
                  <w:rPr>
                    <w:b/>
                    <w:bCs/>
                    <w:color w:val="333333"/>
                    <w:szCs w:val="24"/>
                  </w:rPr>
                  <w:t>Visos Sąjungos vandenilio tinklo plėtros planas</w:t>
                </w:r>
              </w:p>
            </w:tc>
            <w:tc>
              <w:tcPr>
                <w:tcW w:w="6813" w:type="dxa"/>
              </w:tcPr>
              <w:p>
                <w:pPr>
                  <w:spacing w:line="276" w:lineRule="atLeast"/>
                  <w:jc w:val="both"/>
                  <w:rPr>
                    <w:color w:val="000000"/>
                    <w:szCs w:val="24"/>
                  </w:rPr>
                </w:pPr>
              </w:p>
            </w:tc>
            <w:tc>
              <w:tcPr>
                <w:tcW w:w="1722" w:type="dxa"/>
              </w:tcPr>
              <w:p>
                <w:pPr>
                  <w:tabs>
                    <w:tab w:val="center" w:pos="4153"/>
                    <w:tab w:val="right" w:pos="8306"/>
                  </w:tabs>
                  <w:rPr>
                    <w:b/>
                    <w:szCs w:val="24"/>
                  </w:rPr>
                </w:pPr>
              </w:p>
            </w:tc>
          </w:tr>
          <w:tr>
            <w:tc>
              <w:tcPr>
                <w:tcW w:w="6091" w:type="dxa"/>
              </w:tcPr>
              <w:p>
                <w:pPr>
                  <w:jc w:val="both"/>
                </w:pPr>
                <w:r>
                  <w:t>1.   Visos Sąjungos vandenilio tinklo plėtros plane aprašomas integruoto vandenilio tinklo modeliavimas, pateikiamas scenarijų raidos aprašas, Europos tiekimo adekvatumo prognozė ir sistemos atsparumo vertinimas.</w:t>
                </w:r>
              </w:p>
              <w:p>
                <w:pPr>
                  <w:jc w:val="both"/>
                </w:pPr>
                <w:r>
                  <w:t>Visos Sąjungos vandenilio tinklo plėtros planas visų pirma:</w:t>
                </w:r>
              </w:p>
              <w:p>
                <w:pPr>
                  <w:jc w:val="both"/>
                </w:pPr>
                <w:r>
                  <w:t xml:space="preserve">a) grindžiamas nacionaliniais vandenilio perdavimo tinklo plėtros planais, kaip nustatyta Direktyvos </w:t>
                </w:r>
                <w:fldSimple w:instr="HYPERLINK http://eur-lex.europa.eu/legal-content/LIT/TXT/?uri=CELEX:32024L1788&amp;locale=lt \t _blank">
                  <w:r>
                    <w:rPr>
                      <w:u w:val="single"/>
                      <w:color w:val="0000FF" w:themeColor="hyperlink"/>
                    </w:rPr>
                    <w:t>(ES) 2024/1788</w:t>
                  </w:r>
                </w:fldSimple>
                <w:r>
                  <w:t xml:space="preserve"> 55 straipsnyje ir Reglamento </w:t>
                </w:r>
                <w:fldSimple w:instr="HYPERLINK http://eur-lex.europa.eu/legal-content/LIT/TXT/?uri=CELEX:32022R0869&amp;locale=lt \t _blank">
                  <w:r>
                    <w:rPr>
                      <w:u w:val="single"/>
                      <w:color w:val="0000FF" w:themeColor="hyperlink"/>
                    </w:rPr>
                    <w:t>(ES) 2022/869</w:t>
                  </w:r>
                </w:fldSimple>
                <w:r>
                  <w:t xml:space="preserve"> IV skyriuje;</w:t>
                </w:r>
              </w:p>
              <w:p>
                <w:pPr>
                  <w:jc w:val="both"/>
                </w:pPr>
                <w:r>
                  <w:t>b) tarpvalstybinių jungiamųjų linijų klausimu taip pat grindžiamas įvairių tinklo naudotojų pagrįstais poreikiais ir apima Direktyvos </w:t>
                </w:r>
                <w:fldSimple w:instr="HYPERLINK http://eur-lex.europa.eu/legal-content/LIT/TXT/?uri=CELEX:32024L1788&amp;locale=lt \t _blank">
                  <w:r>
                    <w:rPr>
                      <w:u w:val="single"/>
                      <w:color w:val="0000FF" w:themeColor="hyperlink"/>
                    </w:rPr>
                    <w:t>(ES) 2024/1788</w:t>
                  </w:r>
                </w:fldSimple>
                <w:r>
                  <w:t xml:space="preserve"> 55 straipsnio 7 dalyje nurodytų investuotojų ilgalaikius įsipareigojimus, ir</w:t>
                </w:r>
              </w:p>
              <w:p>
                <w:pPr>
                  <w:jc w:val="both"/>
                </w:pPr>
                <w:r>
                  <w:t xml:space="preserve">c) nustato investicijų, visų pirma į būtinus tarpvalstybinius pajėgumus, trūkumą, kad būtų įgyvendinti Reglamento </w:t>
                </w:r>
                <w:fldSimple w:instr="HYPERLINK http://eur-lex.europa.eu/legal-content/LIT/TXT/?uri=CELEX:32022R0869&amp;locale=lt \t _blank">
                  <w:r>
                    <w:rPr>
                      <w:u w:val="single"/>
                      <w:color w:val="0000FF" w:themeColor="hyperlink"/>
                    </w:rPr>
                    <w:t>(ES) 2022/869</w:t>
                  </w:r>
                </w:fldSimple>
                <w:r>
                  <w:t xml:space="preserve"> I priedo 3 punkte nurodyti vandenilio ir elektrolizerių prioritetiniai koridoriai.</w:t>
                </w:r>
              </w:p>
              <w:p>
                <w:pPr>
                  <w:jc w:val="both"/>
                </w:pPr>
              </w:p>
              <w:p>
                <w:pPr>
                  <w:jc w:val="both"/>
                </w:pPr>
                <w:r>
                  <w:t>&lt;...&gt;</w:t>
                </w:r>
              </w:p>
            </w:tc>
            <w:tc>
              <w:tcPr>
                <w:tcW w:w="6813" w:type="dxa"/>
              </w:tcPr>
              <w:p>
                <w:pPr>
                  <w:spacing w:line="276" w:lineRule="atLeast"/>
                  <w:jc w:val="both"/>
                  <w:rPr>
                    <w:b/>
                    <w:bCs/>
                    <w:color w:val="000000"/>
                    <w:szCs w:val="24"/>
                  </w:rPr>
                </w:pPr>
                <w:r>
                  <w:rPr>
                    <w:b/>
                    <w:bCs/>
                    <w:color w:val="000000"/>
                    <w:szCs w:val="24"/>
                  </w:rPr>
                  <w:t>Įstatymo projektas</w:t>
                </w:r>
              </w:p>
              <w:p>
                <w:pPr>
                  <w:spacing w:line="276" w:lineRule="atLeast"/>
                  <w:jc w:val="both"/>
                  <w:rPr>
                    <w:b/>
                    <w:bCs/>
                    <w:color w:val="000000"/>
                    <w:szCs w:val="24"/>
                  </w:rPr>
                </w:pPr>
                <w:r>
                  <w:rPr>
                    <w:b/>
                    <w:bCs/>
                    <w:color w:val="000000"/>
                    <w:szCs w:val="24"/>
                  </w:rPr>
                  <w:t>&lt;...&gt;</w:t>
                </w:r>
              </w:p>
              <w:p>
                <w:pPr>
                  <w:spacing w:line="276" w:lineRule="atLeast"/>
                  <w:jc w:val="both"/>
                  <w:rPr>
                    <w:b/>
                    <w:bCs/>
                    <w:color w:val="000000"/>
                    <w:szCs w:val="24"/>
                  </w:rPr>
                </w:pPr>
                <w:r>
                  <w:rPr>
                    <w:b/>
                    <w:bCs/>
                    <w:color w:val="000000"/>
                    <w:szCs w:val="24"/>
                  </w:rPr>
                  <w:t>29 straipsnis. Vandenilio tinklo, saugyklos ir terminalo operatorių užduotys</w:t>
                </w:r>
              </w:p>
              <w:p>
                <w:pPr>
                  <w:spacing w:line="276" w:lineRule="atLeast"/>
                  <w:jc w:val="both"/>
                  <w:rPr>
                    <w:b/>
                    <w:bCs/>
                    <w:color w:val="000000"/>
                    <w:szCs w:val="24"/>
                  </w:rPr>
                </w:pPr>
                <w:r>
                  <w:rPr>
                    <w:b/>
                    <w:bCs/>
                    <w:color w:val="000000"/>
                    <w:szCs w:val="24"/>
                  </w:rPr>
                  <w:t>&lt;...&gt;</w:t>
                </w:r>
              </w:p>
              <w:p>
                <w:pPr>
                  <w:spacing w:line="276" w:lineRule="atLeast"/>
                  <w:jc w:val="both"/>
                  <w:rPr>
                    <w:b/>
                    <w:bCs/>
                    <w:color w:val="000000"/>
                    <w:szCs w:val="24"/>
                  </w:rPr>
                </w:pPr>
                <w:r>
                  <w:rPr>
                    <w:b/>
                    <w:bCs/>
                    <w:color w:val="000000"/>
                    <w:szCs w:val="24"/>
                  </w:rPr>
                  <w:t>2. Vandenilio perdavimo tinklo operatorius yra atsakingas, kad būtų užtikrintas pakankamas tarpvalstybinis vandenilio perdavimo infrastruktūros pajėgumas Europos Sąjungos vandenilio infrastruktūrai integruoti, kad patenkintų visą ekonomiškai pagrįstą ir techniškai įmanomą pajėgumo paklausą, nustatytą šio įstatymo 35 straipsnio 1 dalyje nurodytame dešimties metų tinklo plėtros plane ir Reglamento </w:t>
                </w:r>
                <w:fldSimple w:instr="HYPERLINK http://eur-lex.europa.eu/legal-content/LIT/TXT/?uri=CELEX:32024R1789&amp;locale=lt \t _blank">
                  <w:r>
                    <w:rPr>
                      <w:b/>
                      <w:bCs/>
                      <w:szCs w:val="24"/>
                      <w:u w:val="single"/>
                      <w:color w:val="0000FF" w:themeColor="hyperlink"/>
                    </w:rPr>
                    <w:t>(ES) 2024/1789</w:t>
                  </w:r>
                </w:fldSimple>
                <w:r>
                  <w:rPr>
                    <w:b/>
                    <w:bCs/>
                    <w:szCs w:val="24"/>
                  </w:rPr>
                  <w:t> </w:t>
                </w:r>
                <w:r>
                  <w:rPr>
                    <w:b/>
                    <w:bCs/>
                    <w:color w:val="000000"/>
                    <w:szCs w:val="24"/>
                  </w:rPr>
                  <w:t>60 straipsnyje nurodytame visos Europos Sąjungos dešimties metų vandenilio tinklo plėtros plane, atsižvelgdamas į vandenilio tiekimo saugumą. Vandenilio perdavimo tinklo operatorius yra atsakingas už pakankamo tarpvalstybinio pajėgumo užtikrinimą. Taryba, derindama vandenilio perdavimo tinklo operatoriaus investicijas į tokią infrastruktūrą, atsižvelgia į aukščiau nurodytą kriterijų dėl pakankamo tarpvalstybinio pajėgumo ir pajėgumų ilguoju laikotarpiu poreikio užtikrinimo.</w:t>
                </w:r>
              </w:p>
            </w:tc>
            <w:tc>
              <w:tcPr>
                <w:tcW w:w="1722" w:type="dxa"/>
              </w:tcPr>
              <w:p>
                <w:pPr>
                  <w:tabs>
                    <w:tab w:val="center" w:pos="4153"/>
                    <w:tab w:val="right" w:pos="8306"/>
                  </w:tabs>
                  <w:rPr>
                    <w:b/>
                    <w:szCs w:val="24"/>
                  </w:rPr>
                </w:pPr>
                <w:r>
                  <w:rPr>
                    <w:b/>
                    <w:szCs w:val="24"/>
                  </w:rPr>
                  <w:t>Visiškas</w:t>
                </w:r>
              </w:p>
            </w:tc>
          </w:tr>
        </w:tbl>
        <w:p>
          <w:pPr>
            <w:rPr>
              <w:sz w:val="6"/>
              <w:szCs w:val="6"/>
            </w:rPr>
          </w:pPr>
        </w:p>
      </w:sdtContent>
    </w:sdt>
    <w:sdt>
      <w:sdtPr>
        <w:alias w:val="pastraipa"/>
        <w:tag w:val="part_c3d5a202fac243d39512458784f9e770"/>
        <w:lock w:val="sdtLocked"/>
        <w:richText/>
      </w:sdtPr>
      <w:sdtContent>
        <w:p>
          <w:pPr>
            <w:jc w:val="center"/>
            <w:rPr>
              <w:szCs w:val="24"/>
            </w:rPr>
          </w:pPr>
          <w:r>
            <w:rPr>
              <w:szCs w:val="24"/>
            </w:rPr>
            <w:t>____________________________</w:t>
          </w:r>
        </w:p>
      </w:sdtContent>
    </w:sdt>
    <w:sectPr>
      <w:headerReference w:type="even" r:id="rId17"/>
      <w:headerReference w:type="default" r:id="rId18"/>
      <w:footerReference w:type="even" r:id="rId19"/>
      <w:footerReference w:type="default" r:id="rId20"/>
      <w:headerReference w:type="first" r:id="rId21"/>
      <w:footerReference w:type="first" r:id="rId22"/>
      <w:pgSz w:w="16838" w:h="11906" w:orient="landscape"/>
      <w:pgMar w:top="720" w:right="720" w:bottom="720" w:left="709"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before="567"/>
      <w:jc w:val="center"/>
    </w:pPr>
    <w:r>
      <w:fldChar w:fldCharType="begin"/>
    </w:r>
    <w:r>
      <w:instrText>PAGE</w:instrText>
    </w:r>
    <w:r>
      <w:fldChar w:fldCharType="separate"/>
    </w:r>
    <w:r>
      <w:t>46</w:t>
    </w:r>
    <w:r>
      <w:fldChar w:fldCharType="end"/>
    </w:r>
  </w:p>
  <w:p>
    <w:pPr>
      <w:tabs>
        <w:tab w:val="center" w:pos="4153"/>
        <w:tab w:val="right" w:pos="830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hideGrammaticalErrors/>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319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43F5789-5B05-40A9-96F9-90644D07997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5948408">
      <w:bodyDiv w:val="1"/>
      <w:marLeft w:val="0"/>
      <w:marRight w:val="0"/>
      <w:marTop w:val="0"/>
      <w:marBottom w:val="0"/>
      <w:divBdr>
        <w:top w:val="none" w:sz="0" w:space="0" w:color="auto"/>
        <w:left w:val="none" w:sz="0" w:space="0" w:color="auto"/>
        <w:bottom w:val="none" w:sz="0" w:space="0" w:color="auto"/>
        <w:right w:val="none" w:sz="0" w:space="0" w:color="auto"/>
      </w:divBdr>
    </w:div>
    <w:div w:id="264385113">
      <w:bodyDiv w:val="1"/>
      <w:marLeft w:val="0"/>
      <w:marRight w:val="0"/>
      <w:marTop w:val="0"/>
      <w:marBottom w:val="0"/>
      <w:divBdr>
        <w:top w:val="none" w:sz="0" w:space="0" w:color="auto"/>
        <w:left w:val="none" w:sz="0" w:space="0" w:color="auto"/>
        <w:bottom w:val="none" w:sz="0" w:space="0" w:color="auto"/>
        <w:right w:val="none" w:sz="0" w:space="0" w:color="auto"/>
      </w:divBdr>
      <w:divsChild>
        <w:div w:id="840201474">
          <w:marLeft w:val="0"/>
          <w:marRight w:val="0"/>
          <w:marTop w:val="0"/>
          <w:marBottom w:val="0"/>
          <w:divBdr>
            <w:top w:val="none" w:sz="0" w:space="0" w:color="auto"/>
            <w:left w:val="none" w:sz="0" w:space="0" w:color="auto"/>
            <w:bottom w:val="none" w:sz="0" w:space="0" w:color="auto"/>
            <w:right w:val="none" w:sz="0" w:space="0" w:color="auto"/>
          </w:divBdr>
        </w:div>
        <w:div w:id="1711151334">
          <w:marLeft w:val="0"/>
          <w:marRight w:val="0"/>
          <w:marTop w:val="0"/>
          <w:marBottom w:val="0"/>
          <w:divBdr>
            <w:top w:val="none" w:sz="0" w:space="0" w:color="auto"/>
            <w:left w:val="none" w:sz="0" w:space="0" w:color="auto"/>
            <w:bottom w:val="none" w:sz="0" w:space="0" w:color="auto"/>
            <w:right w:val="none" w:sz="0" w:space="0" w:color="auto"/>
          </w:divBdr>
          <w:divsChild>
            <w:div w:id="1915577918">
              <w:marLeft w:val="0"/>
              <w:marRight w:val="0"/>
              <w:marTop w:val="0"/>
              <w:marBottom w:val="0"/>
              <w:divBdr>
                <w:top w:val="none" w:sz="0" w:space="0" w:color="auto"/>
                <w:left w:val="none" w:sz="0" w:space="0" w:color="auto"/>
                <w:bottom w:val="none" w:sz="0" w:space="0" w:color="auto"/>
                <w:right w:val="none" w:sz="0" w:space="0" w:color="auto"/>
              </w:divBdr>
            </w:div>
            <w:div w:id="2051878391">
              <w:marLeft w:val="0"/>
              <w:marRight w:val="0"/>
              <w:marTop w:val="0"/>
              <w:marBottom w:val="0"/>
              <w:divBdr>
                <w:top w:val="none" w:sz="0" w:space="0" w:color="auto"/>
                <w:left w:val="none" w:sz="0" w:space="0" w:color="auto"/>
                <w:bottom w:val="none" w:sz="0" w:space="0" w:color="auto"/>
                <w:right w:val="none" w:sz="0" w:space="0" w:color="auto"/>
              </w:divBdr>
            </w:div>
            <w:div w:id="1673027348">
              <w:marLeft w:val="0"/>
              <w:marRight w:val="0"/>
              <w:marTop w:val="0"/>
              <w:marBottom w:val="0"/>
              <w:divBdr>
                <w:top w:val="none" w:sz="0" w:space="0" w:color="auto"/>
                <w:left w:val="none" w:sz="0" w:space="0" w:color="auto"/>
                <w:bottom w:val="none" w:sz="0" w:space="0" w:color="auto"/>
                <w:right w:val="none" w:sz="0" w:space="0" w:color="auto"/>
              </w:divBdr>
            </w:div>
            <w:div w:id="946817002">
              <w:marLeft w:val="0"/>
              <w:marRight w:val="0"/>
              <w:marTop w:val="0"/>
              <w:marBottom w:val="0"/>
              <w:divBdr>
                <w:top w:val="none" w:sz="0" w:space="0" w:color="auto"/>
                <w:left w:val="none" w:sz="0" w:space="0" w:color="auto"/>
                <w:bottom w:val="none" w:sz="0" w:space="0" w:color="auto"/>
                <w:right w:val="none" w:sz="0" w:space="0" w:color="auto"/>
              </w:divBdr>
            </w:div>
            <w:div w:id="1769547615">
              <w:marLeft w:val="0"/>
              <w:marRight w:val="0"/>
              <w:marTop w:val="0"/>
              <w:marBottom w:val="0"/>
              <w:divBdr>
                <w:top w:val="none" w:sz="0" w:space="0" w:color="auto"/>
                <w:left w:val="none" w:sz="0" w:space="0" w:color="auto"/>
                <w:bottom w:val="none" w:sz="0" w:space="0" w:color="auto"/>
                <w:right w:val="none" w:sz="0" w:space="0" w:color="auto"/>
              </w:divBdr>
              <w:divsChild>
                <w:div w:id="2145154513">
                  <w:marLeft w:val="0"/>
                  <w:marRight w:val="0"/>
                  <w:marTop w:val="0"/>
                  <w:marBottom w:val="0"/>
                  <w:divBdr>
                    <w:top w:val="none" w:sz="0" w:space="0" w:color="auto"/>
                    <w:left w:val="none" w:sz="0" w:space="0" w:color="auto"/>
                    <w:bottom w:val="none" w:sz="0" w:space="0" w:color="auto"/>
                    <w:right w:val="none" w:sz="0" w:space="0" w:color="auto"/>
                  </w:divBdr>
                </w:div>
                <w:div w:id="66415668">
                  <w:marLeft w:val="0"/>
                  <w:marRight w:val="0"/>
                  <w:marTop w:val="0"/>
                  <w:marBottom w:val="0"/>
                  <w:divBdr>
                    <w:top w:val="none" w:sz="0" w:space="0" w:color="auto"/>
                    <w:left w:val="none" w:sz="0" w:space="0" w:color="auto"/>
                    <w:bottom w:val="none" w:sz="0" w:space="0" w:color="auto"/>
                    <w:right w:val="none" w:sz="0" w:space="0" w:color="auto"/>
                  </w:divBdr>
                </w:div>
                <w:div w:id="759831603">
                  <w:marLeft w:val="0"/>
                  <w:marRight w:val="0"/>
                  <w:marTop w:val="0"/>
                  <w:marBottom w:val="0"/>
                  <w:divBdr>
                    <w:top w:val="none" w:sz="0" w:space="0" w:color="auto"/>
                    <w:left w:val="none" w:sz="0" w:space="0" w:color="auto"/>
                    <w:bottom w:val="none" w:sz="0" w:space="0" w:color="auto"/>
                    <w:right w:val="none" w:sz="0" w:space="0" w:color="auto"/>
                  </w:divBdr>
                </w:div>
              </w:divsChild>
            </w:div>
            <w:div w:id="782842298">
              <w:marLeft w:val="0"/>
              <w:marRight w:val="0"/>
              <w:marTop w:val="0"/>
              <w:marBottom w:val="0"/>
              <w:divBdr>
                <w:top w:val="none" w:sz="0" w:space="0" w:color="auto"/>
                <w:left w:val="none" w:sz="0" w:space="0" w:color="auto"/>
                <w:bottom w:val="none" w:sz="0" w:space="0" w:color="auto"/>
                <w:right w:val="none" w:sz="0" w:space="0" w:color="auto"/>
              </w:divBdr>
              <w:divsChild>
                <w:div w:id="1822765466">
                  <w:marLeft w:val="0"/>
                  <w:marRight w:val="0"/>
                  <w:marTop w:val="0"/>
                  <w:marBottom w:val="0"/>
                  <w:divBdr>
                    <w:top w:val="none" w:sz="0" w:space="0" w:color="auto"/>
                    <w:left w:val="none" w:sz="0" w:space="0" w:color="auto"/>
                    <w:bottom w:val="none" w:sz="0" w:space="0" w:color="auto"/>
                    <w:right w:val="none" w:sz="0" w:space="0" w:color="auto"/>
                  </w:divBdr>
                </w:div>
                <w:div w:id="2132046258">
                  <w:marLeft w:val="0"/>
                  <w:marRight w:val="0"/>
                  <w:marTop w:val="0"/>
                  <w:marBottom w:val="0"/>
                  <w:divBdr>
                    <w:top w:val="none" w:sz="0" w:space="0" w:color="auto"/>
                    <w:left w:val="none" w:sz="0" w:space="0" w:color="auto"/>
                    <w:bottom w:val="none" w:sz="0" w:space="0" w:color="auto"/>
                    <w:right w:val="none" w:sz="0" w:space="0" w:color="auto"/>
                  </w:divBdr>
                </w:div>
                <w:div w:id="1708219204">
                  <w:marLeft w:val="0"/>
                  <w:marRight w:val="0"/>
                  <w:marTop w:val="0"/>
                  <w:marBottom w:val="0"/>
                  <w:divBdr>
                    <w:top w:val="none" w:sz="0" w:space="0" w:color="auto"/>
                    <w:left w:val="none" w:sz="0" w:space="0" w:color="auto"/>
                    <w:bottom w:val="none" w:sz="0" w:space="0" w:color="auto"/>
                    <w:right w:val="none" w:sz="0" w:space="0" w:color="auto"/>
                  </w:divBdr>
                </w:div>
                <w:div w:id="1489244753">
                  <w:marLeft w:val="0"/>
                  <w:marRight w:val="0"/>
                  <w:marTop w:val="0"/>
                  <w:marBottom w:val="0"/>
                  <w:divBdr>
                    <w:top w:val="none" w:sz="0" w:space="0" w:color="auto"/>
                    <w:left w:val="none" w:sz="0" w:space="0" w:color="auto"/>
                    <w:bottom w:val="none" w:sz="0" w:space="0" w:color="auto"/>
                    <w:right w:val="none" w:sz="0" w:space="0" w:color="auto"/>
                  </w:divBdr>
                </w:div>
              </w:divsChild>
            </w:div>
            <w:div w:id="771894635">
              <w:marLeft w:val="0"/>
              <w:marRight w:val="0"/>
              <w:marTop w:val="0"/>
              <w:marBottom w:val="0"/>
              <w:divBdr>
                <w:top w:val="none" w:sz="0" w:space="0" w:color="auto"/>
                <w:left w:val="none" w:sz="0" w:space="0" w:color="auto"/>
                <w:bottom w:val="none" w:sz="0" w:space="0" w:color="auto"/>
                <w:right w:val="none" w:sz="0" w:space="0" w:color="auto"/>
              </w:divBdr>
              <w:divsChild>
                <w:div w:id="884828936">
                  <w:marLeft w:val="0"/>
                  <w:marRight w:val="0"/>
                  <w:marTop w:val="0"/>
                  <w:marBottom w:val="0"/>
                  <w:divBdr>
                    <w:top w:val="none" w:sz="0" w:space="0" w:color="auto"/>
                    <w:left w:val="none" w:sz="0" w:space="0" w:color="auto"/>
                    <w:bottom w:val="none" w:sz="0" w:space="0" w:color="auto"/>
                    <w:right w:val="none" w:sz="0" w:space="0" w:color="auto"/>
                  </w:divBdr>
                </w:div>
                <w:div w:id="1104808555">
                  <w:marLeft w:val="0"/>
                  <w:marRight w:val="0"/>
                  <w:marTop w:val="0"/>
                  <w:marBottom w:val="0"/>
                  <w:divBdr>
                    <w:top w:val="none" w:sz="0" w:space="0" w:color="auto"/>
                    <w:left w:val="none" w:sz="0" w:space="0" w:color="auto"/>
                    <w:bottom w:val="none" w:sz="0" w:space="0" w:color="auto"/>
                    <w:right w:val="none" w:sz="0" w:space="0" w:color="auto"/>
                  </w:divBdr>
                </w:div>
              </w:divsChild>
            </w:div>
            <w:div w:id="2145655919">
              <w:marLeft w:val="0"/>
              <w:marRight w:val="0"/>
              <w:marTop w:val="0"/>
              <w:marBottom w:val="0"/>
              <w:divBdr>
                <w:top w:val="none" w:sz="0" w:space="0" w:color="auto"/>
                <w:left w:val="none" w:sz="0" w:space="0" w:color="auto"/>
                <w:bottom w:val="none" w:sz="0" w:space="0" w:color="auto"/>
                <w:right w:val="none" w:sz="0" w:space="0" w:color="auto"/>
              </w:divBdr>
            </w:div>
          </w:divsChild>
        </w:div>
        <w:div w:id="933512257">
          <w:marLeft w:val="0"/>
          <w:marRight w:val="0"/>
          <w:marTop w:val="0"/>
          <w:marBottom w:val="0"/>
          <w:divBdr>
            <w:top w:val="none" w:sz="0" w:space="0" w:color="auto"/>
            <w:left w:val="none" w:sz="0" w:space="0" w:color="auto"/>
            <w:bottom w:val="none" w:sz="0" w:space="0" w:color="auto"/>
            <w:right w:val="none" w:sz="0" w:space="0" w:color="auto"/>
          </w:divBdr>
          <w:divsChild>
            <w:div w:id="993949658">
              <w:marLeft w:val="0"/>
              <w:marRight w:val="0"/>
              <w:marTop w:val="0"/>
              <w:marBottom w:val="0"/>
              <w:divBdr>
                <w:top w:val="none" w:sz="0" w:space="0" w:color="auto"/>
                <w:left w:val="none" w:sz="0" w:space="0" w:color="auto"/>
                <w:bottom w:val="none" w:sz="0" w:space="0" w:color="auto"/>
                <w:right w:val="none" w:sz="0" w:space="0" w:color="auto"/>
              </w:divBdr>
            </w:div>
            <w:div w:id="95099046">
              <w:marLeft w:val="0"/>
              <w:marRight w:val="0"/>
              <w:marTop w:val="0"/>
              <w:marBottom w:val="0"/>
              <w:divBdr>
                <w:top w:val="none" w:sz="0" w:space="0" w:color="auto"/>
                <w:left w:val="none" w:sz="0" w:space="0" w:color="auto"/>
                <w:bottom w:val="none" w:sz="0" w:space="0" w:color="auto"/>
                <w:right w:val="none" w:sz="0" w:space="0" w:color="auto"/>
              </w:divBdr>
            </w:div>
            <w:div w:id="684677252">
              <w:marLeft w:val="0"/>
              <w:marRight w:val="0"/>
              <w:marTop w:val="0"/>
              <w:marBottom w:val="0"/>
              <w:divBdr>
                <w:top w:val="none" w:sz="0" w:space="0" w:color="auto"/>
                <w:left w:val="none" w:sz="0" w:space="0" w:color="auto"/>
                <w:bottom w:val="none" w:sz="0" w:space="0" w:color="auto"/>
                <w:right w:val="none" w:sz="0" w:space="0" w:color="auto"/>
              </w:divBdr>
            </w:div>
            <w:div w:id="1689989008">
              <w:marLeft w:val="0"/>
              <w:marRight w:val="0"/>
              <w:marTop w:val="0"/>
              <w:marBottom w:val="0"/>
              <w:divBdr>
                <w:top w:val="none" w:sz="0" w:space="0" w:color="auto"/>
                <w:left w:val="none" w:sz="0" w:space="0" w:color="auto"/>
                <w:bottom w:val="none" w:sz="0" w:space="0" w:color="auto"/>
                <w:right w:val="none" w:sz="0" w:space="0" w:color="auto"/>
              </w:divBdr>
            </w:div>
            <w:div w:id="871455701">
              <w:marLeft w:val="0"/>
              <w:marRight w:val="0"/>
              <w:marTop w:val="0"/>
              <w:marBottom w:val="0"/>
              <w:divBdr>
                <w:top w:val="none" w:sz="0" w:space="0" w:color="auto"/>
                <w:left w:val="none" w:sz="0" w:space="0" w:color="auto"/>
                <w:bottom w:val="none" w:sz="0" w:space="0" w:color="auto"/>
                <w:right w:val="none" w:sz="0" w:space="0" w:color="auto"/>
              </w:divBdr>
            </w:div>
            <w:div w:id="258175508">
              <w:marLeft w:val="0"/>
              <w:marRight w:val="0"/>
              <w:marTop w:val="0"/>
              <w:marBottom w:val="0"/>
              <w:divBdr>
                <w:top w:val="none" w:sz="0" w:space="0" w:color="auto"/>
                <w:left w:val="none" w:sz="0" w:space="0" w:color="auto"/>
                <w:bottom w:val="none" w:sz="0" w:space="0" w:color="auto"/>
                <w:right w:val="none" w:sz="0" w:space="0" w:color="auto"/>
              </w:divBdr>
            </w:div>
            <w:div w:id="53084273">
              <w:marLeft w:val="0"/>
              <w:marRight w:val="0"/>
              <w:marTop w:val="0"/>
              <w:marBottom w:val="0"/>
              <w:divBdr>
                <w:top w:val="none" w:sz="0" w:space="0" w:color="auto"/>
                <w:left w:val="none" w:sz="0" w:space="0" w:color="auto"/>
                <w:bottom w:val="none" w:sz="0" w:space="0" w:color="auto"/>
                <w:right w:val="none" w:sz="0" w:space="0" w:color="auto"/>
              </w:divBdr>
            </w:div>
            <w:div w:id="1844660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7126661">
      <w:bodyDiv w:val="1"/>
      <w:marLeft w:val="0"/>
      <w:marRight w:val="0"/>
      <w:marTop w:val="0"/>
      <w:marBottom w:val="0"/>
      <w:divBdr>
        <w:top w:val="none" w:sz="0" w:space="0" w:color="auto"/>
        <w:left w:val="none" w:sz="0" w:space="0" w:color="auto"/>
        <w:bottom w:val="none" w:sz="0" w:space="0" w:color="auto"/>
        <w:right w:val="none" w:sz="0" w:space="0" w:color="auto"/>
      </w:divBdr>
    </w:div>
    <w:div w:id="320693261">
      <w:bodyDiv w:val="1"/>
      <w:marLeft w:val="0"/>
      <w:marRight w:val="0"/>
      <w:marTop w:val="0"/>
      <w:marBottom w:val="0"/>
      <w:divBdr>
        <w:top w:val="none" w:sz="0" w:space="0" w:color="auto"/>
        <w:left w:val="none" w:sz="0" w:space="0" w:color="auto"/>
        <w:bottom w:val="none" w:sz="0" w:space="0" w:color="auto"/>
        <w:right w:val="none" w:sz="0" w:space="0" w:color="auto"/>
      </w:divBdr>
      <w:divsChild>
        <w:div w:id="118688119">
          <w:marLeft w:val="0"/>
          <w:marRight w:val="0"/>
          <w:marTop w:val="0"/>
          <w:marBottom w:val="0"/>
          <w:divBdr>
            <w:top w:val="none" w:sz="0" w:space="0" w:color="auto"/>
            <w:left w:val="none" w:sz="0" w:space="0" w:color="auto"/>
            <w:bottom w:val="none" w:sz="0" w:space="0" w:color="auto"/>
            <w:right w:val="none" w:sz="0" w:space="0" w:color="auto"/>
          </w:divBdr>
          <w:divsChild>
            <w:div w:id="1250387538">
              <w:marLeft w:val="0"/>
              <w:marRight w:val="0"/>
              <w:marTop w:val="0"/>
              <w:marBottom w:val="0"/>
              <w:divBdr>
                <w:top w:val="none" w:sz="0" w:space="0" w:color="auto"/>
                <w:left w:val="none" w:sz="0" w:space="0" w:color="auto"/>
                <w:bottom w:val="none" w:sz="0" w:space="0" w:color="auto"/>
                <w:right w:val="none" w:sz="0" w:space="0" w:color="auto"/>
              </w:divBdr>
              <w:divsChild>
                <w:div w:id="607464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2999687">
      <w:bodyDiv w:val="1"/>
      <w:marLeft w:val="0"/>
      <w:marRight w:val="0"/>
      <w:marTop w:val="0"/>
      <w:marBottom w:val="0"/>
      <w:divBdr>
        <w:top w:val="none" w:sz="0" w:space="0" w:color="auto"/>
        <w:left w:val="none" w:sz="0" w:space="0" w:color="auto"/>
        <w:bottom w:val="none" w:sz="0" w:space="0" w:color="auto"/>
        <w:right w:val="none" w:sz="0" w:space="0" w:color="auto"/>
      </w:divBdr>
      <w:divsChild>
        <w:div w:id="526599180">
          <w:marLeft w:val="0"/>
          <w:marRight w:val="0"/>
          <w:marTop w:val="0"/>
          <w:marBottom w:val="0"/>
          <w:divBdr>
            <w:top w:val="none" w:sz="0" w:space="0" w:color="auto"/>
            <w:left w:val="none" w:sz="0" w:space="0" w:color="auto"/>
            <w:bottom w:val="none" w:sz="0" w:space="0" w:color="auto"/>
            <w:right w:val="none" w:sz="0" w:space="0" w:color="auto"/>
          </w:divBdr>
        </w:div>
      </w:divsChild>
    </w:div>
    <w:div w:id="419064299">
      <w:bodyDiv w:val="1"/>
      <w:marLeft w:val="0"/>
      <w:marRight w:val="0"/>
      <w:marTop w:val="0"/>
      <w:marBottom w:val="0"/>
      <w:divBdr>
        <w:top w:val="none" w:sz="0" w:space="0" w:color="auto"/>
        <w:left w:val="none" w:sz="0" w:space="0" w:color="auto"/>
        <w:bottom w:val="none" w:sz="0" w:space="0" w:color="auto"/>
        <w:right w:val="none" w:sz="0" w:space="0" w:color="auto"/>
      </w:divBdr>
      <w:divsChild>
        <w:div w:id="944653300">
          <w:marLeft w:val="0"/>
          <w:marRight w:val="0"/>
          <w:marTop w:val="0"/>
          <w:marBottom w:val="0"/>
          <w:divBdr>
            <w:top w:val="none" w:sz="0" w:space="0" w:color="auto"/>
            <w:left w:val="none" w:sz="0" w:space="0" w:color="auto"/>
            <w:bottom w:val="none" w:sz="0" w:space="0" w:color="auto"/>
            <w:right w:val="none" w:sz="0" w:space="0" w:color="auto"/>
          </w:divBdr>
          <w:divsChild>
            <w:div w:id="1190680273">
              <w:marLeft w:val="0"/>
              <w:marRight w:val="0"/>
              <w:marTop w:val="0"/>
              <w:marBottom w:val="0"/>
              <w:divBdr>
                <w:top w:val="none" w:sz="0" w:space="0" w:color="auto"/>
                <w:left w:val="none" w:sz="0" w:space="0" w:color="auto"/>
                <w:bottom w:val="none" w:sz="0" w:space="0" w:color="auto"/>
                <w:right w:val="none" w:sz="0" w:space="0" w:color="auto"/>
              </w:divBdr>
            </w:div>
            <w:div w:id="2059085488">
              <w:marLeft w:val="0"/>
              <w:marRight w:val="0"/>
              <w:marTop w:val="0"/>
              <w:marBottom w:val="0"/>
              <w:divBdr>
                <w:top w:val="none" w:sz="0" w:space="0" w:color="auto"/>
                <w:left w:val="none" w:sz="0" w:space="0" w:color="auto"/>
                <w:bottom w:val="none" w:sz="0" w:space="0" w:color="auto"/>
                <w:right w:val="none" w:sz="0" w:space="0" w:color="auto"/>
              </w:divBdr>
            </w:div>
          </w:divsChild>
        </w:div>
        <w:div w:id="1493328526">
          <w:marLeft w:val="0"/>
          <w:marRight w:val="0"/>
          <w:marTop w:val="0"/>
          <w:marBottom w:val="0"/>
          <w:divBdr>
            <w:top w:val="none" w:sz="0" w:space="0" w:color="auto"/>
            <w:left w:val="none" w:sz="0" w:space="0" w:color="auto"/>
            <w:bottom w:val="none" w:sz="0" w:space="0" w:color="auto"/>
            <w:right w:val="none" w:sz="0" w:space="0" w:color="auto"/>
          </w:divBdr>
          <w:divsChild>
            <w:div w:id="488330378">
              <w:marLeft w:val="0"/>
              <w:marRight w:val="0"/>
              <w:marTop w:val="0"/>
              <w:marBottom w:val="0"/>
              <w:divBdr>
                <w:top w:val="none" w:sz="0" w:space="0" w:color="auto"/>
                <w:left w:val="none" w:sz="0" w:space="0" w:color="auto"/>
                <w:bottom w:val="none" w:sz="0" w:space="0" w:color="auto"/>
                <w:right w:val="none" w:sz="0" w:space="0" w:color="auto"/>
              </w:divBdr>
            </w:div>
            <w:div w:id="1628194274">
              <w:marLeft w:val="0"/>
              <w:marRight w:val="0"/>
              <w:marTop w:val="0"/>
              <w:marBottom w:val="0"/>
              <w:divBdr>
                <w:top w:val="none" w:sz="0" w:space="0" w:color="auto"/>
                <w:left w:val="none" w:sz="0" w:space="0" w:color="auto"/>
                <w:bottom w:val="none" w:sz="0" w:space="0" w:color="auto"/>
                <w:right w:val="none" w:sz="0" w:space="0" w:color="auto"/>
              </w:divBdr>
            </w:div>
          </w:divsChild>
        </w:div>
        <w:div w:id="1820337912">
          <w:marLeft w:val="0"/>
          <w:marRight w:val="0"/>
          <w:marTop w:val="0"/>
          <w:marBottom w:val="0"/>
          <w:divBdr>
            <w:top w:val="none" w:sz="0" w:space="0" w:color="auto"/>
            <w:left w:val="none" w:sz="0" w:space="0" w:color="auto"/>
            <w:bottom w:val="none" w:sz="0" w:space="0" w:color="auto"/>
            <w:right w:val="none" w:sz="0" w:space="0" w:color="auto"/>
          </w:divBdr>
          <w:divsChild>
            <w:div w:id="1195852394">
              <w:marLeft w:val="0"/>
              <w:marRight w:val="0"/>
              <w:marTop w:val="0"/>
              <w:marBottom w:val="0"/>
              <w:divBdr>
                <w:top w:val="none" w:sz="0" w:space="0" w:color="auto"/>
                <w:left w:val="none" w:sz="0" w:space="0" w:color="auto"/>
                <w:bottom w:val="none" w:sz="0" w:space="0" w:color="auto"/>
                <w:right w:val="none" w:sz="0" w:space="0" w:color="auto"/>
              </w:divBdr>
            </w:div>
            <w:div w:id="206491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6655806">
      <w:bodyDiv w:val="1"/>
      <w:marLeft w:val="0"/>
      <w:marRight w:val="0"/>
      <w:marTop w:val="0"/>
      <w:marBottom w:val="0"/>
      <w:divBdr>
        <w:top w:val="none" w:sz="0" w:space="0" w:color="auto"/>
        <w:left w:val="none" w:sz="0" w:space="0" w:color="auto"/>
        <w:bottom w:val="none" w:sz="0" w:space="0" w:color="auto"/>
        <w:right w:val="none" w:sz="0" w:space="0" w:color="auto"/>
      </w:divBdr>
      <w:divsChild>
        <w:div w:id="1784423077">
          <w:marLeft w:val="0"/>
          <w:marRight w:val="0"/>
          <w:marTop w:val="0"/>
          <w:marBottom w:val="0"/>
          <w:divBdr>
            <w:top w:val="none" w:sz="0" w:space="0" w:color="auto"/>
            <w:left w:val="none" w:sz="0" w:space="0" w:color="auto"/>
            <w:bottom w:val="none" w:sz="0" w:space="0" w:color="auto"/>
            <w:right w:val="none" w:sz="0" w:space="0" w:color="auto"/>
          </w:divBdr>
        </w:div>
        <w:div w:id="1417747327">
          <w:marLeft w:val="0"/>
          <w:marRight w:val="0"/>
          <w:marTop w:val="0"/>
          <w:marBottom w:val="0"/>
          <w:divBdr>
            <w:top w:val="none" w:sz="0" w:space="0" w:color="auto"/>
            <w:left w:val="none" w:sz="0" w:space="0" w:color="auto"/>
            <w:bottom w:val="none" w:sz="0" w:space="0" w:color="auto"/>
            <w:right w:val="none" w:sz="0" w:space="0" w:color="auto"/>
          </w:divBdr>
          <w:divsChild>
            <w:div w:id="533881438">
              <w:marLeft w:val="0"/>
              <w:marRight w:val="0"/>
              <w:marTop w:val="0"/>
              <w:marBottom w:val="0"/>
              <w:divBdr>
                <w:top w:val="none" w:sz="0" w:space="0" w:color="auto"/>
                <w:left w:val="none" w:sz="0" w:space="0" w:color="auto"/>
                <w:bottom w:val="none" w:sz="0" w:space="0" w:color="auto"/>
                <w:right w:val="none" w:sz="0" w:space="0" w:color="auto"/>
              </w:divBdr>
            </w:div>
            <w:div w:id="1720126498">
              <w:marLeft w:val="0"/>
              <w:marRight w:val="0"/>
              <w:marTop w:val="0"/>
              <w:marBottom w:val="0"/>
              <w:divBdr>
                <w:top w:val="none" w:sz="0" w:space="0" w:color="auto"/>
                <w:left w:val="none" w:sz="0" w:space="0" w:color="auto"/>
                <w:bottom w:val="none" w:sz="0" w:space="0" w:color="auto"/>
                <w:right w:val="none" w:sz="0" w:space="0" w:color="auto"/>
              </w:divBdr>
            </w:div>
            <w:div w:id="2002535820">
              <w:marLeft w:val="0"/>
              <w:marRight w:val="0"/>
              <w:marTop w:val="0"/>
              <w:marBottom w:val="0"/>
              <w:divBdr>
                <w:top w:val="none" w:sz="0" w:space="0" w:color="auto"/>
                <w:left w:val="none" w:sz="0" w:space="0" w:color="auto"/>
                <w:bottom w:val="none" w:sz="0" w:space="0" w:color="auto"/>
                <w:right w:val="none" w:sz="0" w:space="0" w:color="auto"/>
              </w:divBdr>
            </w:div>
            <w:div w:id="508646248">
              <w:marLeft w:val="0"/>
              <w:marRight w:val="0"/>
              <w:marTop w:val="0"/>
              <w:marBottom w:val="0"/>
              <w:divBdr>
                <w:top w:val="none" w:sz="0" w:space="0" w:color="auto"/>
                <w:left w:val="none" w:sz="0" w:space="0" w:color="auto"/>
                <w:bottom w:val="none" w:sz="0" w:space="0" w:color="auto"/>
                <w:right w:val="none" w:sz="0" w:space="0" w:color="auto"/>
              </w:divBdr>
            </w:div>
            <w:div w:id="1274820361">
              <w:marLeft w:val="0"/>
              <w:marRight w:val="0"/>
              <w:marTop w:val="0"/>
              <w:marBottom w:val="0"/>
              <w:divBdr>
                <w:top w:val="none" w:sz="0" w:space="0" w:color="auto"/>
                <w:left w:val="none" w:sz="0" w:space="0" w:color="auto"/>
                <w:bottom w:val="none" w:sz="0" w:space="0" w:color="auto"/>
                <w:right w:val="none" w:sz="0" w:space="0" w:color="auto"/>
              </w:divBdr>
            </w:div>
            <w:div w:id="1972007311">
              <w:marLeft w:val="0"/>
              <w:marRight w:val="0"/>
              <w:marTop w:val="0"/>
              <w:marBottom w:val="0"/>
              <w:divBdr>
                <w:top w:val="none" w:sz="0" w:space="0" w:color="auto"/>
                <w:left w:val="none" w:sz="0" w:space="0" w:color="auto"/>
                <w:bottom w:val="none" w:sz="0" w:space="0" w:color="auto"/>
                <w:right w:val="none" w:sz="0" w:space="0" w:color="auto"/>
              </w:divBdr>
            </w:div>
            <w:div w:id="727415214">
              <w:marLeft w:val="0"/>
              <w:marRight w:val="0"/>
              <w:marTop w:val="0"/>
              <w:marBottom w:val="0"/>
              <w:divBdr>
                <w:top w:val="none" w:sz="0" w:space="0" w:color="auto"/>
                <w:left w:val="none" w:sz="0" w:space="0" w:color="auto"/>
                <w:bottom w:val="none" w:sz="0" w:space="0" w:color="auto"/>
                <w:right w:val="none" w:sz="0" w:space="0" w:color="auto"/>
              </w:divBdr>
            </w:div>
            <w:div w:id="791941560">
              <w:marLeft w:val="0"/>
              <w:marRight w:val="0"/>
              <w:marTop w:val="0"/>
              <w:marBottom w:val="0"/>
              <w:divBdr>
                <w:top w:val="none" w:sz="0" w:space="0" w:color="auto"/>
                <w:left w:val="none" w:sz="0" w:space="0" w:color="auto"/>
                <w:bottom w:val="none" w:sz="0" w:space="0" w:color="auto"/>
                <w:right w:val="none" w:sz="0" w:space="0" w:color="auto"/>
              </w:divBdr>
            </w:div>
            <w:div w:id="1046177525">
              <w:marLeft w:val="0"/>
              <w:marRight w:val="0"/>
              <w:marTop w:val="0"/>
              <w:marBottom w:val="0"/>
              <w:divBdr>
                <w:top w:val="none" w:sz="0" w:space="0" w:color="auto"/>
                <w:left w:val="none" w:sz="0" w:space="0" w:color="auto"/>
                <w:bottom w:val="none" w:sz="0" w:space="0" w:color="auto"/>
                <w:right w:val="none" w:sz="0" w:space="0" w:color="auto"/>
              </w:divBdr>
            </w:div>
            <w:div w:id="2121024946">
              <w:marLeft w:val="0"/>
              <w:marRight w:val="0"/>
              <w:marTop w:val="0"/>
              <w:marBottom w:val="0"/>
              <w:divBdr>
                <w:top w:val="none" w:sz="0" w:space="0" w:color="auto"/>
                <w:left w:val="none" w:sz="0" w:space="0" w:color="auto"/>
                <w:bottom w:val="none" w:sz="0" w:space="0" w:color="auto"/>
                <w:right w:val="none" w:sz="0" w:space="0" w:color="auto"/>
              </w:divBdr>
            </w:div>
            <w:div w:id="1293558721">
              <w:marLeft w:val="0"/>
              <w:marRight w:val="0"/>
              <w:marTop w:val="0"/>
              <w:marBottom w:val="0"/>
              <w:divBdr>
                <w:top w:val="none" w:sz="0" w:space="0" w:color="auto"/>
                <w:left w:val="none" w:sz="0" w:space="0" w:color="auto"/>
                <w:bottom w:val="none" w:sz="0" w:space="0" w:color="auto"/>
                <w:right w:val="none" w:sz="0" w:space="0" w:color="auto"/>
              </w:divBdr>
            </w:div>
            <w:div w:id="1104499606">
              <w:marLeft w:val="0"/>
              <w:marRight w:val="0"/>
              <w:marTop w:val="0"/>
              <w:marBottom w:val="0"/>
              <w:divBdr>
                <w:top w:val="none" w:sz="0" w:space="0" w:color="auto"/>
                <w:left w:val="none" w:sz="0" w:space="0" w:color="auto"/>
                <w:bottom w:val="none" w:sz="0" w:space="0" w:color="auto"/>
                <w:right w:val="none" w:sz="0" w:space="0" w:color="auto"/>
              </w:divBdr>
            </w:div>
            <w:div w:id="1328900262">
              <w:marLeft w:val="0"/>
              <w:marRight w:val="0"/>
              <w:marTop w:val="0"/>
              <w:marBottom w:val="0"/>
              <w:divBdr>
                <w:top w:val="none" w:sz="0" w:space="0" w:color="auto"/>
                <w:left w:val="none" w:sz="0" w:space="0" w:color="auto"/>
                <w:bottom w:val="none" w:sz="0" w:space="0" w:color="auto"/>
                <w:right w:val="none" w:sz="0" w:space="0" w:color="auto"/>
              </w:divBdr>
            </w:div>
          </w:divsChild>
        </w:div>
        <w:div w:id="1891645637">
          <w:marLeft w:val="0"/>
          <w:marRight w:val="0"/>
          <w:marTop w:val="0"/>
          <w:marBottom w:val="0"/>
          <w:divBdr>
            <w:top w:val="none" w:sz="0" w:space="0" w:color="auto"/>
            <w:left w:val="none" w:sz="0" w:space="0" w:color="auto"/>
            <w:bottom w:val="none" w:sz="0" w:space="0" w:color="auto"/>
            <w:right w:val="none" w:sz="0" w:space="0" w:color="auto"/>
          </w:divBdr>
        </w:div>
        <w:div w:id="2011256369">
          <w:marLeft w:val="0"/>
          <w:marRight w:val="0"/>
          <w:marTop w:val="0"/>
          <w:marBottom w:val="0"/>
          <w:divBdr>
            <w:top w:val="none" w:sz="0" w:space="0" w:color="auto"/>
            <w:left w:val="none" w:sz="0" w:space="0" w:color="auto"/>
            <w:bottom w:val="none" w:sz="0" w:space="0" w:color="auto"/>
            <w:right w:val="none" w:sz="0" w:space="0" w:color="auto"/>
          </w:divBdr>
        </w:div>
        <w:div w:id="863640609">
          <w:marLeft w:val="0"/>
          <w:marRight w:val="0"/>
          <w:marTop w:val="0"/>
          <w:marBottom w:val="0"/>
          <w:divBdr>
            <w:top w:val="none" w:sz="0" w:space="0" w:color="auto"/>
            <w:left w:val="none" w:sz="0" w:space="0" w:color="auto"/>
            <w:bottom w:val="none" w:sz="0" w:space="0" w:color="auto"/>
            <w:right w:val="none" w:sz="0" w:space="0" w:color="auto"/>
          </w:divBdr>
        </w:div>
        <w:div w:id="638649128">
          <w:marLeft w:val="0"/>
          <w:marRight w:val="0"/>
          <w:marTop w:val="0"/>
          <w:marBottom w:val="0"/>
          <w:divBdr>
            <w:top w:val="none" w:sz="0" w:space="0" w:color="auto"/>
            <w:left w:val="none" w:sz="0" w:space="0" w:color="auto"/>
            <w:bottom w:val="none" w:sz="0" w:space="0" w:color="auto"/>
            <w:right w:val="none" w:sz="0" w:space="0" w:color="auto"/>
          </w:divBdr>
        </w:div>
        <w:div w:id="747700842">
          <w:marLeft w:val="0"/>
          <w:marRight w:val="0"/>
          <w:marTop w:val="0"/>
          <w:marBottom w:val="0"/>
          <w:divBdr>
            <w:top w:val="none" w:sz="0" w:space="0" w:color="auto"/>
            <w:left w:val="none" w:sz="0" w:space="0" w:color="auto"/>
            <w:bottom w:val="none" w:sz="0" w:space="0" w:color="auto"/>
            <w:right w:val="none" w:sz="0" w:space="0" w:color="auto"/>
          </w:divBdr>
        </w:div>
      </w:divsChild>
    </w:div>
    <w:div w:id="624314300">
      <w:bodyDiv w:val="1"/>
      <w:marLeft w:val="0"/>
      <w:marRight w:val="0"/>
      <w:marTop w:val="0"/>
      <w:marBottom w:val="0"/>
      <w:divBdr>
        <w:top w:val="none" w:sz="0" w:space="0" w:color="auto"/>
        <w:left w:val="none" w:sz="0" w:space="0" w:color="auto"/>
        <w:bottom w:val="none" w:sz="0" w:space="0" w:color="auto"/>
        <w:right w:val="none" w:sz="0" w:space="0" w:color="auto"/>
      </w:divBdr>
    </w:div>
    <w:div w:id="728654543">
      <w:bodyDiv w:val="1"/>
      <w:marLeft w:val="0"/>
      <w:marRight w:val="0"/>
      <w:marTop w:val="0"/>
      <w:marBottom w:val="0"/>
      <w:divBdr>
        <w:top w:val="none" w:sz="0" w:space="0" w:color="auto"/>
        <w:left w:val="none" w:sz="0" w:space="0" w:color="auto"/>
        <w:bottom w:val="none" w:sz="0" w:space="0" w:color="auto"/>
        <w:right w:val="none" w:sz="0" w:space="0" w:color="auto"/>
      </w:divBdr>
      <w:divsChild>
        <w:div w:id="609240448">
          <w:marLeft w:val="0"/>
          <w:marRight w:val="0"/>
          <w:marTop w:val="0"/>
          <w:marBottom w:val="0"/>
          <w:divBdr>
            <w:top w:val="none" w:sz="0" w:space="0" w:color="auto"/>
            <w:left w:val="none" w:sz="0" w:space="0" w:color="auto"/>
            <w:bottom w:val="none" w:sz="0" w:space="0" w:color="auto"/>
            <w:right w:val="none" w:sz="0" w:space="0" w:color="auto"/>
          </w:divBdr>
        </w:div>
        <w:div w:id="975381194">
          <w:marLeft w:val="0"/>
          <w:marRight w:val="0"/>
          <w:marTop w:val="0"/>
          <w:marBottom w:val="0"/>
          <w:divBdr>
            <w:top w:val="none" w:sz="0" w:space="0" w:color="auto"/>
            <w:left w:val="none" w:sz="0" w:space="0" w:color="auto"/>
            <w:bottom w:val="none" w:sz="0" w:space="0" w:color="auto"/>
            <w:right w:val="none" w:sz="0" w:space="0" w:color="auto"/>
          </w:divBdr>
        </w:div>
        <w:div w:id="1577739673">
          <w:marLeft w:val="0"/>
          <w:marRight w:val="0"/>
          <w:marTop w:val="0"/>
          <w:marBottom w:val="0"/>
          <w:divBdr>
            <w:top w:val="none" w:sz="0" w:space="0" w:color="auto"/>
            <w:left w:val="none" w:sz="0" w:space="0" w:color="auto"/>
            <w:bottom w:val="none" w:sz="0" w:space="0" w:color="auto"/>
            <w:right w:val="none" w:sz="0" w:space="0" w:color="auto"/>
          </w:divBdr>
        </w:div>
      </w:divsChild>
    </w:div>
    <w:div w:id="867836312">
      <w:bodyDiv w:val="1"/>
      <w:marLeft w:val="0"/>
      <w:marRight w:val="0"/>
      <w:marTop w:val="0"/>
      <w:marBottom w:val="0"/>
      <w:divBdr>
        <w:top w:val="none" w:sz="0" w:space="0" w:color="auto"/>
        <w:left w:val="none" w:sz="0" w:space="0" w:color="auto"/>
        <w:bottom w:val="none" w:sz="0" w:space="0" w:color="auto"/>
        <w:right w:val="none" w:sz="0" w:space="0" w:color="auto"/>
      </w:divBdr>
      <w:divsChild>
        <w:div w:id="776876475">
          <w:marLeft w:val="0"/>
          <w:marRight w:val="0"/>
          <w:marTop w:val="0"/>
          <w:marBottom w:val="0"/>
          <w:divBdr>
            <w:top w:val="none" w:sz="0" w:space="0" w:color="auto"/>
            <w:left w:val="none" w:sz="0" w:space="0" w:color="auto"/>
            <w:bottom w:val="none" w:sz="0" w:space="0" w:color="auto"/>
            <w:right w:val="none" w:sz="0" w:space="0" w:color="auto"/>
          </w:divBdr>
        </w:div>
        <w:div w:id="2055154226">
          <w:marLeft w:val="0"/>
          <w:marRight w:val="0"/>
          <w:marTop w:val="0"/>
          <w:marBottom w:val="0"/>
          <w:divBdr>
            <w:top w:val="none" w:sz="0" w:space="0" w:color="auto"/>
            <w:left w:val="none" w:sz="0" w:space="0" w:color="auto"/>
            <w:bottom w:val="none" w:sz="0" w:space="0" w:color="auto"/>
            <w:right w:val="none" w:sz="0" w:space="0" w:color="auto"/>
          </w:divBdr>
        </w:div>
        <w:div w:id="1509520962">
          <w:marLeft w:val="0"/>
          <w:marRight w:val="0"/>
          <w:marTop w:val="0"/>
          <w:marBottom w:val="0"/>
          <w:divBdr>
            <w:top w:val="none" w:sz="0" w:space="0" w:color="auto"/>
            <w:left w:val="none" w:sz="0" w:space="0" w:color="auto"/>
            <w:bottom w:val="none" w:sz="0" w:space="0" w:color="auto"/>
            <w:right w:val="none" w:sz="0" w:space="0" w:color="auto"/>
          </w:divBdr>
          <w:divsChild>
            <w:div w:id="1362976330">
              <w:marLeft w:val="0"/>
              <w:marRight w:val="0"/>
              <w:marTop w:val="0"/>
              <w:marBottom w:val="0"/>
              <w:divBdr>
                <w:top w:val="none" w:sz="0" w:space="0" w:color="auto"/>
                <w:left w:val="none" w:sz="0" w:space="0" w:color="auto"/>
                <w:bottom w:val="none" w:sz="0" w:space="0" w:color="auto"/>
                <w:right w:val="none" w:sz="0" w:space="0" w:color="auto"/>
              </w:divBdr>
            </w:div>
            <w:div w:id="1508596911">
              <w:marLeft w:val="0"/>
              <w:marRight w:val="0"/>
              <w:marTop w:val="0"/>
              <w:marBottom w:val="0"/>
              <w:divBdr>
                <w:top w:val="none" w:sz="0" w:space="0" w:color="auto"/>
                <w:left w:val="none" w:sz="0" w:space="0" w:color="auto"/>
                <w:bottom w:val="none" w:sz="0" w:space="0" w:color="auto"/>
                <w:right w:val="none" w:sz="0" w:space="0" w:color="auto"/>
              </w:divBdr>
            </w:div>
          </w:divsChild>
        </w:div>
        <w:div w:id="250164365">
          <w:marLeft w:val="0"/>
          <w:marRight w:val="0"/>
          <w:marTop w:val="0"/>
          <w:marBottom w:val="0"/>
          <w:divBdr>
            <w:top w:val="none" w:sz="0" w:space="0" w:color="auto"/>
            <w:left w:val="none" w:sz="0" w:space="0" w:color="auto"/>
            <w:bottom w:val="none" w:sz="0" w:space="0" w:color="auto"/>
            <w:right w:val="none" w:sz="0" w:space="0" w:color="auto"/>
          </w:divBdr>
          <w:divsChild>
            <w:div w:id="1696495653">
              <w:marLeft w:val="0"/>
              <w:marRight w:val="0"/>
              <w:marTop w:val="0"/>
              <w:marBottom w:val="0"/>
              <w:divBdr>
                <w:top w:val="none" w:sz="0" w:space="0" w:color="auto"/>
                <w:left w:val="none" w:sz="0" w:space="0" w:color="auto"/>
                <w:bottom w:val="none" w:sz="0" w:space="0" w:color="auto"/>
                <w:right w:val="none" w:sz="0" w:space="0" w:color="auto"/>
              </w:divBdr>
            </w:div>
            <w:div w:id="1559045905">
              <w:marLeft w:val="0"/>
              <w:marRight w:val="0"/>
              <w:marTop w:val="0"/>
              <w:marBottom w:val="0"/>
              <w:divBdr>
                <w:top w:val="none" w:sz="0" w:space="0" w:color="auto"/>
                <w:left w:val="none" w:sz="0" w:space="0" w:color="auto"/>
                <w:bottom w:val="none" w:sz="0" w:space="0" w:color="auto"/>
                <w:right w:val="none" w:sz="0" w:space="0" w:color="auto"/>
              </w:divBdr>
            </w:div>
            <w:div w:id="1380975980">
              <w:marLeft w:val="0"/>
              <w:marRight w:val="0"/>
              <w:marTop w:val="0"/>
              <w:marBottom w:val="0"/>
              <w:divBdr>
                <w:top w:val="none" w:sz="0" w:space="0" w:color="auto"/>
                <w:left w:val="none" w:sz="0" w:space="0" w:color="auto"/>
                <w:bottom w:val="none" w:sz="0" w:space="0" w:color="auto"/>
                <w:right w:val="none" w:sz="0" w:space="0" w:color="auto"/>
              </w:divBdr>
            </w:div>
          </w:divsChild>
        </w:div>
        <w:div w:id="427390192">
          <w:marLeft w:val="0"/>
          <w:marRight w:val="0"/>
          <w:marTop w:val="0"/>
          <w:marBottom w:val="0"/>
          <w:divBdr>
            <w:top w:val="none" w:sz="0" w:space="0" w:color="auto"/>
            <w:left w:val="none" w:sz="0" w:space="0" w:color="auto"/>
            <w:bottom w:val="none" w:sz="0" w:space="0" w:color="auto"/>
            <w:right w:val="none" w:sz="0" w:space="0" w:color="auto"/>
          </w:divBdr>
        </w:div>
        <w:div w:id="2015495820">
          <w:marLeft w:val="0"/>
          <w:marRight w:val="0"/>
          <w:marTop w:val="0"/>
          <w:marBottom w:val="0"/>
          <w:divBdr>
            <w:top w:val="none" w:sz="0" w:space="0" w:color="auto"/>
            <w:left w:val="none" w:sz="0" w:space="0" w:color="auto"/>
            <w:bottom w:val="none" w:sz="0" w:space="0" w:color="auto"/>
            <w:right w:val="none" w:sz="0" w:space="0" w:color="auto"/>
          </w:divBdr>
          <w:divsChild>
            <w:div w:id="989866158">
              <w:marLeft w:val="0"/>
              <w:marRight w:val="0"/>
              <w:marTop w:val="0"/>
              <w:marBottom w:val="0"/>
              <w:divBdr>
                <w:top w:val="none" w:sz="0" w:space="0" w:color="auto"/>
                <w:left w:val="none" w:sz="0" w:space="0" w:color="auto"/>
                <w:bottom w:val="none" w:sz="0" w:space="0" w:color="auto"/>
                <w:right w:val="none" w:sz="0" w:space="0" w:color="auto"/>
              </w:divBdr>
            </w:div>
            <w:div w:id="988556367">
              <w:marLeft w:val="0"/>
              <w:marRight w:val="0"/>
              <w:marTop w:val="0"/>
              <w:marBottom w:val="0"/>
              <w:divBdr>
                <w:top w:val="none" w:sz="0" w:space="0" w:color="auto"/>
                <w:left w:val="none" w:sz="0" w:space="0" w:color="auto"/>
                <w:bottom w:val="none" w:sz="0" w:space="0" w:color="auto"/>
                <w:right w:val="none" w:sz="0" w:space="0" w:color="auto"/>
              </w:divBdr>
            </w:div>
            <w:div w:id="1594900127">
              <w:marLeft w:val="0"/>
              <w:marRight w:val="0"/>
              <w:marTop w:val="0"/>
              <w:marBottom w:val="0"/>
              <w:divBdr>
                <w:top w:val="none" w:sz="0" w:space="0" w:color="auto"/>
                <w:left w:val="none" w:sz="0" w:space="0" w:color="auto"/>
                <w:bottom w:val="none" w:sz="0" w:space="0" w:color="auto"/>
                <w:right w:val="none" w:sz="0" w:space="0" w:color="auto"/>
              </w:divBdr>
            </w:div>
          </w:divsChild>
        </w:div>
        <w:div w:id="1127040885">
          <w:marLeft w:val="0"/>
          <w:marRight w:val="0"/>
          <w:marTop w:val="0"/>
          <w:marBottom w:val="0"/>
          <w:divBdr>
            <w:top w:val="none" w:sz="0" w:space="0" w:color="auto"/>
            <w:left w:val="none" w:sz="0" w:space="0" w:color="auto"/>
            <w:bottom w:val="none" w:sz="0" w:space="0" w:color="auto"/>
            <w:right w:val="none" w:sz="0" w:space="0" w:color="auto"/>
          </w:divBdr>
        </w:div>
        <w:div w:id="1734087432">
          <w:marLeft w:val="0"/>
          <w:marRight w:val="0"/>
          <w:marTop w:val="0"/>
          <w:marBottom w:val="0"/>
          <w:divBdr>
            <w:top w:val="none" w:sz="0" w:space="0" w:color="auto"/>
            <w:left w:val="none" w:sz="0" w:space="0" w:color="auto"/>
            <w:bottom w:val="none" w:sz="0" w:space="0" w:color="auto"/>
            <w:right w:val="none" w:sz="0" w:space="0" w:color="auto"/>
          </w:divBdr>
        </w:div>
        <w:div w:id="474492499">
          <w:marLeft w:val="0"/>
          <w:marRight w:val="0"/>
          <w:marTop w:val="0"/>
          <w:marBottom w:val="0"/>
          <w:divBdr>
            <w:top w:val="none" w:sz="0" w:space="0" w:color="auto"/>
            <w:left w:val="none" w:sz="0" w:space="0" w:color="auto"/>
            <w:bottom w:val="none" w:sz="0" w:space="0" w:color="auto"/>
            <w:right w:val="none" w:sz="0" w:space="0" w:color="auto"/>
          </w:divBdr>
        </w:div>
        <w:div w:id="878510562">
          <w:marLeft w:val="0"/>
          <w:marRight w:val="0"/>
          <w:marTop w:val="0"/>
          <w:marBottom w:val="0"/>
          <w:divBdr>
            <w:top w:val="none" w:sz="0" w:space="0" w:color="auto"/>
            <w:left w:val="none" w:sz="0" w:space="0" w:color="auto"/>
            <w:bottom w:val="none" w:sz="0" w:space="0" w:color="auto"/>
            <w:right w:val="none" w:sz="0" w:space="0" w:color="auto"/>
          </w:divBdr>
        </w:div>
      </w:divsChild>
    </w:div>
    <w:div w:id="909384402">
      <w:bodyDiv w:val="1"/>
      <w:marLeft w:val="0"/>
      <w:marRight w:val="0"/>
      <w:marTop w:val="0"/>
      <w:marBottom w:val="0"/>
      <w:divBdr>
        <w:top w:val="none" w:sz="0" w:space="0" w:color="auto"/>
        <w:left w:val="none" w:sz="0" w:space="0" w:color="auto"/>
        <w:bottom w:val="none" w:sz="0" w:space="0" w:color="auto"/>
        <w:right w:val="none" w:sz="0" w:space="0" w:color="auto"/>
      </w:divBdr>
    </w:div>
    <w:div w:id="994842211">
      <w:bodyDiv w:val="1"/>
      <w:marLeft w:val="0"/>
      <w:marRight w:val="0"/>
      <w:marTop w:val="0"/>
      <w:marBottom w:val="0"/>
      <w:divBdr>
        <w:top w:val="none" w:sz="0" w:space="0" w:color="auto"/>
        <w:left w:val="none" w:sz="0" w:space="0" w:color="auto"/>
        <w:bottom w:val="none" w:sz="0" w:space="0" w:color="auto"/>
        <w:right w:val="none" w:sz="0" w:space="0" w:color="auto"/>
      </w:divBdr>
    </w:div>
    <w:div w:id="1041320378">
      <w:bodyDiv w:val="1"/>
      <w:marLeft w:val="0"/>
      <w:marRight w:val="0"/>
      <w:marTop w:val="0"/>
      <w:marBottom w:val="0"/>
      <w:divBdr>
        <w:top w:val="none" w:sz="0" w:space="0" w:color="auto"/>
        <w:left w:val="none" w:sz="0" w:space="0" w:color="auto"/>
        <w:bottom w:val="none" w:sz="0" w:space="0" w:color="auto"/>
        <w:right w:val="none" w:sz="0" w:space="0" w:color="auto"/>
      </w:divBdr>
    </w:div>
    <w:div w:id="1093085146">
      <w:bodyDiv w:val="1"/>
      <w:marLeft w:val="0"/>
      <w:marRight w:val="0"/>
      <w:marTop w:val="0"/>
      <w:marBottom w:val="0"/>
      <w:divBdr>
        <w:top w:val="none" w:sz="0" w:space="0" w:color="auto"/>
        <w:left w:val="none" w:sz="0" w:space="0" w:color="auto"/>
        <w:bottom w:val="none" w:sz="0" w:space="0" w:color="auto"/>
        <w:right w:val="none" w:sz="0" w:space="0" w:color="auto"/>
      </w:divBdr>
    </w:div>
    <w:div w:id="1103300603">
      <w:bodyDiv w:val="1"/>
      <w:marLeft w:val="0"/>
      <w:marRight w:val="0"/>
      <w:marTop w:val="0"/>
      <w:marBottom w:val="0"/>
      <w:divBdr>
        <w:top w:val="none" w:sz="0" w:space="0" w:color="auto"/>
        <w:left w:val="none" w:sz="0" w:space="0" w:color="auto"/>
        <w:bottom w:val="none" w:sz="0" w:space="0" w:color="auto"/>
        <w:right w:val="none" w:sz="0" w:space="0" w:color="auto"/>
      </w:divBdr>
    </w:div>
    <w:div w:id="1117992179">
      <w:bodyDiv w:val="1"/>
      <w:marLeft w:val="0"/>
      <w:marRight w:val="0"/>
      <w:marTop w:val="0"/>
      <w:marBottom w:val="0"/>
      <w:divBdr>
        <w:top w:val="none" w:sz="0" w:space="0" w:color="auto"/>
        <w:left w:val="none" w:sz="0" w:space="0" w:color="auto"/>
        <w:bottom w:val="none" w:sz="0" w:space="0" w:color="auto"/>
        <w:right w:val="none" w:sz="0" w:space="0" w:color="auto"/>
      </w:divBdr>
    </w:div>
    <w:div w:id="1154106949">
      <w:bodyDiv w:val="1"/>
      <w:marLeft w:val="0"/>
      <w:marRight w:val="0"/>
      <w:marTop w:val="0"/>
      <w:marBottom w:val="0"/>
      <w:divBdr>
        <w:top w:val="none" w:sz="0" w:space="0" w:color="auto"/>
        <w:left w:val="none" w:sz="0" w:space="0" w:color="auto"/>
        <w:bottom w:val="none" w:sz="0" w:space="0" w:color="auto"/>
        <w:right w:val="none" w:sz="0" w:space="0" w:color="auto"/>
      </w:divBdr>
      <w:divsChild>
        <w:div w:id="188488919">
          <w:marLeft w:val="0"/>
          <w:marRight w:val="0"/>
          <w:marTop w:val="0"/>
          <w:marBottom w:val="0"/>
          <w:divBdr>
            <w:top w:val="none" w:sz="0" w:space="0" w:color="auto"/>
            <w:left w:val="none" w:sz="0" w:space="0" w:color="auto"/>
            <w:bottom w:val="none" w:sz="0" w:space="0" w:color="auto"/>
            <w:right w:val="none" w:sz="0" w:space="0" w:color="auto"/>
          </w:divBdr>
        </w:div>
        <w:div w:id="1468204836">
          <w:marLeft w:val="0"/>
          <w:marRight w:val="0"/>
          <w:marTop w:val="0"/>
          <w:marBottom w:val="0"/>
          <w:divBdr>
            <w:top w:val="none" w:sz="0" w:space="0" w:color="auto"/>
            <w:left w:val="none" w:sz="0" w:space="0" w:color="auto"/>
            <w:bottom w:val="none" w:sz="0" w:space="0" w:color="auto"/>
            <w:right w:val="none" w:sz="0" w:space="0" w:color="auto"/>
          </w:divBdr>
        </w:div>
        <w:div w:id="1706324026">
          <w:marLeft w:val="0"/>
          <w:marRight w:val="0"/>
          <w:marTop w:val="0"/>
          <w:marBottom w:val="0"/>
          <w:divBdr>
            <w:top w:val="none" w:sz="0" w:space="0" w:color="auto"/>
            <w:left w:val="none" w:sz="0" w:space="0" w:color="auto"/>
            <w:bottom w:val="none" w:sz="0" w:space="0" w:color="auto"/>
            <w:right w:val="none" w:sz="0" w:space="0" w:color="auto"/>
          </w:divBdr>
        </w:div>
        <w:div w:id="1834947998">
          <w:marLeft w:val="0"/>
          <w:marRight w:val="0"/>
          <w:marTop w:val="0"/>
          <w:marBottom w:val="0"/>
          <w:divBdr>
            <w:top w:val="none" w:sz="0" w:space="0" w:color="auto"/>
            <w:left w:val="none" w:sz="0" w:space="0" w:color="auto"/>
            <w:bottom w:val="none" w:sz="0" w:space="0" w:color="auto"/>
            <w:right w:val="none" w:sz="0" w:space="0" w:color="auto"/>
          </w:divBdr>
        </w:div>
        <w:div w:id="2029213934">
          <w:marLeft w:val="0"/>
          <w:marRight w:val="0"/>
          <w:marTop w:val="0"/>
          <w:marBottom w:val="0"/>
          <w:divBdr>
            <w:top w:val="none" w:sz="0" w:space="0" w:color="auto"/>
            <w:left w:val="none" w:sz="0" w:space="0" w:color="auto"/>
            <w:bottom w:val="none" w:sz="0" w:space="0" w:color="auto"/>
            <w:right w:val="none" w:sz="0" w:space="0" w:color="auto"/>
          </w:divBdr>
        </w:div>
      </w:divsChild>
    </w:div>
    <w:div w:id="1288127397">
      <w:bodyDiv w:val="1"/>
      <w:marLeft w:val="0"/>
      <w:marRight w:val="0"/>
      <w:marTop w:val="0"/>
      <w:marBottom w:val="0"/>
      <w:divBdr>
        <w:top w:val="none" w:sz="0" w:space="0" w:color="auto"/>
        <w:left w:val="none" w:sz="0" w:space="0" w:color="auto"/>
        <w:bottom w:val="none" w:sz="0" w:space="0" w:color="auto"/>
        <w:right w:val="none" w:sz="0" w:space="0" w:color="auto"/>
      </w:divBdr>
      <w:divsChild>
        <w:div w:id="1274166024">
          <w:marLeft w:val="0"/>
          <w:marRight w:val="0"/>
          <w:marTop w:val="0"/>
          <w:marBottom w:val="0"/>
          <w:divBdr>
            <w:top w:val="none" w:sz="0" w:space="0" w:color="auto"/>
            <w:left w:val="none" w:sz="0" w:space="0" w:color="auto"/>
            <w:bottom w:val="none" w:sz="0" w:space="0" w:color="auto"/>
            <w:right w:val="none" w:sz="0" w:space="0" w:color="auto"/>
          </w:divBdr>
        </w:div>
      </w:divsChild>
    </w:div>
    <w:div w:id="1328678067">
      <w:bodyDiv w:val="1"/>
      <w:marLeft w:val="0"/>
      <w:marRight w:val="0"/>
      <w:marTop w:val="0"/>
      <w:marBottom w:val="0"/>
      <w:divBdr>
        <w:top w:val="none" w:sz="0" w:space="0" w:color="auto"/>
        <w:left w:val="none" w:sz="0" w:space="0" w:color="auto"/>
        <w:bottom w:val="none" w:sz="0" w:space="0" w:color="auto"/>
        <w:right w:val="none" w:sz="0" w:space="0" w:color="auto"/>
      </w:divBdr>
    </w:div>
    <w:div w:id="1436515886">
      <w:bodyDiv w:val="1"/>
      <w:marLeft w:val="0"/>
      <w:marRight w:val="0"/>
      <w:marTop w:val="0"/>
      <w:marBottom w:val="0"/>
      <w:divBdr>
        <w:top w:val="none" w:sz="0" w:space="0" w:color="auto"/>
        <w:left w:val="none" w:sz="0" w:space="0" w:color="auto"/>
        <w:bottom w:val="none" w:sz="0" w:space="0" w:color="auto"/>
        <w:right w:val="none" w:sz="0" w:space="0" w:color="auto"/>
      </w:divBdr>
      <w:divsChild>
        <w:div w:id="1393701600">
          <w:marLeft w:val="0"/>
          <w:marRight w:val="0"/>
          <w:marTop w:val="0"/>
          <w:marBottom w:val="0"/>
          <w:divBdr>
            <w:top w:val="none" w:sz="0" w:space="0" w:color="auto"/>
            <w:left w:val="none" w:sz="0" w:space="0" w:color="auto"/>
            <w:bottom w:val="none" w:sz="0" w:space="0" w:color="auto"/>
            <w:right w:val="none" w:sz="0" w:space="0" w:color="auto"/>
          </w:divBdr>
          <w:divsChild>
            <w:div w:id="1551457972">
              <w:marLeft w:val="0"/>
              <w:marRight w:val="0"/>
              <w:marTop w:val="0"/>
              <w:marBottom w:val="0"/>
              <w:divBdr>
                <w:top w:val="none" w:sz="0" w:space="0" w:color="auto"/>
                <w:left w:val="none" w:sz="0" w:space="0" w:color="auto"/>
                <w:bottom w:val="none" w:sz="0" w:space="0" w:color="auto"/>
                <w:right w:val="none" w:sz="0" w:space="0" w:color="auto"/>
              </w:divBdr>
            </w:div>
            <w:div w:id="1190754034">
              <w:marLeft w:val="0"/>
              <w:marRight w:val="0"/>
              <w:marTop w:val="0"/>
              <w:marBottom w:val="0"/>
              <w:divBdr>
                <w:top w:val="none" w:sz="0" w:space="0" w:color="auto"/>
                <w:left w:val="none" w:sz="0" w:space="0" w:color="auto"/>
                <w:bottom w:val="none" w:sz="0" w:space="0" w:color="auto"/>
                <w:right w:val="none" w:sz="0" w:space="0" w:color="auto"/>
              </w:divBdr>
            </w:div>
            <w:div w:id="1132482374">
              <w:marLeft w:val="0"/>
              <w:marRight w:val="0"/>
              <w:marTop w:val="0"/>
              <w:marBottom w:val="0"/>
              <w:divBdr>
                <w:top w:val="none" w:sz="0" w:space="0" w:color="auto"/>
                <w:left w:val="none" w:sz="0" w:space="0" w:color="auto"/>
                <w:bottom w:val="none" w:sz="0" w:space="0" w:color="auto"/>
                <w:right w:val="none" w:sz="0" w:space="0" w:color="auto"/>
              </w:divBdr>
            </w:div>
            <w:div w:id="1617759166">
              <w:marLeft w:val="0"/>
              <w:marRight w:val="0"/>
              <w:marTop w:val="0"/>
              <w:marBottom w:val="0"/>
              <w:divBdr>
                <w:top w:val="none" w:sz="0" w:space="0" w:color="auto"/>
                <w:left w:val="none" w:sz="0" w:space="0" w:color="auto"/>
                <w:bottom w:val="none" w:sz="0" w:space="0" w:color="auto"/>
                <w:right w:val="none" w:sz="0" w:space="0" w:color="auto"/>
              </w:divBdr>
            </w:div>
            <w:div w:id="2012023096">
              <w:marLeft w:val="0"/>
              <w:marRight w:val="0"/>
              <w:marTop w:val="0"/>
              <w:marBottom w:val="0"/>
              <w:divBdr>
                <w:top w:val="none" w:sz="0" w:space="0" w:color="auto"/>
                <w:left w:val="none" w:sz="0" w:space="0" w:color="auto"/>
                <w:bottom w:val="none" w:sz="0" w:space="0" w:color="auto"/>
                <w:right w:val="none" w:sz="0" w:space="0" w:color="auto"/>
              </w:divBdr>
            </w:div>
            <w:div w:id="1171605884">
              <w:marLeft w:val="0"/>
              <w:marRight w:val="0"/>
              <w:marTop w:val="0"/>
              <w:marBottom w:val="0"/>
              <w:divBdr>
                <w:top w:val="none" w:sz="0" w:space="0" w:color="auto"/>
                <w:left w:val="none" w:sz="0" w:space="0" w:color="auto"/>
                <w:bottom w:val="none" w:sz="0" w:space="0" w:color="auto"/>
                <w:right w:val="none" w:sz="0" w:space="0" w:color="auto"/>
              </w:divBdr>
            </w:div>
            <w:div w:id="694304128">
              <w:marLeft w:val="0"/>
              <w:marRight w:val="0"/>
              <w:marTop w:val="0"/>
              <w:marBottom w:val="0"/>
              <w:divBdr>
                <w:top w:val="none" w:sz="0" w:space="0" w:color="auto"/>
                <w:left w:val="none" w:sz="0" w:space="0" w:color="auto"/>
                <w:bottom w:val="none" w:sz="0" w:space="0" w:color="auto"/>
                <w:right w:val="none" w:sz="0" w:space="0" w:color="auto"/>
              </w:divBdr>
            </w:div>
            <w:div w:id="1599875226">
              <w:marLeft w:val="0"/>
              <w:marRight w:val="0"/>
              <w:marTop w:val="0"/>
              <w:marBottom w:val="0"/>
              <w:divBdr>
                <w:top w:val="none" w:sz="0" w:space="0" w:color="auto"/>
                <w:left w:val="none" w:sz="0" w:space="0" w:color="auto"/>
                <w:bottom w:val="none" w:sz="0" w:space="0" w:color="auto"/>
                <w:right w:val="none" w:sz="0" w:space="0" w:color="auto"/>
              </w:divBdr>
            </w:div>
            <w:div w:id="599410703">
              <w:marLeft w:val="0"/>
              <w:marRight w:val="0"/>
              <w:marTop w:val="0"/>
              <w:marBottom w:val="0"/>
              <w:divBdr>
                <w:top w:val="none" w:sz="0" w:space="0" w:color="auto"/>
                <w:left w:val="none" w:sz="0" w:space="0" w:color="auto"/>
                <w:bottom w:val="none" w:sz="0" w:space="0" w:color="auto"/>
                <w:right w:val="none" w:sz="0" w:space="0" w:color="auto"/>
              </w:divBdr>
            </w:div>
            <w:div w:id="1988779321">
              <w:marLeft w:val="0"/>
              <w:marRight w:val="0"/>
              <w:marTop w:val="0"/>
              <w:marBottom w:val="0"/>
              <w:divBdr>
                <w:top w:val="none" w:sz="0" w:space="0" w:color="auto"/>
                <w:left w:val="none" w:sz="0" w:space="0" w:color="auto"/>
                <w:bottom w:val="none" w:sz="0" w:space="0" w:color="auto"/>
                <w:right w:val="none" w:sz="0" w:space="0" w:color="auto"/>
              </w:divBdr>
            </w:div>
            <w:div w:id="147862593">
              <w:marLeft w:val="0"/>
              <w:marRight w:val="0"/>
              <w:marTop w:val="0"/>
              <w:marBottom w:val="0"/>
              <w:divBdr>
                <w:top w:val="none" w:sz="0" w:space="0" w:color="auto"/>
                <w:left w:val="none" w:sz="0" w:space="0" w:color="auto"/>
                <w:bottom w:val="none" w:sz="0" w:space="0" w:color="auto"/>
                <w:right w:val="none" w:sz="0" w:space="0" w:color="auto"/>
              </w:divBdr>
            </w:div>
            <w:div w:id="998654783">
              <w:marLeft w:val="0"/>
              <w:marRight w:val="0"/>
              <w:marTop w:val="0"/>
              <w:marBottom w:val="0"/>
              <w:divBdr>
                <w:top w:val="none" w:sz="0" w:space="0" w:color="auto"/>
                <w:left w:val="none" w:sz="0" w:space="0" w:color="auto"/>
                <w:bottom w:val="none" w:sz="0" w:space="0" w:color="auto"/>
                <w:right w:val="none" w:sz="0" w:space="0" w:color="auto"/>
              </w:divBdr>
            </w:div>
            <w:div w:id="1473669547">
              <w:marLeft w:val="0"/>
              <w:marRight w:val="0"/>
              <w:marTop w:val="0"/>
              <w:marBottom w:val="0"/>
              <w:divBdr>
                <w:top w:val="none" w:sz="0" w:space="0" w:color="auto"/>
                <w:left w:val="none" w:sz="0" w:space="0" w:color="auto"/>
                <w:bottom w:val="none" w:sz="0" w:space="0" w:color="auto"/>
                <w:right w:val="none" w:sz="0" w:space="0" w:color="auto"/>
              </w:divBdr>
            </w:div>
            <w:div w:id="1528177047">
              <w:marLeft w:val="0"/>
              <w:marRight w:val="0"/>
              <w:marTop w:val="0"/>
              <w:marBottom w:val="0"/>
              <w:divBdr>
                <w:top w:val="none" w:sz="0" w:space="0" w:color="auto"/>
                <w:left w:val="none" w:sz="0" w:space="0" w:color="auto"/>
                <w:bottom w:val="none" w:sz="0" w:space="0" w:color="auto"/>
                <w:right w:val="none" w:sz="0" w:space="0" w:color="auto"/>
              </w:divBdr>
            </w:div>
            <w:div w:id="1050956959">
              <w:marLeft w:val="0"/>
              <w:marRight w:val="0"/>
              <w:marTop w:val="0"/>
              <w:marBottom w:val="0"/>
              <w:divBdr>
                <w:top w:val="none" w:sz="0" w:space="0" w:color="auto"/>
                <w:left w:val="none" w:sz="0" w:space="0" w:color="auto"/>
                <w:bottom w:val="none" w:sz="0" w:space="0" w:color="auto"/>
                <w:right w:val="none" w:sz="0" w:space="0" w:color="auto"/>
              </w:divBdr>
            </w:div>
            <w:div w:id="44109184">
              <w:marLeft w:val="0"/>
              <w:marRight w:val="0"/>
              <w:marTop w:val="0"/>
              <w:marBottom w:val="0"/>
              <w:divBdr>
                <w:top w:val="none" w:sz="0" w:space="0" w:color="auto"/>
                <w:left w:val="none" w:sz="0" w:space="0" w:color="auto"/>
                <w:bottom w:val="none" w:sz="0" w:space="0" w:color="auto"/>
                <w:right w:val="none" w:sz="0" w:space="0" w:color="auto"/>
              </w:divBdr>
            </w:div>
            <w:div w:id="2016373790">
              <w:marLeft w:val="0"/>
              <w:marRight w:val="0"/>
              <w:marTop w:val="0"/>
              <w:marBottom w:val="0"/>
              <w:divBdr>
                <w:top w:val="none" w:sz="0" w:space="0" w:color="auto"/>
                <w:left w:val="none" w:sz="0" w:space="0" w:color="auto"/>
                <w:bottom w:val="none" w:sz="0" w:space="0" w:color="auto"/>
                <w:right w:val="none" w:sz="0" w:space="0" w:color="auto"/>
              </w:divBdr>
            </w:div>
          </w:divsChild>
        </w:div>
        <w:div w:id="1526824184">
          <w:marLeft w:val="0"/>
          <w:marRight w:val="0"/>
          <w:marTop w:val="0"/>
          <w:marBottom w:val="0"/>
          <w:divBdr>
            <w:top w:val="none" w:sz="0" w:space="0" w:color="auto"/>
            <w:left w:val="none" w:sz="0" w:space="0" w:color="auto"/>
            <w:bottom w:val="none" w:sz="0" w:space="0" w:color="auto"/>
            <w:right w:val="none" w:sz="0" w:space="0" w:color="auto"/>
          </w:divBdr>
        </w:div>
      </w:divsChild>
    </w:div>
    <w:div w:id="1458721189">
      <w:bodyDiv w:val="1"/>
      <w:marLeft w:val="0"/>
      <w:marRight w:val="0"/>
      <w:marTop w:val="0"/>
      <w:marBottom w:val="0"/>
      <w:divBdr>
        <w:top w:val="none" w:sz="0" w:space="0" w:color="auto"/>
        <w:left w:val="none" w:sz="0" w:space="0" w:color="auto"/>
        <w:bottom w:val="none" w:sz="0" w:space="0" w:color="auto"/>
        <w:right w:val="none" w:sz="0" w:space="0" w:color="auto"/>
      </w:divBdr>
    </w:div>
    <w:div w:id="1588613294">
      <w:bodyDiv w:val="1"/>
      <w:marLeft w:val="0"/>
      <w:marRight w:val="0"/>
      <w:marTop w:val="0"/>
      <w:marBottom w:val="0"/>
      <w:divBdr>
        <w:top w:val="none" w:sz="0" w:space="0" w:color="auto"/>
        <w:left w:val="none" w:sz="0" w:space="0" w:color="auto"/>
        <w:bottom w:val="none" w:sz="0" w:space="0" w:color="auto"/>
        <w:right w:val="none" w:sz="0" w:space="0" w:color="auto"/>
      </w:divBdr>
      <w:divsChild>
        <w:div w:id="1984119106">
          <w:marLeft w:val="0"/>
          <w:marRight w:val="0"/>
          <w:marTop w:val="0"/>
          <w:marBottom w:val="0"/>
          <w:divBdr>
            <w:top w:val="none" w:sz="0" w:space="0" w:color="auto"/>
            <w:left w:val="none" w:sz="0" w:space="0" w:color="auto"/>
            <w:bottom w:val="none" w:sz="0" w:space="0" w:color="auto"/>
            <w:right w:val="none" w:sz="0" w:space="0" w:color="auto"/>
          </w:divBdr>
        </w:div>
        <w:div w:id="230048554">
          <w:marLeft w:val="0"/>
          <w:marRight w:val="0"/>
          <w:marTop w:val="0"/>
          <w:marBottom w:val="0"/>
          <w:divBdr>
            <w:top w:val="none" w:sz="0" w:space="0" w:color="auto"/>
            <w:left w:val="none" w:sz="0" w:space="0" w:color="auto"/>
            <w:bottom w:val="none" w:sz="0" w:space="0" w:color="auto"/>
            <w:right w:val="none" w:sz="0" w:space="0" w:color="auto"/>
          </w:divBdr>
        </w:div>
        <w:div w:id="959604603">
          <w:marLeft w:val="0"/>
          <w:marRight w:val="0"/>
          <w:marTop w:val="0"/>
          <w:marBottom w:val="0"/>
          <w:divBdr>
            <w:top w:val="none" w:sz="0" w:space="0" w:color="auto"/>
            <w:left w:val="none" w:sz="0" w:space="0" w:color="auto"/>
            <w:bottom w:val="none" w:sz="0" w:space="0" w:color="auto"/>
            <w:right w:val="none" w:sz="0" w:space="0" w:color="auto"/>
          </w:divBdr>
          <w:divsChild>
            <w:div w:id="733354843">
              <w:marLeft w:val="0"/>
              <w:marRight w:val="0"/>
              <w:marTop w:val="0"/>
              <w:marBottom w:val="0"/>
              <w:divBdr>
                <w:top w:val="none" w:sz="0" w:space="0" w:color="auto"/>
                <w:left w:val="none" w:sz="0" w:space="0" w:color="auto"/>
                <w:bottom w:val="none" w:sz="0" w:space="0" w:color="auto"/>
                <w:right w:val="none" w:sz="0" w:space="0" w:color="auto"/>
              </w:divBdr>
            </w:div>
            <w:div w:id="58137151">
              <w:marLeft w:val="0"/>
              <w:marRight w:val="0"/>
              <w:marTop w:val="0"/>
              <w:marBottom w:val="0"/>
              <w:divBdr>
                <w:top w:val="none" w:sz="0" w:space="0" w:color="auto"/>
                <w:left w:val="none" w:sz="0" w:space="0" w:color="auto"/>
                <w:bottom w:val="none" w:sz="0" w:space="0" w:color="auto"/>
                <w:right w:val="none" w:sz="0" w:space="0" w:color="auto"/>
              </w:divBdr>
            </w:div>
            <w:div w:id="1946842956">
              <w:marLeft w:val="0"/>
              <w:marRight w:val="0"/>
              <w:marTop w:val="0"/>
              <w:marBottom w:val="0"/>
              <w:divBdr>
                <w:top w:val="none" w:sz="0" w:space="0" w:color="auto"/>
                <w:left w:val="none" w:sz="0" w:space="0" w:color="auto"/>
                <w:bottom w:val="none" w:sz="0" w:space="0" w:color="auto"/>
                <w:right w:val="none" w:sz="0" w:space="0" w:color="auto"/>
              </w:divBdr>
            </w:div>
          </w:divsChild>
        </w:div>
        <w:div w:id="1874689556">
          <w:marLeft w:val="0"/>
          <w:marRight w:val="0"/>
          <w:marTop w:val="0"/>
          <w:marBottom w:val="0"/>
          <w:divBdr>
            <w:top w:val="none" w:sz="0" w:space="0" w:color="auto"/>
            <w:left w:val="none" w:sz="0" w:space="0" w:color="auto"/>
            <w:bottom w:val="none" w:sz="0" w:space="0" w:color="auto"/>
            <w:right w:val="none" w:sz="0" w:space="0" w:color="auto"/>
          </w:divBdr>
        </w:div>
        <w:div w:id="1953632443">
          <w:marLeft w:val="0"/>
          <w:marRight w:val="0"/>
          <w:marTop w:val="0"/>
          <w:marBottom w:val="0"/>
          <w:divBdr>
            <w:top w:val="none" w:sz="0" w:space="0" w:color="auto"/>
            <w:left w:val="none" w:sz="0" w:space="0" w:color="auto"/>
            <w:bottom w:val="none" w:sz="0" w:space="0" w:color="auto"/>
            <w:right w:val="none" w:sz="0" w:space="0" w:color="auto"/>
          </w:divBdr>
        </w:div>
        <w:div w:id="1636788371">
          <w:marLeft w:val="0"/>
          <w:marRight w:val="0"/>
          <w:marTop w:val="0"/>
          <w:marBottom w:val="0"/>
          <w:divBdr>
            <w:top w:val="none" w:sz="0" w:space="0" w:color="auto"/>
            <w:left w:val="none" w:sz="0" w:space="0" w:color="auto"/>
            <w:bottom w:val="none" w:sz="0" w:space="0" w:color="auto"/>
            <w:right w:val="none" w:sz="0" w:space="0" w:color="auto"/>
          </w:divBdr>
        </w:div>
        <w:div w:id="1194348005">
          <w:marLeft w:val="0"/>
          <w:marRight w:val="0"/>
          <w:marTop w:val="0"/>
          <w:marBottom w:val="0"/>
          <w:divBdr>
            <w:top w:val="none" w:sz="0" w:space="0" w:color="auto"/>
            <w:left w:val="none" w:sz="0" w:space="0" w:color="auto"/>
            <w:bottom w:val="none" w:sz="0" w:space="0" w:color="auto"/>
            <w:right w:val="none" w:sz="0" w:space="0" w:color="auto"/>
          </w:divBdr>
          <w:divsChild>
            <w:div w:id="129371697">
              <w:marLeft w:val="0"/>
              <w:marRight w:val="0"/>
              <w:marTop w:val="0"/>
              <w:marBottom w:val="0"/>
              <w:divBdr>
                <w:top w:val="none" w:sz="0" w:space="0" w:color="auto"/>
                <w:left w:val="none" w:sz="0" w:space="0" w:color="auto"/>
                <w:bottom w:val="none" w:sz="0" w:space="0" w:color="auto"/>
                <w:right w:val="none" w:sz="0" w:space="0" w:color="auto"/>
              </w:divBdr>
            </w:div>
            <w:div w:id="69470332">
              <w:marLeft w:val="0"/>
              <w:marRight w:val="0"/>
              <w:marTop w:val="0"/>
              <w:marBottom w:val="0"/>
              <w:divBdr>
                <w:top w:val="none" w:sz="0" w:space="0" w:color="auto"/>
                <w:left w:val="none" w:sz="0" w:space="0" w:color="auto"/>
                <w:bottom w:val="none" w:sz="0" w:space="0" w:color="auto"/>
                <w:right w:val="none" w:sz="0" w:space="0" w:color="auto"/>
              </w:divBdr>
            </w:div>
            <w:div w:id="80875204">
              <w:marLeft w:val="0"/>
              <w:marRight w:val="0"/>
              <w:marTop w:val="0"/>
              <w:marBottom w:val="0"/>
              <w:divBdr>
                <w:top w:val="none" w:sz="0" w:space="0" w:color="auto"/>
                <w:left w:val="none" w:sz="0" w:space="0" w:color="auto"/>
                <w:bottom w:val="none" w:sz="0" w:space="0" w:color="auto"/>
                <w:right w:val="none" w:sz="0" w:space="0" w:color="auto"/>
              </w:divBdr>
            </w:div>
            <w:div w:id="314921284">
              <w:marLeft w:val="0"/>
              <w:marRight w:val="0"/>
              <w:marTop w:val="0"/>
              <w:marBottom w:val="0"/>
              <w:divBdr>
                <w:top w:val="none" w:sz="0" w:space="0" w:color="auto"/>
                <w:left w:val="none" w:sz="0" w:space="0" w:color="auto"/>
                <w:bottom w:val="none" w:sz="0" w:space="0" w:color="auto"/>
                <w:right w:val="none" w:sz="0" w:space="0" w:color="auto"/>
              </w:divBdr>
            </w:div>
            <w:div w:id="1005593018">
              <w:marLeft w:val="0"/>
              <w:marRight w:val="0"/>
              <w:marTop w:val="0"/>
              <w:marBottom w:val="0"/>
              <w:divBdr>
                <w:top w:val="none" w:sz="0" w:space="0" w:color="auto"/>
                <w:left w:val="none" w:sz="0" w:space="0" w:color="auto"/>
                <w:bottom w:val="none" w:sz="0" w:space="0" w:color="auto"/>
                <w:right w:val="none" w:sz="0" w:space="0" w:color="auto"/>
              </w:divBdr>
            </w:div>
            <w:div w:id="1984313219">
              <w:marLeft w:val="0"/>
              <w:marRight w:val="0"/>
              <w:marTop w:val="0"/>
              <w:marBottom w:val="0"/>
              <w:divBdr>
                <w:top w:val="none" w:sz="0" w:space="0" w:color="auto"/>
                <w:left w:val="none" w:sz="0" w:space="0" w:color="auto"/>
                <w:bottom w:val="none" w:sz="0" w:space="0" w:color="auto"/>
                <w:right w:val="none" w:sz="0" w:space="0" w:color="auto"/>
              </w:divBdr>
            </w:div>
          </w:divsChild>
        </w:div>
        <w:div w:id="1507863322">
          <w:marLeft w:val="0"/>
          <w:marRight w:val="0"/>
          <w:marTop w:val="0"/>
          <w:marBottom w:val="0"/>
          <w:divBdr>
            <w:top w:val="none" w:sz="0" w:space="0" w:color="auto"/>
            <w:left w:val="none" w:sz="0" w:space="0" w:color="auto"/>
            <w:bottom w:val="none" w:sz="0" w:space="0" w:color="auto"/>
            <w:right w:val="none" w:sz="0" w:space="0" w:color="auto"/>
          </w:divBdr>
        </w:div>
        <w:div w:id="614755660">
          <w:marLeft w:val="0"/>
          <w:marRight w:val="0"/>
          <w:marTop w:val="0"/>
          <w:marBottom w:val="0"/>
          <w:divBdr>
            <w:top w:val="none" w:sz="0" w:space="0" w:color="auto"/>
            <w:left w:val="none" w:sz="0" w:space="0" w:color="auto"/>
            <w:bottom w:val="none" w:sz="0" w:space="0" w:color="auto"/>
            <w:right w:val="none" w:sz="0" w:space="0" w:color="auto"/>
          </w:divBdr>
        </w:div>
        <w:div w:id="433864367">
          <w:marLeft w:val="0"/>
          <w:marRight w:val="0"/>
          <w:marTop w:val="0"/>
          <w:marBottom w:val="0"/>
          <w:divBdr>
            <w:top w:val="none" w:sz="0" w:space="0" w:color="auto"/>
            <w:left w:val="none" w:sz="0" w:space="0" w:color="auto"/>
            <w:bottom w:val="none" w:sz="0" w:space="0" w:color="auto"/>
            <w:right w:val="none" w:sz="0" w:space="0" w:color="auto"/>
          </w:divBdr>
        </w:div>
      </w:divsChild>
    </w:div>
    <w:div w:id="1691301835">
      <w:bodyDiv w:val="1"/>
      <w:marLeft w:val="0"/>
      <w:marRight w:val="0"/>
      <w:marTop w:val="0"/>
      <w:marBottom w:val="0"/>
      <w:divBdr>
        <w:top w:val="none" w:sz="0" w:space="0" w:color="auto"/>
        <w:left w:val="none" w:sz="0" w:space="0" w:color="auto"/>
        <w:bottom w:val="none" w:sz="0" w:space="0" w:color="auto"/>
        <w:right w:val="none" w:sz="0" w:space="0" w:color="auto"/>
      </w:divBdr>
    </w:div>
    <w:div w:id="1737897171">
      <w:bodyDiv w:val="1"/>
      <w:marLeft w:val="0"/>
      <w:marRight w:val="0"/>
      <w:marTop w:val="0"/>
      <w:marBottom w:val="0"/>
      <w:divBdr>
        <w:top w:val="none" w:sz="0" w:space="0" w:color="auto"/>
        <w:left w:val="none" w:sz="0" w:space="0" w:color="auto"/>
        <w:bottom w:val="none" w:sz="0" w:space="0" w:color="auto"/>
        <w:right w:val="none" w:sz="0" w:space="0" w:color="auto"/>
      </w:divBdr>
    </w:div>
    <w:div w:id="1790470168">
      <w:bodyDiv w:val="1"/>
      <w:marLeft w:val="0"/>
      <w:marRight w:val="0"/>
      <w:marTop w:val="0"/>
      <w:marBottom w:val="0"/>
      <w:divBdr>
        <w:top w:val="none" w:sz="0" w:space="0" w:color="auto"/>
        <w:left w:val="none" w:sz="0" w:space="0" w:color="auto"/>
        <w:bottom w:val="none" w:sz="0" w:space="0" w:color="auto"/>
        <w:right w:val="none" w:sz="0" w:space="0" w:color="auto"/>
      </w:divBdr>
      <w:divsChild>
        <w:div w:id="1568107422">
          <w:marLeft w:val="0"/>
          <w:marRight w:val="0"/>
          <w:marTop w:val="0"/>
          <w:marBottom w:val="0"/>
          <w:divBdr>
            <w:top w:val="none" w:sz="0" w:space="0" w:color="auto"/>
            <w:left w:val="none" w:sz="0" w:space="0" w:color="auto"/>
            <w:bottom w:val="none" w:sz="0" w:space="0" w:color="auto"/>
            <w:right w:val="none" w:sz="0" w:space="0" w:color="auto"/>
          </w:divBdr>
        </w:div>
        <w:div w:id="790591592">
          <w:marLeft w:val="0"/>
          <w:marRight w:val="0"/>
          <w:marTop w:val="0"/>
          <w:marBottom w:val="0"/>
          <w:divBdr>
            <w:top w:val="none" w:sz="0" w:space="0" w:color="auto"/>
            <w:left w:val="none" w:sz="0" w:space="0" w:color="auto"/>
            <w:bottom w:val="none" w:sz="0" w:space="0" w:color="auto"/>
            <w:right w:val="none" w:sz="0" w:space="0" w:color="auto"/>
          </w:divBdr>
        </w:div>
        <w:div w:id="1279484974">
          <w:marLeft w:val="0"/>
          <w:marRight w:val="0"/>
          <w:marTop w:val="0"/>
          <w:marBottom w:val="0"/>
          <w:divBdr>
            <w:top w:val="none" w:sz="0" w:space="0" w:color="auto"/>
            <w:left w:val="none" w:sz="0" w:space="0" w:color="auto"/>
            <w:bottom w:val="none" w:sz="0" w:space="0" w:color="auto"/>
            <w:right w:val="none" w:sz="0" w:space="0" w:color="auto"/>
          </w:divBdr>
        </w:div>
        <w:div w:id="1549337493">
          <w:marLeft w:val="0"/>
          <w:marRight w:val="0"/>
          <w:marTop w:val="0"/>
          <w:marBottom w:val="0"/>
          <w:divBdr>
            <w:top w:val="none" w:sz="0" w:space="0" w:color="auto"/>
            <w:left w:val="none" w:sz="0" w:space="0" w:color="auto"/>
            <w:bottom w:val="none" w:sz="0" w:space="0" w:color="auto"/>
            <w:right w:val="none" w:sz="0" w:space="0" w:color="auto"/>
          </w:divBdr>
          <w:divsChild>
            <w:div w:id="1887450915">
              <w:marLeft w:val="0"/>
              <w:marRight w:val="0"/>
              <w:marTop w:val="0"/>
              <w:marBottom w:val="0"/>
              <w:divBdr>
                <w:top w:val="none" w:sz="0" w:space="0" w:color="auto"/>
                <w:left w:val="none" w:sz="0" w:space="0" w:color="auto"/>
                <w:bottom w:val="none" w:sz="0" w:space="0" w:color="auto"/>
                <w:right w:val="none" w:sz="0" w:space="0" w:color="auto"/>
              </w:divBdr>
            </w:div>
            <w:div w:id="1627731300">
              <w:marLeft w:val="0"/>
              <w:marRight w:val="0"/>
              <w:marTop w:val="0"/>
              <w:marBottom w:val="0"/>
              <w:divBdr>
                <w:top w:val="none" w:sz="0" w:space="0" w:color="auto"/>
                <w:left w:val="none" w:sz="0" w:space="0" w:color="auto"/>
                <w:bottom w:val="none" w:sz="0" w:space="0" w:color="auto"/>
                <w:right w:val="none" w:sz="0" w:space="0" w:color="auto"/>
              </w:divBdr>
            </w:div>
            <w:div w:id="1538855878">
              <w:marLeft w:val="0"/>
              <w:marRight w:val="0"/>
              <w:marTop w:val="0"/>
              <w:marBottom w:val="0"/>
              <w:divBdr>
                <w:top w:val="none" w:sz="0" w:space="0" w:color="auto"/>
                <w:left w:val="none" w:sz="0" w:space="0" w:color="auto"/>
                <w:bottom w:val="none" w:sz="0" w:space="0" w:color="auto"/>
                <w:right w:val="none" w:sz="0" w:space="0" w:color="auto"/>
              </w:divBdr>
            </w:div>
            <w:div w:id="757360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2894176">
      <w:bodyDiv w:val="1"/>
      <w:marLeft w:val="0"/>
      <w:marRight w:val="0"/>
      <w:marTop w:val="0"/>
      <w:marBottom w:val="0"/>
      <w:divBdr>
        <w:top w:val="none" w:sz="0" w:space="0" w:color="auto"/>
        <w:left w:val="none" w:sz="0" w:space="0" w:color="auto"/>
        <w:bottom w:val="none" w:sz="0" w:space="0" w:color="auto"/>
        <w:right w:val="none" w:sz="0" w:space="0" w:color="auto"/>
      </w:divBdr>
      <w:divsChild>
        <w:div w:id="939484627">
          <w:marLeft w:val="0"/>
          <w:marRight w:val="0"/>
          <w:marTop w:val="0"/>
          <w:marBottom w:val="0"/>
          <w:divBdr>
            <w:top w:val="none" w:sz="0" w:space="0" w:color="auto"/>
            <w:left w:val="none" w:sz="0" w:space="0" w:color="auto"/>
            <w:bottom w:val="none" w:sz="0" w:space="0" w:color="auto"/>
            <w:right w:val="none" w:sz="0" w:space="0" w:color="auto"/>
          </w:divBdr>
        </w:div>
        <w:div w:id="1897933340">
          <w:marLeft w:val="0"/>
          <w:marRight w:val="0"/>
          <w:marTop w:val="0"/>
          <w:marBottom w:val="0"/>
          <w:divBdr>
            <w:top w:val="none" w:sz="0" w:space="0" w:color="auto"/>
            <w:left w:val="none" w:sz="0" w:space="0" w:color="auto"/>
            <w:bottom w:val="none" w:sz="0" w:space="0" w:color="auto"/>
            <w:right w:val="none" w:sz="0" w:space="0" w:color="auto"/>
          </w:divBdr>
        </w:div>
        <w:div w:id="15734649">
          <w:marLeft w:val="0"/>
          <w:marRight w:val="0"/>
          <w:marTop w:val="0"/>
          <w:marBottom w:val="0"/>
          <w:divBdr>
            <w:top w:val="none" w:sz="0" w:space="0" w:color="auto"/>
            <w:left w:val="none" w:sz="0" w:space="0" w:color="auto"/>
            <w:bottom w:val="none" w:sz="0" w:space="0" w:color="auto"/>
            <w:right w:val="none" w:sz="0" w:space="0" w:color="auto"/>
          </w:divBdr>
        </w:div>
        <w:div w:id="301270483">
          <w:marLeft w:val="0"/>
          <w:marRight w:val="0"/>
          <w:marTop w:val="0"/>
          <w:marBottom w:val="0"/>
          <w:divBdr>
            <w:top w:val="none" w:sz="0" w:space="0" w:color="auto"/>
            <w:left w:val="none" w:sz="0" w:space="0" w:color="auto"/>
            <w:bottom w:val="none" w:sz="0" w:space="0" w:color="auto"/>
            <w:right w:val="none" w:sz="0" w:space="0" w:color="auto"/>
          </w:divBdr>
        </w:div>
      </w:divsChild>
    </w:div>
    <w:div w:id="1797793806">
      <w:bodyDiv w:val="1"/>
      <w:marLeft w:val="0"/>
      <w:marRight w:val="0"/>
      <w:marTop w:val="0"/>
      <w:marBottom w:val="0"/>
      <w:divBdr>
        <w:top w:val="none" w:sz="0" w:space="0" w:color="auto"/>
        <w:left w:val="none" w:sz="0" w:space="0" w:color="auto"/>
        <w:bottom w:val="none" w:sz="0" w:space="0" w:color="auto"/>
        <w:right w:val="none" w:sz="0" w:space="0" w:color="auto"/>
      </w:divBdr>
    </w:div>
    <w:div w:id="1829859883">
      <w:bodyDiv w:val="1"/>
      <w:marLeft w:val="0"/>
      <w:marRight w:val="0"/>
      <w:marTop w:val="0"/>
      <w:marBottom w:val="0"/>
      <w:divBdr>
        <w:top w:val="none" w:sz="0" w:space="0" w:color="auto"/>
        <w:left w:val="none" w:sz="0" w:space="0" w:color="auto"/>
        <w:bottom w:val="none" w:sz="0" w:space="0" w:color="auto"/>
        <w:right w:val="none" w:sz="0" w:space="0" w:color="auto"/>
      </w:divBdr>
    </w:div>
    <w:div w:id="1945376463">
      <w:bodyDiv w:val="1"/>
      <w:marLeft w:val="0"/>
      <w:marRight w:val="0"/>
      <w:marTop w:val="0"/>
      <w:marBottom w:val="0"/>
      <w:divBdr>
        <w:top w:val="none" w:sz="0" w:space="0" w:color="auto"/>
        <w:left w:val="none" w:sz="0" w:space="0" w:color="auto"/>
        <w:bottom w:val="none" w:sz="0" w:space="0" w:color="auto"/>
        <w:right w:val="none" w:sz="0" w:space="0" w:color="auto"/>
      </w:divBdr>
      <w:divsChild>
        <w:div w:id="1490057407">
          <w:marLeft w:val="0"/>
          <w:marRight w:val="0"/>
          <w:marTop w:val="0"/>
          <w:marBottom w:val="0"/>
          <w:divBdr>
            <w:top w:val="none" w:sz="0" w:space="0" w:color="auto"/>
            <w:left w:val="none" w:sz="0" w:space="0" w:color="auto"/>
            <w:bottom w:val="none" w:sz="0" w:space="0" w:color="auto"/>
            <w:right w:val="none" w:sz="0" w:space="0" w:color="auto"/>
          </w:divBdr>
        </w:div>
        <w:div w:id="1485897868">
          <w:marLeft w:val="0"/>
          <w:marRight w:val="0"/>
          <w:marTop w:val="0"/>
          <w:marBottom w:val="0"/>
          <w:divBdr>
            <w:top w:val="none" w:sz="0" w:space="0" w:color="auto"/>
            <w:left w:val="none" w:sz="0" w:space="0" w:color="auto"/>
            <w:bottom w:val="none" w:sz="0" w:space="0" w:color="auto"/>
            <w:right w:val="none" w:sz="0" w:space="0" w:color="auto"/>
          </w:divBdr>
        </w:div>
      </w:divsChild>
    </w:div>
    <w:div w:id="1955288902">
      <w:bodyDiv w:val="1"/>
      <w:marLeft w:val="0"/>
      <w:marRight w:val="0"/>
      <w:marTop w:val="0"/>
      <w:marBottom w:val="0"/>
      <w:divBdr>
        <w:top w:val="none" w:sz="0" w:space="0" w:color="auto"/>
        <w:left w:val="none" w:sz="0" w:space="0" w:color="auto"/>
        <w:bottom w:val="none" w:sz="0" w:space="0" w:color="auto"/>
        <w:right w:val="none" w:sz="0" w:space="0" w:color="auto"/>
      </w:divBdr>
      <w:divsChild>
        <w:div w:id="1309483337">
          <w:marLeft w:val="0"/>
          <w:marRight w:val="0"/>
          <w:marTop w:val="0"/>
          <w:marBottom w:val="0"/>
          <w:divBdr>
            <w:top w:val="none" w:sz="0" w:space="0" w:color="auto"/>
            <w:left w:val="none" w:sz="0" w:space="0" w:color="auto"/>
            <w:bottom w:val="none" w:sz="0" w:space="0" w:color="auto"/>
            <w:right w:val="none" w:sz="0" w:space="0" w:color="auto"/>
          </w:divBdr>
        </w:div>
      </w:divsChild>
    </w:div>
    <w:div w:id="2012561894">
      <w:bodyDiv w:val="1"/>
      <w:marLeft w:val="0"/>
      <w:marRight w:val="0"/>
      <w:marTop w:val="0"/>
      <w:marBottom w:val="0"/>
      <w:divBdr>
        <w:top w:val="none" w:sz="0" w:space="0" w:color="auto"/>
        <w:left w:val="none" w:sz="0" w:space="0" w:color="auto"/>
        <w:bottom w:val="none" w:sz="0" w:space="0" w:color="auto"/>
        <w:right w:val="none" w:sz="0" w:space="0" w:color="auto"/>
      </w:divBdr>
      <w:divsChild>
        <w:div w:id="1158885518">
          <w:marLeft w:val="0"/>
          <w:marRight w:val="0"/>
          <w:marTop w:val="0"/>
          <w:marBottom w:val="0"/>
          <w:divBdr>
            <w:top w:val="none" w:sz="0" w:space="0" w:color="auto"/>
            <w:left w:val="none" w:sz="0" w:space="0" w:color="auto"/>
            <w:bottom w:val="none" w:sz="0" w:space="0" w:color="auto"/>
            <w:right w:val="none" w:sz="0" w:space="0" w:color="auto"/>
          </w:divBdr>
        </w:div>
        <w:div w:id="1510409119">
          <w:marLeft w:val="0"/>
          <w:marRight w:val="0"/>
          <w:marTop w:val="0"/>
          <w:marBottom w:val="0"/>
          <w:divBdr>
            <w:top w:val="none" w:sz="0" w:space="0" w:color="auto"/>
            <w:left w:val="none" w:sz="0" w:space="0" w:color="auto"/>
            <w:bottom w:val="none" w:sz="0" w:space="0" w:color="auto"/>
            <w:right w:val="none" w:sz="0" w:space="0" w:color="auto"/>
          </w:divBdr>
        </w:div>
      </w:divsChild>
    </w:div>
    <w:div w:id="2063138913">
      <w:bodyDiv w:val="1"/>
      <w:marLeft w:val="0"/>
      <w:marRight w:val="0"/>
      <w:marTop w:val="0"/>
      <w:marBottom w:val="0"/>
      <w:divBdr>
        <w:top w:val="none" w:sz="0" w:space="0" w:color="auto"/>
        <w:left w:val="none" w:sz="0" w:space="0" w:color="auto"/>
        <w:bottom w:val="none" w:sz="0" w:space="0" w:color="auto"/>
        <w:right w:val="none" w:sz="0" w:space="0" w:color="auto"/>
      </w:divBdr>
      <w:divsChild>
        <w:div w:id="512189138">
          <w:marLeft w:val="0"/>
          <w:marRight w:val="0"/>
          <w:marTop w:val="0"/>
          <w:marBottom w:val="0"/>
          <w:divBdr>
            <w:top w:val="none" w:sz="0" w:space="0" w:color="auto"/>
            <w:left w:val="none" w:sz="0" w:space="0" w:color="auto"/>
            <w:bottom w:val="none" w:sz="0" w:space="0" w:color="auto"/>
            <w:right w:val="none" w:sz="0" w:space="0" w:color="auto"/>
          </w:divBdr>
        </w:div>
        <w:div w:id="1019238653">
          <w:marLeft w:val="0"/>
          <w:marRight w:val="0"/>
          <w:marTop w:val="0"/>
          <w:marBottom w:val="0"/>
          <w:divBdr>
            <w:top w:val="none" w:sz="0" w:space="0" w:color="auto"/>
            <w:left w:val="none" w:sz="0" w:space="0" w:color="auto"/>
            <w:bottom w:val="none" w:sz="0" w:space="0" w:color="auto"/>
            <w:right w:val="none" w:sz="0" w:space="0" w:color="auto"/>
          </w:divBdr>
        </w:div>
      </w:divsChild>
    </w:div>
    <w:div w:id="2118601820">
      <w:bodyDiv w:val="1"/>
      <w:marLeft w:val="0"/>
      <w:marRight w:val="0"/>
      <w:marTop w:val="0"/>
      <w:marBottom w:val="0"/>
      <w:divBdr>
        <w:top w:val="none" w:sz="0" w:space="0" w:color="auto"/>
        <w:left w:val="none" w:sz="0" w:space="0" w:color="auto"/>
        <w:bottom w:val="none" w:sz="0" w:space="0" w:color="auto"/>
        <w:right w:val="none" w:sz="0" w:space="0" w:color="auto"/>
      </w:divBdr>
      <w:divsChild>
        <w:div w:id="1847133280">
          <w:marLeft w:val="0"/>
          <w:marRight w:val="0"/>
          <w:marTop w:val="0"/>
          <w:marBottom w:val="0"/>
          <w:divBdr>
            <w:top w:val="none" w:sz="0" w:space="0" w:color="auto"/>
            <w:left w:val="none" w:sz="0" w:space="0" w:color="auto"/>
            <w:bottom w:val="none" w:sz="0" w:space="0" w:color="auto"/>
            <w:right w:val="none" w:sz="0" w:space="0" w:color="auto"/>
          </w:divBdr>
        </w:div>
        <w:div w:id="1307204782">
          <w:marLeft w:val="0"/>
          <w:marRight w:val="0"/>
          <w:marTop w:val="0"/>
          <w:marBottom w:val="0"/>
          <w:divBdr>
            <w:top w:val="none" w:sz="0" w:space="0" w:color="auto"/>
            <w:left w:val="none" w:sz="0" w:space="0" w:color="auto"/>
            <w:bottom w:val="none" w:sz="0" w:space="0" w:color="auto"/>
            <w:right w:val="none" w:sz="0" w:space="0" w:color="auto"/>
          </w:divBdr>
        </w:div>
        <w:div w:id="1723403629">
          <w:marLeft w:val="0"/>
          <w:marRight w:val="0"/>
          <w:marTop w:val="0"/>
          <w:marBottom w:val="0"/>
          <w:divBdr>
            <w:top w:val="none" w:sz="0" w:space="0" w:color="auto"/>
            <w:left w:val="none" w:sz="0" w:space="0" w:color="auto"/>
            <w:bottom w:val="none" w:sz="0" w:space="0" w:color="auto"/>
            <w:right w:val="none" w:sz="0" w:space="0" w:color="auto"/>
          </w:divBdr>
        </w:div>
        <w:div w:id="1611274492">
          <w:marLeft w:val="0"/>
          <w:marRight w:val="0"/>
          <w:marTop w:val="0"/>
          <w:marBottom w:val="0"/>
          <w:divBdr>
            <w:top w:val="none" w:sz="0" w:space="0" w:color="auto"/>
            <w:left w:val="none" w:sz="0" w:space="0" w:color="auto"/>
            <w:bottom w:val="none" w:sz="0" w:space="0" w:color="auto"/>
            <w:right w:val="none" w:sz="0" w:space="0" w:color="auto"/>
          </w:divBdr>
        </w:div>
        <w:div w:id="743380186">
          <w:marLeft w:val="0"/>
          <w:marRight w:val="0"/>
          <w:marTop w:val="0"/>
          <w:marBottom w:val="0"/>
          <w:divBdr>
            <w:top w:val="none" w:sz="0" w:space="0" w:color="auto"/>
            <w:left w:val="none" w:sz="0" w:space="0" w:color="auto"/>
            <w:bottom w:val="none" w:sz="0" w:space="0" w:color="auto"/>
            <w:right w:val="none" w:sz="0" w:space="0" w:color="auto"/>
          </w:divBdr>
        </w:div>
        <w:div w:id="779109525">
          <w:marLeft w:val="0"/>
          <w:marRight w:val="0"/>
          <w:marTop w:val="0"/>
          <w:marBottom w:val="0"/>
          <w:divBdr>
            <w:top w:val="none" w:sz="0" w:space="0" w:color="auto"/>
            <w:left w:val="none" w:sz="0" w:space="0" w:color="auto"/>
            <w:bottom w:val="none" w:sz="0" w:space="0" w:color="auto"/>
            <w:right w:val="none" w:sz="0" w:space="0" w:color="auto"/>
          </w:divBdr>
        </w:div>
        <w:div w:id="1381976799">
          <w:marLeft w:val="0"/>
          <w:marRight w:val="0"/>
          <w:marTop w:val="0"/>
          <w:marBottom w:val="0"/>
          <w:divBdr>
            <w:top w:val="none" w:sz="0" w:space="0" w:color="auto"/>
            <w:left w:val="none" w:sz="0" w:space="0" w:color="auto"/>
            <w:bottom w:val="none" w:sz="0" w:space="0" w:color="auto"/>
            <w:right w:val="none" w:sz="0" w:space="0" w:color="auto"/>
          </w:divBdr>
        </w:div>
        <w:div w:id="1288242901">
          <w:marLeft w:val="0"/>
          <w:marRight w:val="0"/>
          <w:marTop w:val="0"/>
          <w:marBottom w:val="0"/>
          <w:divBdr>
            <w:top w:val="none" w:sz="0" w:space="0" w:color="auto"/>
            <w:left w:val="none" w:sz="0" w:space="0" w:color="auto"/>
            <w:bottom w:val="none" w:sz="0" w:space="0" w:color="auto"/>
            <w:right w:val="none" w:sz="0" w:space="0" w:color="auto"/>
          </w:divBdr>
        </w:div>
        <w:div w:id="1221594768">
          <w:marLeft w:val="0"/>
          <w:marRight w:val="0"/>
          <w:marTop w:val="0"/>
          <w:marBottom w:val="0"/>
          <w:divBdr>
            <w:top w:val="none" w:sz="0" w:space="0" w:color="auto"/>
            <w:left w:val="none" w:sz="0" w:space="0" w:color="auto"/>
            <w:bottom w:val="none" w:sz="0" w:space="0" w:color="auto"/>
            <w:right w:val="none" w:sz="0" w:space="0" w:color="auto"/>
          </w:divBdr>
        </w:div>
        <w:div w:id="371854392">
          <w:marLeft w:val="0"/>
          <w:marRight w:val="0"/>
          <w:marTop w:val="0"/>
          <w:marBottom w:val="0"/>
          <w:divBdr>
            <w:top w:val="none" w:sz="0" w:space="0" w:color="auto"/>
            <w:left w:val="none" w:sz="0" w:space="0" w:color="auto"/>
            <w:bottom w:val="none" w:sz="0" w:space="0" w:color="auto"/>
            <w:right w:val="none" w:sz="0" w:space="0" w:color="auto"/>
          </w:divBdr>
        </w:div>
        <w:div w:id="995453083">
          <w:marLeft w:val="0"/>
          <w:marRight w:val="0"/>
          <w:marTop w:val="0"/>
          <w:marBottom w:val="0"/>
          <w:divBdr>
            <w:top w:val="none" w:sz="0" w:space="0" w:color="auto"/>
            <w:left w:val="none" w:sz="0" w:space="0" w:color="auto"/>
            <w:bottom w:val="none" w:sz="0" w:space="0" w:color="auto"/>
            <w:right w:val="none" w:sz="0" w:space="0" w:color="auto"/>
          </w:divBdr>
        </w:div>
        <w:div w:id="146611732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5" Type="http://schemas.openxmlformats.org/officeDocument/2006/relationships/customXml" Target="../customXml/item2.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footer" Target="footer1.xml"/>
  <Relationship Id="rId2" Type="http://schemas.openxmlformats.org/officeDocument/2006/relationships/styles" Target="styles.xml"/>
  <Relationship Id="rId20" Type="http://schemas.openxmlformats.org/officeDocument/2006/relationships/footer" Target="footer2.xml"/>
  <Relationship Id="rId21" Type="http://schemas.openxmlformats.org/officeDocument/2006/relationships/header" Target="header3.xml"/>
  <Relationship Id="rId22" Type="http://schemas.openxmlformats.org/officeDocument/2006/relationships/footer" Target="footer3.xml"/>
  <Relationship Id="rId23" Type="http://schemas.openxmlformats.org/officeDocument/2006/relationships/fontTable" Target="fontTable.xml"/>
  <Relationship Id="rId24" Type="http://schemas.openxmlformats.org/officeDocument/2006/relationships/theme" Target="theme/theme1.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3cb771f3c4784591ad27c14031b00d9c" PartId="f6a36edda5f44fcf96c79561d229a207"/>
  <Part Type="pastraipa" DocPartId="10257f6940604f02bcbce39d5ae3544d" PartId="c3d5a202fac243d39512458784f9e770"/>
</Parts>
</file>

<file path=customXml/itemProps1.xml><?xml version="1.0" encoding="utf-8"?>
<ds:datastoreItem xmlns:ds="http://schemas.openxmlformats.org/officeDocument/2006/customXml" ds:itemID="{D3A82DCF-2404-4BB5-B6F3-DE417B014737}">
  <ds:schemaRefs>
    <ds:schemaRef ds:uri="http://schemas.openxmlformats.org/officeDocument/2006/bibliography"/>
  </ds:schemaRefs>
</ds:datastoreItem>
</file>

<file path=customXml/itemProps2.xml><?xml version="1.0" encoding="utf-8"?>
<ds:datastoreItem xmlns:ds="http://schemas.openxmlformats.org/officeDocument/2006/customXml" ds:itemID="{37A74392-32C2-4EF1-B3DF-DA6519ABEDB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1915</Words>
  <Characters>14233</Characters>
  <Application>Microsoft Office Word</Application>
  <DocSecurity>4</DocSecurity>
  <Lines>347</Lines>
  <Paragraphs>100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16048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2026-07-10T05:22:00Z</dcterms:created>
  <dc:creator>Silvija Čibirienė</dc:creator>
  <lastModifiedBy>adlibuser</lastModifiedBy>
  <lastPrinted>2016-01-08T11:09:00Z</lastPrinted>
  <dcterms:modified xsi:type="dcterms:W3CDTF">2026-07-10T05:22:00Z</dcterms:modified>
  <revision>2</revision>
</coreProperties>
</file>