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0b5c3dbed3f4ae8ac162d687d488074"/>
        <w:lock w:val="sdtLocked"/>
        <w:richText/>
      </w:sdtPr>
      <w:sdtContent>
        <w:tbl>
          <w:tblPr>
            <w:tblW w:w="9798" w:type="dxa"/>
            <w:tblInd w:w="55" w:type="dxa"/>
            <w:tblLayout w:type="fixed"/>
            <w:tblCellMar>
              <w:top w:w="55" w:type="dxa"/>
              <w:left w:w="55" w:type="dxa"/>
              <w:bottom w:w="55" w:type="dxa"/>
              <w:right w:w="55" w:type="dxa"/>
            </w:tblCellMar>
            <w:tblLook w:val="0000" w:firstRow="0" w:lastRow="0" w:firstColumn="0" w:lastColumn="0" w:noHBand="0" w:noVBand="0"/>
          </w:tblPr>
          <w:tblGrid>
            <w:gridCol w:w="4897"/>
            <w:gridCol w:w="286"/>
            <w:gridCol w:w="1871"/>
            <w:gridCol w:w="574"/>
            <w:gridCol w:w="2170"/>
          </w:tblGrid>
          <w:tr>
            <w:trPr>
              <w:trHeight w:val="2213"/>
            </w:trPr>
            <w:tc>
              <w:tcPr>
                <w:tcW w:w="9798" w:type="dxa"/>
                <w:gridSpan w:val="5"/>
                <w:tcBorders>
                  <w:bottom w:val="single" w:sz="4" w:space="0" w:color="000000" w:themeColor="text1"/>
                </w:tcBorders>
              </w:tcPr>
              <w:p>
                <w:pPr>
                  <w:tabs>
                    <w:tab w:val="center" w:pos="4513"/>
                    <w:tab w:val="right" w:pos="9026"/>
                  </w:tabs>
                </w:pPr>
              </w:p>
              <w:p>
                <w:pPr>
                  <w:keepNext/>
                  <w:widowControl w:val="0"/>
                  <w:suppressAutoHyphens/>
                  <w:jc w:val="center"/>
                  <w:rPr>
                    <w:rFonts w:eastAsia="Andale Sans UI" w:cs="Tahoma"/>
                    <w:b/>
                    <w:bCs/>
                    <w:caps/>
                    <w:sz w:val="28"/>
                    <w:szCs w:val="28"/>
                    <w:lang w:bidi="en-US"/>
                  </w:rPr>
                </w:pPr>
                <w:r>
                  <w:rPr>
                    <w:rFonts w:eastAsia="Andale Sans UI" w:cs="Tahoma"/>
                    <w:b/>
                    <w:bCs/>
                    <w:caps/>
                    <w:sz w:val="28"/>
                    <w:szCs w:val="32"/>
                    <w:lang w:val="en-US"/>
                  </w:rPr>
                  <w:drawing>
                    <wp:inline distT="0" distB="0" distL="0" distR="0" wp14:anchorId="07406B72" wp14:editId="4D66A5CB">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Cs w:val="24"/>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rPr>
              <w:trHeight w:val="261"/>
            </w:trPr>
            <w:tc>
              <w:tcPr>
                <w:tcW w:w="979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29"/>
            </w:trPr>
            <w:tc>
              <w:tcPr>
                <w:tcW w:w="4897" w:type="dxa"/>
                <w:vMerge w:val="restart"/>
                <w:tcMar>
                  <w:top w:w="0" w:type="dxa"/>
                  <w:left w:w="0" w:type="dxa"/>
                  <w:bottom w:w="0" w:type="dxa"/>
                  <w:right w:w="0" w:type="dxa"/>
                </w:tcMar>
              </w:tcPr>
              <w:p>
                <w:pPr>
                  <w:widowControl w:val="0"/>
                  <w:suppressLineNumbers/>
                  <w:suppressAutoHyphens/>
                  <w:rPr>
                    <w:rFonts w:eastAsia="Andale Sans UI"/>
                    <w:szCs w:val="24"/>
                    <w:lang w:bidi="en-US"/>
                  </w:rPr>
                </w:pPr>
                <w:r>
                  <w:rPr>
                    <w:rFonts w:eastAsia="Andale Sans UI"/>
                    <w:szCs w:val="24"/>
                    <w:lang w:bidi="en-US"/>
                  </w:rPr>
                  <w:t>Adresatams pagal sąrašą</w:t>
                </w:r>
              </w:p>
              <w:p>
                <w:pPr>
                  <w:widowControl w:val="0"/>
                  <w:suppressLineNumbers/>
                  <w:suppressAutoHyphens/>
                  <w:rPr>
                    <w:rFonts w:eastAsia="Andale Sans UI"/>
                    <w:szCs w:val="24"/>
                    <w:lang w:bidi="en-US"/>
                  </w:rPr>
                </w:pPr>
              </w:p>
              <w:p>
                <w:pPr>
                  <w:widowControl w:val="0"/>
                  <w:suppressLineNumbers/>
                  <w:suppressAutoHyphens/>
                  <w:rPr>
                    <w:spacing w:val="10"/>
                    <w:szCs w:val="24"/>
                    <w:lang w:bidi="en-US"/>
                  </w:rPr>
                </w:pPr>
              </w:p>
            </w:tc>
            <w:tc>
              <w:tcPr>
                <w:tcW w:w="286" w:type="dxa"/>
                <w:tcMar>
                  <w:top w:w="0" w:type="dxa"/>
                  <w:left w:w="0" w:type="dxa"/>
                  <w:bottom w:w="0" w:type="dxa"/>
                  <w:right w:w="0" w:type="dxa"/>
                </w:tcMar>
              </w:tcPr>
              <w:p>
                <w:pPr>
                  <w:widowControl w:val="0"/>
                  <w:suppressAutoHyphens/>
                  <w:ind w:right="67"/>
                  <w:jc w:val="right"/>
                  <w:rPr>
                    <w:spacing w:val="10"/>
                    <w:szCs w:val="24"/>
                    <w:lang w:bidi="en-US"/>
                  </w:rPr>
                </w:pPr>
              </w:p>
            </w:tc>
            <w:tc>
              <w:tcPr>
                <w:tcW w:w="1871" w:type="dxa"/>
                <w:tcMar>
                  <w:top w:w="0" w:type="dxa"/>
                  <w:left w:w="0" w:type="dxa"/>
                  <w:bottom w:w="0" w:type="dxa"/>
                  <w:right w:w="0" w:type="dxa"/>
                </w:tcMar>
              </w:tcPr>
              <w:p>
                <w:pPr>
                  <w:widowControl w:val="0"/>
                  <w:suppressLineNumbers/>
                  <w:suppressAutoHyphens/>
                  <w:ind w:right="67"/>
                  <w:rPr>
                    <w:szCs w:val="24"/>
                    <w:lang w:bidi="en-US"/>
                  </w:rPr>
                </w:pPr>
                <w:r>
                  <w:rPr>
                    <w:szCs w:val="24"/>
                    <w:lang w:bidi="en-US"/>
                  </w:rPr>
                  <w:t>2023-</w:t>
                </w:r>
              </w:p>
            </w:tc>
            <w:tc>
              <w:tcPr>
                <w:tcW w:w="574" w:type="dxa"/>
              </w:tcPr>
              <w:p>
                <w:pPr>
                  <w:widowControl w:val="0"/>
                  <w:suppressAutoHyphens/>
                  <w:ind w:right="67"/>
                  <w:rPr>
                    <w:spacing w:val="10"/>
                    <w:szCs w:val="24"/>
                    <w:lang w:bidi="en-US"/>
                  </w:rPr>
                </w:pPr>
                <w:r>
                  <w:rPr>
                    <w:spacing w:val="10"/>
                    <w:szCs w:val="24"/>
                    <w:lang w:bidi="en-US"/>
                  </w:rPr>
                  <w:t>Nr.</w:t>
                </w:r>
              </w:p>
            </w:tc>
            <w:tc>
              <w:tcPr>
                <w:tcW w:w="2170" w:type="dxa"/>
              </w:tcPr>
              <w:p>
                <w:pPr>
                  <w:widowControl w:val="0"/>
                  <w:suppressLineNumbers/>
                  <w:suppressAutoHyphens/>
                  <w:ind w:right="67" w:firstLine="629"/>
                  <w:rPr>
                    <w:szCs w:val="24"/>
                    <w:lang w:bidi="en-US"/>
                  </w:rPr>
                </w:pPr>
              </w:p>
            </w:tc>
          </w:tr>
          <w:tr>
            <w:trPr>
              <w:cantSplit/>
              <w:trHeight w:val="329"/>
            </w:trPr>
            <w:tc>
              <w:tcPr>
                <w:tcW w:w="4897" w:type="dxa"/>
                <w:vMerge/>
                <w:tcMar>
                  <w:top w:w="0" w:type="dxa"/>
                  <w:left w:w="0" w:type="dxa"/>
                  <w:bottom w:w="0" w:type="dxa"/>
                  <w:right w:w="0" w:type="dxa"/>
                </w:tcMar>
              </w:tcPr>
              <w:p/>
            </w:tc>
            <w:tc>
              <w:tcPr>
                <w:tcW w:w="286" w:type="dxa"/>
                <w:tcMar>
                  <w:top w:w="0" w:type="dxa"/>
                  <w:left w:w="0" w:type="dxa"/>
                  <w:bottom w:w="0" w:type="dxa"/>
                  <w:right w:w="0" w:type="dxa"/>
                </w:tcMar>
              </w:tcPr>
              <w:p>
                <w:pPr>
                  <w:widowControl w:val="0"/>
                  <w:tabs>
                    <w:tab w:val="left" w:pos="2869"/>
                  </w:tabs>
                  <w:suppressAutoHyphens/>
                  <w:ind w:right="67"/>
                  <w:jc w:val="right"/>
                  <w:rPr>
                    <w:spacing w:val="10"/>
                    <w:szCs w:val="24"/>
                    <w:lang w:bidi="en-US"/>
                  </w:rPr>
                </w:pPr>
                <w:r>
                  <w:rPr>
                    <w:spacing w:val="10"/>
                    <w:szCs w:val="24"/>
                    <w:lang w:bidi="en-US"/>
                  </w:rPr>
                  <w:t>Į</w:t>
                </w:r>
              </w:p>
            </w:tc>
            <w:tc>
              <w:tcPr>
                <w:tcW w:w="1871" w:type="dxa"/>
                <w:tcMar>
                  <w:top w:w="0" w:type="dxa"/>
                  <w:left w:w="0" w:type="dxa"/>
                  <w:bottom w:w="0" w:type="dxa"/>
                  <w:right w:w="0" w:type="dxa"/>
                </w:tcMar>
              </w:tcPr>
              <w:p>
                <w:pPr>
                  <w:widowControl w:val="0"/>
                  <w:suppressLineNumbers/>
                  <w:suppressAutoHyphens/>
                  <w:ind w:right="67"/>
                  <w:rPr>
                    <w:szCs w:val="24"/>
                    <w:lang w:bidi="en-US"/>
                  </w:rPr>
                </w:pPr>
              </w:p>
            </w:tc>
            <w:tc>
              <w:tcPr>
                <w:tcW w:w="574" w:type="dxa"/>
              </w:tcPr>
              <w:p>
                <w:pPr>
                  <w:widowControl w:val="0"/>
                  <w:tabs>
                    <w:tab w:val="left" w:pos="2869"/>
                  </w:tabs>
                  <w:suppressAutoHyphens/>
                  <w:ind w:right="67"/>
                  <w:jc w:val="right"/>
                  <w:rPr>
                    <w:spacing w:val="10"/>
                    <w:szCs w:val="24"/>
                    <w:lang w:bidi="en-US"/>
                  </w:rPr>
                </w:pPr>
                <w:r>
                  <w:rPr>
                    <w:spacing w:val="10"/>
                    <w:szCs w:val="24"/>
                    <w:lang w:bidi="en-US"/>
                  </w:rPr>
                  <w:t xml:space="preserve">Nr. </w:t>
                </w:r>
              </w:p>
            </w:tc>
            <w:tc>
              <w:tcPr>
                <w:tcW w:w="2170" w:type="dxa"/>
              </w:tcPr>
              <w:p>
                <w:pPr>
                  <w:widowControl w:val="0"/>
                  <w:suppressLineNumbers/>
                  <w:suppressAutoHyphens/>
                  <w:ind w:right="67"/>
                  <w:rPr>
                    <w:szCs w:val="24"/>
                    <w:lang w:bidi="en-US"/>
                  </w:rPr>
                </w:pPr>
              </w:p>
            </w:tc>
          </w:tr>
          <w:tr>
            <w:trPr>
              <w:cantSplit/>
              <w:trHeight w:val="139"/>
            </w:trPr>
            <w:tc>
              <w:tcPr>
                <w:tcW w:w="4897" w:type="dxa"/>
                <w:vMerge/>
                <w:tcMar>
                  <w:top w:w="0" w:type="dxa"/>
                  <w:left w:w="0" w:type="dxa"/>
                  <w:bottom w:w="0" w:type="dxa"/>
                  <w:right w:w="0" w:type="dxa"/>
                </w:tcMar>
              </w:tcPr>
              <w:p/>
            </w:tc>
            <w:tc>
              <w:tcPr>
                <w:tcW w:w="4901" w:type="dxa"/>
                <w:gridSpan w:val="4"/>
                <w:tcMar>
                  <w:top w:w="0" w:type="dxa"/>
                  <w:left w:w="0" w:type="dxa"/>
                  <w:bottom w:w="0" w:type="dxa"/>
                  <w:right w:w="0" w:type="dxa"/>
                </w:tcMar>
              </w:tcPr>
              <w:p>
                <w:pPr>
                  <w:widowControl w:val="0"/>
                  <w:tabs>
                    <w:tab w:val="left" w:pos="2869"/>
                  </w:tabs>
                  <w:suppressAutoHyphens/>
                  <w:ind w:right="67"/>
                  <w:rPr>
                    <w:spacing w:val="10"/>
                    <w:szCs w:val="24"/>
                    <w:lang w:bidi="en-US"/>
                  </w:rPr>
                </w:pPr>
              </w:p>
            </w:tc>
          </w:tr>
        </w:tbl>
        <w:sdt>
          <w:sdtPr>
            <w:alias w:val="skirsnis"/>
            <w:tag w:val="part_6e568161e4824cae872bf81f1ebd2785"/>
            <w:lock w:val="sdtLocked"/>
            <w:richText/>
          </w:sdtPr>
          <w:sdtContent>
            <w:p>
              <w:pPr>
                <w:widowControl w:val="0"/>
                <w:suppressLineNumbers/>
                <w:suppressAutoHyphens/>
                <w:spacing w:line="276" w:lineRule="auto"/>
                <w:jc w:val="both"/>
                <w:rPr>
                  <w:b/>
                  <w:bCs/>
                  <w:szCs w:val="24"/>
                  <w:lang w:bidi="en-US"/>
                </w:rPr>
              </w:pPr>
              <w:sdt>
                <w:sdtPr>
                  <w:alias w:val="Pavadinimas"/>
                  <w:tag w:val="title_6e568161e4824cae872bf81f1ebd2785"/>
                  <w:lock w:val="sdtLocked"/>
                  <w:richText/>
                </w:sdtPr>
                <w:sdtContent>
                  <w:r>
                    <w:rPr>
                      <w:b/>
                      <w:bCs/>
                      <w:szCs w:val="24"/>
                      <w:lang w:bidi="en-US"/>
                    </w:rPr>
                    <w:t>DĖL APLINKOS MINISTRO ĮSAKYMO PROJEKTO</w:t>
                  </w:r>
                </w:sdtContent>
              </w:sdt>
            </w:p>
            <w:p>
              <w:pPr>
                <w:widowControl w:val="0"/>
                <w:suppressLineNumbers/>
                <w:suppressAutoHyphens/>
                <w:spacing w:line="276" w:lineRule="auto"/>
                <w:jc w:val="both"/>
                <w:rPr>
                  <w:b/>
                  <w:bCs/>
                  <w:szCs w:val="24"/>
                  <w:lang w:bidi="en-US"/>
                </w:rPr>
              </w:pPr>
            </w:p>
            <w:p>
              <w:pPr>
                <w:widowControl w:val="0"/>
                <w:suppressAutoHyphens/>
                <w:spacing w:line="276" w:lineRule="auto"/>
                <w:ind w:firstLine="567"/>
                <w:jc w:val="both"/>
                <w:rPr>
                  <w:szCs w:val="24"/>
                </w:rPr>
              </w:pPr>
              <w:r>
                <w:rPr>
                  <w:color w:val="000000"/>
                  <w:szCs w:val="24"/>
                  <w:lang w:bidi="en-US"/>
                </w:rPr>
                <w:t xml:space="preserve">Aplinkos ministerija </w:t>
              </w:r>
              <w:r>
                <w:rPr>
                  <w:szCs w:val="24"/>
                </w:rPr>
                <w:t xml:space="preserve">teikia išvadoms gauti </w:t>
              </w:r>
              <w:r>
                <w:rPr>
                  <w:rFonts w:eastAsia="Andale Sans UI" w:cs="Tahoma"/>
                  <w:szCs w:val="24"/>
                  <w:lang w:bidi="en-US"/>
                </w:rPr>
                <w:t>Lietuvos Respublikos aplinkos ministro įsakymo „Dėl statybos techninio reglamento STR 2.07.02:2024 „Slėptuvės, kolektyvinės apsaugos statinio ir priedangos projektavimo ir įrengimo reikalavimai“ patvirtinimo“ projektą (toliau – projektas).</w:t>
              </w:r>
              <w:r>
                <w:rPr>
                  <w:szCs w:val="24"/>
                </w:rPr>
                <w:t xml:space="preserve"> </w:t>
              </w:r>
            </w:p>
            <w:p>
              <w:pPr>
                <w:widowControl w:val="0"/>
                <w:suppressAutoHyphens/>
                <w:spacing w:line="276" w:lineRule="auto"/>
                <w:ind w:firstLine="567"/>
                <w:jc w:val="both"/>
                <w:rPr>
                  <w:szCs w:val="24"/>
                  <w:lang w:bidi="en-US"/>
                </w:rPr>
              </w:pPr>
              <w:r>
                <w:rPr>
                  <w:szCs w:val="24"/>
                  <w:lang w:bidi="en-US"/>
                </w:rPr>
                <w:t xml:space="preserve">Projekto tikslas – </w:t>
              </w:r>
              <w:r>
                <w:rPr>
                  <w:bCs/>
                  <w:lang w:eastAsia="lt-LT"/>
                </w:rPr>
                <w:t xml:space="preserve">nustatyti </w:t>
              </w:r>
              <w:r>
                <w:rPr>
                  <w:bCs/>
                  <w:color w:val="000000"/>
                </w:rPr>
                <w:t>slėptuvių, kolektyvinės apsaugos statinių ir priedangų projektavimo ir įrengimo reikalavimus. P</w:t>
              </w:r>
              <w:r>
                <w:rPr>
                  <w:rFonts w:eastAsia="Calibri" w:cs="Tahoma"/>
                  <w:szCs w:val="22"/>
                  <w:lang w:bidi="en-US"/>
                </w:rPr>
                <w:t xml:space="preserve">rojektas parengtas įgyvendinant </w:t>
              </w:r>
              <w:r>
                <w:rPr>
                  <w:lang w:eastAsia="lt-LT"/>
                </w:rPr>
                <w:t xml:space="preserve">Lietuvos Respublikos statybos įstatymo 8 straipsnio 1 dalies 1 punkto ir 5 dalies, </w:t>
              </w:r>
              <w:r>
                <w:rPr>
                  <w:bCs/>
                  <w:lang w:eastAsia="lt-LT"/>
                </w:rPr>
                <w:t xml:space="preserve">Lietuvos Respublikos krizių valdymo ir civilinės saugos įstatymo 28 straipsnio 8 dalies ir Lietuvos Respublikos Vyriausybės 2022 m. gruodžio 29 d. nutarimo Nr. 1317 „Dėl Lietuvos Respublikos krizių valdymo ir civilinės saugos įstatymo įgyvendinimo“ 5.1 papunkčio nuostatas. </w:t>
              </w:r>
            </w:p>
            <w:p>
              <w:pPr>
                <w:widowControl w:val="0"/>
                <w:shd w:val="clear" w:color="auto" w:fill="FFFFFF"/>
                <w:suppressAutoHyphens/>
                <w:spacing w:line="276" w:lineRule="auto"/>
                <w:ind w:firstLine="567"/>
                <w:jc w:val="both"/>
                <w:textAlignment w:val="center"/>
                <w:rPr>
                  <w:szCs w:val="24"/>
                </w:rPr>
              </w:pPr>
              <w:r>
                <w:rPr>
                  <w:szCs w:val="24"/>
                </w:rPr>
                <w:t xml:space="preserve">Projektas neperkelia ir neįgyvendina Europos Sąjungos teisės aktų. </w:t>
              </w:r>
              <w:r>
                <w:rPr>
                  <w:rFonts w:eastAsia="Andale Sans UI" w:cs="Tahoma"/>
                  <w:szCs w:val="24"/>
                  <w:lang w:bidi="en-US"/>
                </w:rPr>
                <w:t xml:space="preserve">Projektui įtraukti </w:t>
              </w:r>
              <w:r>
                <w:rPr>
                  <w:szCs w:val="24"/>
                </w:rPr>
                <w:t>į teisės sistemą nereikės priimti kitų teisės aktų. </w:t>
              </w:r>
            </w:p>
            <w:p>
              <w:pPr>
                <w:widowControl w:val="0"/>
                <w:shd w:val="clear" w:color="auto" w:fill="FFFFFF"/>
                <w:suppressAutoHyphens/>
                <w:spacing w:line="276" w:lineRule="auto"/>
                <w:ind w:firstLine="567"/>
                <w:jc w:val="both"/>
                <w:textAlignment w:val="center"/>
                <w:rPr>
                  <w:rFonts w:eastAsia="Andale Sans UI" w:cs="Tahoma"/>
                  <w:szCs w:val="24"/>
                  <w:lang w:bidi="en-US"/>
                </w:rPr>
              </w:pPr>
              <w:r>
                <w:rPr>
                  <w:rFonts w:eastAsia="Andale Sans UI" w:cs="Tahoma"/>
                  <w:szCs w:val="24"/>
                  <w:lang w:bidi="en-US"/>
                </w:rPr>
                <w:t>Projektas neprieštarauja Aštuonioliktosios Lietuvos Respublikos Vyriausybės programai, kuriai pritarta Lietuvos Respublikos Seimo 2020 m. gruodžio 11 d. nutarimu Nr. XIV</w:t>
                <w:noBreakHyphen/>
                <w:t>72 „Dėl Aštuonioliktosios Lietuvos Respublikos Vyriausybės programos“.</w:t>
              </w:r>
            </w:p>
            <w:p>
              <w:pPr>
                <w:widowControl w:val="0"/>
                <w:suppressAutoHyphens/>
                <w:spacing w:line="276" w:lineRule="auto"/>
                <w:ind w:firstLine="567"/>
                <w:jc w:val="both"/>
                <w:rPr>
                  <w:iCs/>
                  <w:szCs w:val="24"/>
                </w:rPr>
              </w:pPr>
              <w:r>
                <w:rPr>
                  <w:iCs/>
                  <w:szCs w:val="24"/>
                </w:rPr>
                <w:t xml:space="preserve">Projektas atitinka Lietuvos Respublikos teisėkūros pagrindų įstatymo reikalavimus. Projekte nepateikiama naujų sąvokų ir sąvokas įvardijančių terminų, todėl projektas nevertintinas Lietuvos Respublikos terminų banko įstatymo ir jo įgyvendinamųjų teisės aktų nustatyta tvarka. </w:t>
              </w:r>
            </w:p>
            <w:p>
              <w:pPr>
                <w:widowControl w:val="0"/>
                <w:shd w:val="clear" w:color="auto" w:fill="FFFFFF"/>
                <w:suppressAutoHyphens/>
                <w:spacing w:line="276" w:lineRule="auto"/>
                <w:ind w:firstLine="567"/>
                <w:jc w:val="both"/>
                <w:textAlignment w:val="center"/>
                <w:rPr>
                  <w:szCs w:val="24"/>
                </w:rPr>
              </w:pPr>
              <w:r>
                <w:rPr>
                  <w:szCs w:val="24"/>
                </w:rPr>
                <w:t>Vadovaujantis Numatomo teisinio reguliavimo poveikio metodikos</w:t>
              </w:r>
              <w:r>
                <w:rPr>
                  <w:rFonts w:eastAsia="Andale Sans UI" w:cs="Tahoma"/>
                  <w:color w:val="000000"/>
                  <w:szCs w:val="24"/>
                  <w:lang w:bidi="en-US"/>
                </w:rPr>
                <w:t>,</w:t>
              </w:r>
              <w:r>
                <w:rPr>
                  <w:rFonts w:eastAsia="Andale Sans UI" w:cs="Tahoma"/>
                  <w:color w:val="000000"/>
                  <w:sz w:val="27"/>
                  <w:szCs w:val="27"/>
                  <w:lang w:bidi="en-US"/>
                </w:rPr>
                <w:t xml:space="preserve"> </w:t>
              </w:r>
              <w:r>
                <w:rPr>
                  <w:rFonts w:eastAsia="Andale Sans UI" w:cs="Tahoma"/>
                  <w:color w:val="000000"/>
                  <w:szCs w:val="24"/>
                  <w:lang w:bidi="en-US"/>
                </w:rPr>
                <w:t>patvirtintos Vyriausybės 2003 m. vasario 26 d. nutarimu Nr. 276 „Dėl Numatomo teisinio reguliavimo poveikio vertinimo metodikos patvirtinimo“</w:t>
              </w:r>
              <w:r>
                <w:rPr>
                  <w:szCs w:val="24"/>
                </w:rPr>
                <w:t xml:space="preserve"> nuostatomis, atliktas projekto numatomo teisinio reguliavimo poveikio vertinimas.</w:t>
              </w:r>
            </w:p>
            <w:p>
              <w:pPr>
                <w:widowControl w:val="0"/>
                <w:shd w:val="clear" w:color="auto" w:fill="FFFFFF"/>
                <w:suppressAutoHyphens/>
                <w:spacing w:line="276" w:lineRule="auto"/>
                <w:ind w:firstLine="567"/>
                <w:jc w:val="both"/>
                <w:textAlignment w:val="center"/>
                <w:rPr>
                  <w:rFonts w:eastAsia="Andale Sans UI" w:cs="Tahoma"/>
                  <w:szCs w:val="24"/>
                  <w:lang w:bidi="en-US"/>
                </w:rPr>
              </w:pPr>
              <w:r>
                <w:rPr>
                  <w:szCs w:val="24"/>
                </w:rPr>
                <w:t>Atliktas projekto antikorupcinis vertinimas.</w:t>
              </w:r>
            </w:p>
            <w:p>
              <w:pPr>
                <w:widowControl w:val="0"/>
                <w:suppressAutoHyphens/>
                <w:spacing w:line="23" w:lineRule="atLeast"/>
                <w:ind w:firstLine="567"/>
                <w:jc w:val="both"/>
                <w:rPr>
                  <w:rFonts w:eastAsia="Andale Sans UI" w:cs="Tahoma"/>
                  <w:color w:val="000000"/>
                  <w:szCs w:val="24"/>
                  <w:lang w:bidi="en-US"/>
                </w:rPr>
              </w:pPr>
              <w:r>
                <w:rPr>
                  <w:rFonts w:eastAsia="Andale Sans UI" w:cs="Tahoma"/>
                  <w:szCs w:val="24"/>
                  <w:lang w:bidi="en-US"/>
                </w:rPr>
                <w:t>Projektas skelbiamas Lietuvos Respublikos Seimo kanceliarijos teisės aktų informacinėje sistemoje (TAIS).</w:t>
              </w:r>
            </w:p>
            <w:p>
              <w:pPr>
                <w:widowControl w:val="0"/>
                <w:suppressAutoHyphens/>
                <w:spacing w:line="276" w:lineRule="auto"/>
                <w:ind w:firstLine="567"/>
                <w:jc w:val="both"/>
                <w:rPr>
                  <w:iCs/>
                  <w:szCs w:val="24"/>
                </w:rPr>
              </w:pPr>
              <w:r>
                <w:rPr>
                  <w:szCs w:val="24"/>
                </w:rPr>
                <w:t>Prašome derinančių institucijų atkreipti dėmesį į joms pagal kompetenciją priskirtinus ir projekte reglamentuotinus aspektus (pvz., sveikatos, higieninių sąlygų užtikrinimo, gaisrinės saugos, pritaikymo neįgaliesiems ir pan.) ir be kitų siūlymų pateikti siūlymus, kuriais būtų užtikrintas tinkamas slėptuvių, kolektyvinės apsaugos statinių ir priedangų funkcionavimas. P</w:t>
              </w:r>
              <w:r>
                <w:rPr>
                  <w:rFonts w:eastAsia="Andale Sans UI"/>
                  <w:szCs w:val="24"/>
                  <w:lang w:bidi="en-US"/>
                </w:rPr>
                <w:t xml:space="preserve">astabas, pasiūlymus dėl projekto nuostatų prašome teikti iki 2024 m. sausio 8 d. įskaitytinai. </w:t>
              </w:r>
              <w:r>
                <w:t xml:space="preserve">Atkreipiame dėmesį, kad </w:t>
              </w:r>
              <w:r>
                <w:rPr>
                  <w:rFonts w:eastAsia="Andale Sans UI"/>
                </w:rPr>
                <w:t xml:space="preserve">parengtam įsakymo projektui, paskelbtam </w:t>
              </w:r>
              <w:r>
                <w:rPr>
                  <w:rFonts w:eastAsia="Andale Sans UI" w:cs="Tahoma"/>
                  <w:lang w:bidi="en-US"/>
                </w:rPr>
                <w:t>TAIS</w:t>
              </w:r>
              <w:r>
                <w:rPr>
                  <w:rFonts w:eastAsia="Andale Sans UI"/>
                </w:rPr>
                <w:t>, pastabos ir pasiūlymai turi būti teikiami tik per šią informacinę sistemą.</w:t>
              </w:r>
              <w:r>
                <w:t xml:space="preserve"> </w:t>
              </w:r>
              <w:r>
                <w:rPr>
                  <w:iCs/>
                  <w:szCs w:val="24"/>
                </w:rPr>
                <w:t>Negavus argumentuotų pastabų ir pasiūlymų iki nustatytos datos, bus laikoma, kad projektui pritarta.</w:t>
              </w:r>
            </w:p>
            <w:p>
              <w:pPr>
                <w:widowControl w:val="0"/>
                <w:suppressAutoHyphens/>
                <w:spacing w:line="276" w:lineRule="auto"/>
                <w:ind w:firstLine="567"/>
                <w:jc w:val="both"/>
                <w:rPr>
                  <w:rFonts w:eastAsia="Andale Sans UI"/>
                  <w:color w:val="000000"/>
                  <w:lang w:bidi="en-US"/>
                </w:rPr>
              </w:pPr>
              <w:r>
                <w:rPr>
                  <w:rFonts w:eastAsia="Andale Sans UI" w:cs="Tahoma"/>
                  <w:szCs w:val="24"/>
                  <w:lang w:bidi="en-US"/>
                </w:rPr>
                <w:t>Projekto rengimą kuruoja Aplinkos ministerijos Statybos ir būsto politikos grupės (vadovas – Dainius Čergelis, tel. 8 616 98 137, el. p. dainius.cergelis@am.lt; vyresn. patarėja – Aleksandra Černiauskienė, tel. 8 695 64 684, el. p. aleksandra.cerniauskiene@am.lt) patarėjas Marius Rimkevičius (tel. 8 620 61 681, el. p. marius.rimkevicius@am.lt).</w:t>
              </w:r>
              <w:r>
                <w:rPr>
                  <w:rFonts w:eastAsia="Andale Sans UI"/>
                  <w:lang w:bidi="en-US"/>
                </w:rPr>
                <w:t xml:space="preserve"> </w:t>
              </w:r>
            </w:p>
            <w:p>
              <w:pPr>
                <w:tabs>
                  <w:tab w:val="left" w:pos="366"/>
                </w:tabs>
                <w:spacing w:line="276" w:lineRule="auto"/>
                <w:ind w:firstLine="567"/>
                <w:rPr>
                  <w:color w:val="000000"/>
                  <w:szCs w:val="24"/>
                  <w:lang w:eastAsia="lt-LT"/>
                </w:rPr>
              </w:pPr>
              <w:r>
                <w:rPr>
                  <w:color w:val="000000"/>
                  <w:szCs w:val="24"/>
                  <w:lang w:eastAsia="lt-LT"/>
                </w:rPr>
                <w:t xml:space="preserve">PRIDEDAMA: </w:t>
              </w:r>
            </w:p>
            <w:sdt>
              <w:sdtPr>
                <w:alias w:val="1 p."/>
                <w:tag w:val="part_d704ff695bbb464b90a20dd33b70f0d0"/>
                <w:lock w:val="sdtLocked"/>
                <w:richText/>
              </w:sdtPr>
              <w:sdtContent>
                <w:p>
                  <w:pPr>
                    <w:spacing w:line="276" w:lineRule="auto"/>
                    <w:ind w:firstLine="567"/>
                    <w:jc w:val="both"/>
                    <w:rPr>
                      <w:color w:val="000000"/>
                      <w:szCs w:val="24"/>
                      <w:lang w:eastAsia="lt-LT"/>
                    </w:rPr>
                  </w:pPr>
                  <w:sdt>
                    <w:sdtPr>
                      <w:alias w:val="Numeris"/>
                      <w:tag w:val="nr_d704ff695bbb464b90a20dd33b70f0d0"/>
                      <w:lock w:val="sdtLocked"/>
                      <w:richText/>
                    </w:sdtPr>
                    <w:sdtContent>
                      <w:r>
                        <w:rPr>
                          <w:color w:val="000000"/>
                          <w:szCs w:val="24"/>
                          <w:lang w:eastAsia="lt-LT"/>
                        </w:rPr>
                        <w:t>1</w:t>
                      </w:r>
                    </w:sdtContent>
                  </w:sdt>
                  <w:r>
                    <w:rPr>
                      <w:color w:val="000000"/>
                      <w:szCs w:val="24"/>
                      <w:lang w:eastAsia="lt-LT"/>
                    </w:rPr>
                    <w:t>. Aplinkos ministro įsakymo projektas ir reglamento projektas, 18 lapų;</w:t>
                  </w:r>
                </w:p>
              </w:sdtContent>
            </w:sdt>
            <w:sdt>
              <w:sdtPr>
                <w:alias w:val="2 p."/>
                <w:tag w:val="part_6f7ac7dd32994ef29003b8391d2a5b8f"/>
                <w:lock w:val="sdtLocked"/>
                <w:richText/>
              </w:sdtPr>
              <w:sdtContent>
                <w:p>
                  <w:pPr>
                    <w:ind w:firstLine="567"/>
                    <w:jc w:val="both"/>
                    <w:rPr>
                      <w:rFonts w:eastAsia="Andale Sans UI" w:cs="Tahoma"/>
                      <w:szCs w:val="24"/>
                      <w:lang w:bidi="en-US"/>
                    </w:rPr>
                  </w:pPr>
                  <w:sdt>
                    <w:sdtPr>
                      <w:alias w:val="Numeris"/>
                      <w:tag w:val="nr_6f7ac7dd32994ef29003b8391d2a5b8f"/>
                      <w:lock w:val="sdtLocked"/>
                      <w:richText/>
                    </w:sdtPr>
                    <w:sdtContent>
                      <w:r>
                        <w:rPr>
                          <w:rFonts w:eastAsia="Andale Sans UI" w:cs="Tahoma"/>
                          <w:szCs w:val="24"/>
                          <w:lang w:bidi="en-US"/>
                        </w:rPr>
                        <w:t>2</w:t>
                      </w:r>
                    </w:sdtContent>
                  </w:sdt>
                  <w:r>
                    <w:rPr>
                      <w:rFonts w:eastAsia="Andale Sans UI" w:cs="Tahoma"/>
                      <w:szCs w:val="24"/>
                      <w:lang w:bidi="en-US"/>
                    </w:rPr>
                    <w:t>. Numatomo teisinio reguliavimo poveikio vertinimo pažyma, 2 lapai;</w:t>
                  </w:r>
                </w:p>
              </w:sdtContent>
            </w:sdt>
            <w:sdt>
              <w:sdtPr>
                <w:alias w:val="3 p."/>
                <w:tag w:val="part_1d39007734574897b8104528f319a5d5"/>
                <w:lock w:val="sdtLocked"/>
                <w:richText/>
              </w:sdtPr>
              <w:sdtContent>
                <w:p>
                  <w:pPr>
                    <w:ind w:firstLine="567"/>
                    <w:jc w:val="both"/>
                    <w:textAlignment w:val="baseline"/>
                  </w:pPr>
                  <w:sdt>
                    <w:sdtPr>
                      <w:alias w:val="Numeris"/>
                      <w:tag w:val="nr_1d39007734574897b8104528f319a5d5"/>
                      <w:lock w:val="sdtLocked"/>
                      <w:richText/>
                    </w:sdtPr>
                    <w:sdtContent>
                      <w:r>
                        <w:rPr>
                          <w:rFonts w:eastAsia="Andale Sans UI" w:cs="Tahoma"/>
                          <w:szCs w:val="24"/>
                          <w:lang w:bidi="en-US"/>
                        </w:rPr>
                        <w:t>3</w:t>
                      </w:r>
                    </w:sdtContent>
                  </w:sdt>
                  <w:r>
                    <w:rPr>
                      <w:rFonts w:eastAsia="Andale Sans UI" w:cs="Tahoma"/>
                      <w:szCs w:val="24"/>
                      <w:lang w:bidi="en-US"/>
                    </w:rPr>
                    <w:t xml:space="preserve">. </w:t>
                  </w:r>
                  <w:r>
                    <w:rPr>
                      <w:rFonts w:eastAsia="Andale Sans UI" w:cs="Tahoma"/>
                      <w:color w:val="000000"/>
                      <w:szCs w:val="24"/>
                      <w:lang w:bidi="en-US"/>
                    </w:rPr>
                    <w:t>Antikorupcinio vertinimo pažyma, 5 lapai.</w:t>
                  </w:r>
                </w:p>
                <w:p>
                  <w:pPr>
                    <w:jc w:val="both"/>
                    <w:textAlignment w:val="baseline"/>
                  </w:pPr>
                </w:p>
                <w:p>
                  <w:pPr>
                    <w:jc w:val="both"/>
                    <w:textAlignment w:val="baseline"/>
                  </w:pPr>
                </w:p>
                <w:p>
                  <w:pPr>
                    <w:jc w:val="both"/>
                    <w:textAlignment w:val="baseline"/>
                  </w:pPr>
                </w:p>
              </w:sdtContent>
            </w:sdt>
          </w:sdtContent>
        </w:sdt>
      </w:sdtContent>
    </w:sdt>
    <w:sdt>
      <w:sdtPr>
        <w:alias w:val="lentele"/>
        <w:tag w:val="part_31536f4bf890408eb0f456fe8fd44298"/>
        <w:lock w:val="sdtLocked"/>
        <w:richText/>
      </w:sdtPr>
      <w:sdtContent>
        <w:tbl>
          <w:tblPr>
            <w:tblW w:w="9845" w:type="dxa"/>
            <w:tblInd w:w="8" w:type="dxa"/>
            <w:tblLayout w:type="fixed"/>
            <w:tblCellMar>
              <w:left w:w="0" w:type="dxa"/>
              <w:right w:w="0" w:type="dxa"/>
            </w:tblCellMar>
            <w:tblLook w:val="0000" w:firstRow="0" w:lastRow="0" w:firstColumn="0" w:lastColumn="0" w:noHBand="0" w:noVBand="0"/>
          </w:tblPr>
          <w:tblGrid>
            <w:gridCol w:w="4918"/>
            <w:gridCol w:w="4927"/>
          </w:tblGrid>
          <w:tr>
            <w:trPr>
              <w:trHeight w:val="340"/>
            </w:trPr>
            <w:tc>
              <w:tcPr>
                <w:tcW w:w="4817" w:type="dxa"/>
                <w:vAlign w:val="bottom"/>
              </w:tcPr>
              <w:p>
                <w:pPr>
                  <w:suppressLineNumbers/>
                  <w:spacing w:line="276" w:lineRule="auto"/>
                  <w:jc w:val="both"/>
                  <w:rPr>
                    <w:rFonts w:eastAsia="Andale Sans UI" w:cs="Tahoma"/>
                    <w:szCs w:val="24"/>
                    <w:lang w:bidi="en-US"/>
                  </w:rPr>
                </w:pPr>
                <w:r>
                  <w:rPr>
                    <w:rFonts w:eastAsia="Andale Sans UI" w:cs="Tahoma"/>
                    <w:szCs w:val="24"/>
                    <w:lang w:bidi="en-US"/>
                  </w:rPr>
                  <w:t>Aplinkos viceministrė</w:t>
                </w:r>
              </w:p>
            </w:tc>
            <w:tc>
              <w:tcPr>
                <w:tcW w:w="4826" w:type="dxa"/>
                <w:vAlign w:val="bottom"/>
              </w:tcPr>
              <w:p>
                <w:pPr>
                  <w:spacing w:line="276" w:lineRule="auto"/>
                  <w:jc w:val="right"/>
                </w:pPr>
                <w:r>
                  <w:t>Daiva Matusevičė</w:t>
                </w:r>
              </w:p>
            </w:tc>
          </w:tr>
        </w:tbl>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p>
          <w:pPr>
            <w:jc w:val="both"/>
            <w:textAlignment w:val="baseline"/>
          </w:pPr>
        </w:p>
      </w:sdtContent>
    </w:sdt>
    <w:sdt>
      <w:sdtPr>
        <w:alias w:val="pastraipa"/>
        <w:tag w:val="part_d06b0b00cd81453e94b9773707b1f419"/>
        <w:lock w:val="sdtLocked"/>
        <w:richText/>
      </w:sdtPr>
      <w:sdtContent>
        <w:p>
          <w:pPr>
            <w:jc w:val="both"/>
            <w:textAlignment w:val="baseline"/>
            <w:rPr>
              <w:b/>
              <w:bCs/>
              <w:caps/>
              <w:szCs w:val="24"/>
              <w:lang w:eastAsia="lt-LT"/>
            </w:rPr>
          </w:pPr>
          <w:r>
            <w:t>M. Rimkevičius, tel. 8 620 61 681, el. p. marius.rimkevicius@am.lt</w:t>
          </w:r>
        </w:p>
        <w:p>
          <w:pPr>
            <w:jc w:val="both"/>
            <w:textAlignment w:val="baseline"/>
            <w:rPr>
              <w:b/>
              <w:bCs/>
              <w:caps/>
              <w:szCs w:val="24"/>
              <w:lang w:eastAsia="lt-LT"/>
            </w:rPr>
          </w:pPr>
        </w:p>
        <w:p>
          <w:pPr>
            <w:jc w:val="center"/>
            <w:textAlignment w:val="baseline"/>
            <w:rPr>
              <w:b/>
              <w:bCs/>
              <w:caps/>
              <w:szCs w:val="24"/>
              <w:lang w:eastAsia="lt-LT"/>
            </w:rPr>
          </w:pPr>
        </w:p>
        <w:p>
          <w:pPr>
            <w:jc w:val="center"/>
            <w:textAlignment w:val="baseline"/>
            <w:rPr>
              <w:b/>
              <w:bCs/>
              <w:caps/>
              <w:szCs w:val="24"/>
              <w:lang w:eastAsia="lt-LT"/>
            </w:rPr>
          </w:pPr>
        </w:p>
        <w:sdt>
          <w:sdtPr>
            <w:alias w:val="skirsnis"/>
            <w:tag w:val="part_2ab8bf068cbe47899330f3e14bfab798"/>
            <w:lock w:val="sdtLocked"/>
            <w:richText/>
          </w:sdtPr>
          <w:sdtContent>
            <w:p>
              <w:pPr>
                <w:jc w:val="center"/>
                <w:textAlignment w:val="baseline"/>
                <w:rPr>
                  <w:b/>
                  <w:bCs/>
                  <w:caps/>
                  <w:szCs w:val="24"/>
                  <w:lang w:eastAsia="lt-LT"/>
                </w:rPr>
              </w:pPr>
              <w:sdt>
                <w:sdtPr>
                  <w:alias w:val="Pavadinimas"/>
                  <w:tag w:val="title_2ab8bf068cbe47899330f3e14bfab798"/>
                  <w:lock w:val="sdtLocked"/>
                  <w:richText/>
                </w:sdtPr>
                <w:sdtContent>
                  <w:r>
                    <w:rPr>
                      <w:b/>
                      <w:bCs/>
                      <w:caps/>
                      <w:szCs w:val="24"/>
                      <w:lang w:eastAsia="lt-LT"/>
                    </w:rPr>
                    <w:t>ADRESATŲ SĄRAŠAS</w:t>
                  </w:r>
                </w:sdtContent>
              </w:sdt>
            </w:p>
            <w:p>
              <w:pPr>
                <w:jc w:val="center"/>
                <w:textAlignment w:val="baseline"/>
                <w:rPr>
                  <w:szCs w:val="24"/>
                  <w:lang w:eastAsia="lt-LT"/>
                </w:rPr>
              </w:pPr>
            </w:p>
            <w:sdt>
              <w:sdtPr>
                <w:alias w:val="1 p."/>
                <w:tag w:val="part_b62a39b53cab41b89ccc65fcbb7f73ea"/>
                <w:lock w:val="sdtLocked"/>
                <w:richText/>
              </w:sdtPr>
              <w:sdtContent>
                <w:p>
                  <w:pPr>
                    <w:shd w:val="clear" w:color="auto" w:fill="FFFFFF"/>
                    <w:jc w:val="both"/>
                    <w:rPr>
                      <w:color w:val="242424"/>
                      <w:szCs w:val="24"/>
                      <w:lang w:eastAsia="lt-LT"/>
                    </w:rPr>
                  </w:pPr>
                  <w:sdt>
                    <w:sdtPr>
                      <w:alias w:val="Numeris"/>
                      <w:tag w:val="nr_b62a39b53cab41b89ccc65fcbb7f73ea"/>
                      <w:lock w:val="sdtLocked"/>
                      <w:richText/>
                    </w:sdtPr>
                    <w:sdtContent>
                      <w:r>
                        <w:rPr>
                          <w:color w:val="242424"/>
                          <w:szCs w:val="24"/>
                          <w:bdr w:val="none" w:sz="0" w:space="0" w:color="auto" w:frame="1"/>
                          <w:lang w:eastAsia="lt-LT"/>
                        </w:rPr>
                        <w:t>1</w:t>
                      </w:r>
                    </w:sdtContent>
                  </w:sdt>
                  <w:r>
                    <w:rPr>
                      <w:color w:val="242424"/>
                      <w:szCs w:val="24"/>
                      <w:bdr w:val="none" w:sz="0" w:space="0" w:color="auto" w:frame="1"/>
                      <w:lang w:eastAsia="lt-LT"/>
                    </w:rPr>
                    <w:t>. Lietuvos Respublikos Seimo kanceliarija</w:t>
                  </w:r>
                </w:p>
              </w:sdtContent>
            </w:sdt>
            <w:sdt>
              <w:sdtPr>
                <w:alias w:val="2 p."/>
                <w:tag w:val="part_929a791dd1004c4da2d1e6f6a302c18a"/>
                <w:lock w:val="sdtLocked"/>
                <w:richText/>
              </w:sdtPr>
              <w:sdtContent>
                <w:p>
                  <w:pPr>
                    <w:shd w:val="clear" w:color="auto" w:fill="FFFFFF"/>
                    <w:jc w:val="both"/>
                    <w:rPr>
                      <w:color w:val="242424"/>
                      <w:szCs w:val="24"/>
                      <w:bdr w:val="none" w:sz="0" w:space="0" w:color="auto" w:frame="1"/>
                      <w:lang w:eastAsia="lt-LT"/>
                    </w:rPr>
                  </w:pPr>
                  <w:sdt>
                    <w:sdtPr>
                      <w:alias w:val="Numeris"/>
                      <w:tag w:val="nr_929a791dd1004c4da2d1e6f6a302c18a"/>
                      <w:lock w:val="sdtLocked"/>
                      <w:richText/>
                    </w:sdtPr>
                    <w:sdtContent>
                      <w:r>
                        <w:rPr>
                          <w:color w:val="242424"/>
                          <w:szCs w:val="24"/>
                          <w:bdr w:val="none" w:sz="0" w:space="0" w:color="auto" w:frame="1"/>
                          <w:lang w:eastAsia="lt-LT"/>
                        </w:rPr>
                        <w:t>2</w:t>
                      </w:r>
                    </w:sdtContent>
                  </w:sdt>
                  <w:r>
                    <w:rPr>
                      <w:color w:val="242424"/>
                      <w:szCs w:val="24"/>
                      <w:bdr w:val="none" w:sz="0" w:space="0" w:color="auto" w:frame="1"/>
                      <w:lang w:eastAsia="lt-LT"/>
                    </w:rPr>
                    <w:t>. Ekonomikos ir inovacijų ministerija</w:t>
                  </w:r>
                </w:p>
              </w:sdtContent>
            </w:sdt>
            <w:sdt>
              <w:sdtPr>
                <w:alias w:val="3 p."/>
                <w:tag w:val="part_af6a4413548a4766820394528eaad356"/>
                <w:lock w:val="sdtLocked"/>
                <w:richText/>
              </w:sdtPr>
              <w:sdtContent>
                <w:p>
                  <w:pPr>
                    <w:shd w:val="clear" w:color="auto" w:fill="FFFFFF"/>
                    <w:jc w:val="both"/>
                    <w:rPr>
                      <w:color w:val="242424"/>
                      <w:szCs w:val="24"/>
                      <w:bdr w:val="none" w:sz="0" w:space="0" w:color="auto" w:frame="1"/>
                      <w:lang w:eastAsia="lt-LT"/>
                    </w:rPr>
                  </w:pPr>
                  <w:sdt>
                    <w:sdtPr>
                      <w:alias w:val="Numeris"/>
                      <w:tag w:val="nr_af6a4413548a4766820394528eaad356"/>
                      <w:lock w:val="sdtLocked"/>
                      <w:richText/>
                    </w:sdtPr>
                    <w:sdtContent>
                      <w:r>
                        <w:rPr>
                          <w:color w:val="242424"/>
                          <w:szCs w:val="24"/>
                          <w:bdr w:val="none" w:sz="0" w:space="0" w:color="auto" w:frame="1"/>
                          <w:lang w:eastAsia="lt-LT"/>
                        </w:rPr>
                        <w:t>3</w:t>
                      </w:r>
                    </w:sdtContent>
                  </w:sdt>
                  <w:r>
                    <w:rPr>
                      <w:color w:val="242424"/>
                      <w:szCs w:val="24"/>
                      <w:bdr w:val="none" w:sz="0" w:space="0" w:color="auto" w:frame="1"/>
                      <w:lang w:eastAsia="lt-LT"/>
                    </w:rPr>
                    <w:t>. Energetikos ministerija</w:t>
                  </w:r>
                </w:p>
              </w:sdtContent>
            </w:sdt>
            <w:sdt>
              <w:sdtPr>
                <w:alias w:val="4 p."/>
                <w:tag w:val="part_39eee239f3f14f6599f87739f5ec3518"/>
                <w:lock w:val="sdtLocked"/>
                <w:richText/>
              </w:sdtPr>
              <w:sdtContent>
                <w:p>
                  <w:pPr>
                    <w:shd w:val="clear" w:color="auto" w:fill="FFFFFF"/>
                    <w:jc w:val="both"/>
                    <w:rPr>
                      <w:color w:val="242424"/>
                      <w:szCs w:val="24"/>
                      <w:bdr w:val="none" w:sz="0" w:space="0" w:color="auto" w:frame="1"/>
                      <w:lang w:eastAsia="lt-LT"/>
                    </w:rPr>
                  </w:pPr>
                  <w:sdt>
                    <w:sdtPr>
                      <w:alias w:val="Numeris"/>
                      <w:tag w:val="nr_39eee239f3f14f6599f87739f5ec3518"/>
                      <w:lock w:val="sdtLocked"/>
                      <w:richText/>
                    </w:sdtPr>
                    <w:sdtContent>
                      <w:r>
                        <w:rPr>
                          <w:color w:val="242424"/>
                          <w:szCs w:val="24"/>
                          <w:bdr w:val="none" w:sz="0" w:space="0" w:color="auto" w:frame="1"/>
                          <w:lang w:eastAsia="lt-LT"/>
                        </w:rPr>
                        <w:t>4</w:t>
                      </w:r>
                    </w:sdtContent>
                  </w:sdt>
                  <w:r>
                    <w:rPr>
                      <w:color w:val="242424"/>
                      <w:szCs w:val="24"/>
                      <w:bdr w:val="none" w:sz="0" w:space="0" w:color="auto" w:frame="1"/>
                      <w:lang w:eastAsia="lt-LT"/>
                    </w:rPr>
                    <w:t>. Finansų ministerija</w:t>
                  </w:r>
                </w:p>
              </w:sdtContent>
            </w:sdt>
            <w:sdt>
              <w:sdtPr>
                <w:alias w:val="5 p."/>
                <w:tag w:val="part_5dc0904ad3254ea8a5eaeac3343b2f05"/>
                <w:lock w:val="sdtLocked"/>
                <w:richText/>
              </w:sdtPr>
              <w:sdtContent>
                <w:p>
                  <w:pPr>
                    <w:shd w:val="clear" w:color="auto" w:fill="FFFFFF"/>
                    <w:jc w:val="both"/>
                    <w:rPr>
                      <w:color w:val="242424"/>
                      <w:szCs w:val="24"/>
                      <w:bdr w:val="none" w:sz="0" w:space="0" w:color="auto" w:frame="1"/>
                      <w:lang w:eastAsia="lt-LT"/>
                    </w:rPr>
                  </w:pPr>
                  <w:sdt>
                    <w:sdtPr>
                      <w:alias w:val="Numeris"/>
                      <w:tag w:val="nr_5dc0904ad3254ea8a5eaeac3343b2f05"/>
                      <w:lock w:val="sdtLocked"/>
                      <w:richText/>
                    </w:sdtPr>
                    <w:sdtContent>
                      <w:r>
                        <w:rPr>
                          <w:color w:val="242424"/>
                          <w:szCs w:val="24"/>
                          <w:bdr w:val="none" w:sz="0" w:space="0" w:color="auto" w:frame="1"/>
                          <w:lang w:eastAsia="lt-LT"/>
                        </w:rPr>
                        <w:t>5</w:t>
                      </w:r>
                    </w:sdtContent>
                  </w:sdt>
                  <w:r>
                    <w:rPr>
                      <w:color w:val="242424"/>
                      <w:szCs w:val="24"/>
                      <w:bdr w:val="none" w:sz="0" w:space="0" w:color="auto" w:frame="1"/>
                      <w:lang w:eastAsia="lt-LT"/>
                    </w:rPr>
                    <w:t>. Krašto apsaugos ministerija</w:t>
                  </w:r>
                </w:p>
              </w:sdtContent>
            </w:sdt>
            <w:sdt>
              <w:sdtPr>
                <w:alias w:val="6 p."/>
                <w:tag w:val="part_8e62cb8fdea747d4ab100e5c3c9bcc5c"/>
                <w:lock w:val="sdtLocked"/>
                <w:richText/>
              </w:sdtPr>
              <w:sdtContent>
                <w:p>
                  <w:pPr>
                    <w:shd w:val="clear" w:color="auto" w:fill="FFFFFF"/>
                    <w:jc w:val="both"/>
                    <w:rPr>
                      <w:color w:val="242424"/>
                      <w:szCs w:val="24"/>
                      <w:bdr w:val="none" w:sz="0" w:space="0" w:color="auto" w:frame="1"/>
                      <w:lang w:eastAsia="lt-LT"/>
                    </w:rPr>
                  </w:pPr>
                  <w:sdt>
                    <w:sdtPr>
                      <w:alias w:val="Numeris"/>
                      <w:tag w:val="nr_8e62cb8fdea747d4ab100e5c3c9bcc5c"/>
                      <w:lock w:val="sdtLocked"/>
                      <w:richText/>
                    </w:sdtPr>
                    <w:sdtContent>
                      <w:r>
                        <w:rPr>
                          <w:color w:val="242424"/>
                          <w:szCs w:val="24"/>
                          <w:bdr w:val="none" w:sz="0" w:space="0" w:color="auto" w:frame="1"/>
                          <w:lang w:eastAsia="lt-LT"/>
                        </w:rPr>
                        <w:t>6</w:t>
                      </w:r>
                    </w:sdtContent>
                  </w:sdt>
                  <w:r>
                    <w:rPr>
                      <w:color w:val="242424"/>
                      <w:szCs w:val="24"/>
                      <w:bdr w:val="none" w:sz="0" w:space="0" w:color="auto" w:frame="1"/>
                      <w:lang w:eastAsia="lt-LT"/>
                    </w:rPr>
                    <w:t>. Kultūros ministerija</w:t>
                  </w:r>
                </w:p>
              </w:sdtContent>
            </w:sdt>
            <w:sdt>
              <w:sdtPr>
                <w:alias w:val="7 p."/>
                <w:tag w:val="part_1326a40831bc4fc78aad5ef1d2ddb720"/>
                <w:lock w:val="sdtLocked"/>
                <w:richText/>
              </w:sdtPr>
              <w:sdtContent>
                <w:p>
                  <w:pPr>
                    <w:shd w:val="clear" w:color="auto" w:fill="FFFFFF"/>
                    <w:jc w:val="both"/>
                    <w:rPr>
                      <w:color w:val="242424"/>
                      <w:szCs w:val="24"/>
                      <w:bdr w:val="none" w:sz="0" w:space="0" w:color="auto" w:frame="1"/>
                      <w:lang w:eastAsia="lt-LT"/>
                    </w:rPr>
                  </w:pPr>
                  <w:sdt>
                    <w:sdtPr>
                      <w:alias w:val="Numeris"/>
                      <w:tag w:val="nr_1326a40831bc4fc78aad5ef1d2ddb720"/>
                      <w:lock w:val="sdtLocked"/>
                      <w:richText/>
                    </w:sdtPr>
                    <w:sdtContent>
                      <w:r>
                        <w:rPr>
                          <w:color w:val="242424"/>
                          <w:szCs w:val="24"/>
                          <w:bdr w:val="none" w:sz="0" w:space="0" w:color="auto" w:frame="1"/>
                          <w:lang w:eastAsia="lt-LT"/>
                        </w:rPr>
                        <w:t>7</w:t>
                      </w:r>
                    </w:sdtContent>
                  </w:sdt>
                  <w:r>
                    <w:rPr>
                      <w:color w:val="242424"/>
                      <w:szCs w:val="24"/>
                      <w:bdr w:val="none" w:sz="0" w:space="0" w:color="auto" w:frame="1"/>
                      <w:lang w:eastAsia="lt-LT"/>
                    </w:rPr>
                    <w:t>. Socialinės apsaugos ir darbo ministerija</w:t>
                  </w:r>
                </w:p>
              </w:sdtContent>
            </w:sdt>
            <w:sdt>
              <w:sdtPr>
                <w:alias w:val="8 p."/>
                <w:tag w:val="part_12729e22384842bfaac1568a92eed3cf"/>
                <w:lock w:val="sdtLocked"/>
                <w:richText/>
              </w:sdtPr>
              <w:sdtContent>
                <w:p>
                  <w:pPr>
                    <w:shd w:val="clear" w:color="auto" w:fill="FFFFFF"/>
                    <w:jc w:val="both"/>
                    <w:rPr>
                      <w:color w:val="242424"/>
                      <w:szCs w:val="24"/>
                      <w:bdr w:val="none" w:sz="0" w:space="0" w:color="auto" w:frame="1"/>
                      <w:lang w:eastAsia="lt-LT"/>
                    </w:rPr>
                  </w:pPr>
                  <w:sdt>
                    <w:sdtPr>
                      <w:alias w:val="Numeris"/>
                      <w:tag w:val="nr_12729e22384842bfaac1568a92eed3cf"/>
                      <w:lock w:val="sdtLocked"/>
                      <w:richText/>
                    </w:sdtPr>
                    <w:sdtContent>
                      <w:r>
                        <w:rPr>
                          <w:color w:val="242424"/>
                          <w:szCs w:val="24"/>
                          <w:bdr w:val="none" w:sz="0" w:space="0" w:color="auto" w:frame="1"/>
                          <w:lang w:eastAsia="lt-LT"/>
                        </w:rPr>
                        <w:t>8</w:t>
                      </w:r>
                    </w:sdtContent>
                  </w:sdt>
                  <w:r>
                    <w:rPr>
                      <w:color w:val="242424"/>
                      <w:szCs w:val="24"/>
                      <w:bdr w:val="none" w:sz="0" w:space="0" w:color="auto" w:frame="1"/>
                      <w:lang w:eastAsia="lt-LT"/>
                    </w:rPr>
                    <w:t>. Susisiekimo ministerija</w:t>
                  </w:r>
                </w:p>
              </w:sdtContent>
            </w:sdt>
            <w:sdt>
              <w:sdtPr>
                <w:alias w:val="9 p."/>
                <w:tag w:val="part_b94d9909725b47e39ddb8cb63db6b1a2"/>
                <w:lock w:val="sdtLocked"/>
                <w:richText/>
              </w:sdtPr>
              <w:sdtContent>
                <w:p>
                  <w:pPr>
                    <w:shd w:val="clear" w:color="auto" w:fill="FFFFFF"/>
                    <w:jc w:val="both"/>
                    <w:rPr>
                      <w:color w:val="242424"/>
                      <w:szCs w:val="24"/>
                      <w:bdr w:val="none" w:sz="0" w:space="0" w:color="auto" w:frame="1"/>
                      <w:lang w:eastAsia="lt-LT"/>
                    </w:rPr>
                  </w:pPr>
                  <w:sdt>
                    <w:sdtPr>
                      <w:alias w:val="Numeris"/>
                      <w:tag w:val="nr_b94d9909725b47e39ddb8cb63db6b1a2"/>
                      <w:lock w:val="sdtLocked"/>
                      <w:richText/>
                    </w:sdtPr>
                    <w:sdtContent>
                      <w:r>
                        <w:rPr>
                          <w:color w:val="242424"/>
                          <w:szCs w:val="24"/>
                          <w:bdr w:val="none" w:sz="0" w:space="0" w:color="auto" w:frame="1"/>
                          <w:lang w:eastAsia="lt-LT"/>
                        </w:rPr>
                        <w:t>9</w:t>
                      </w:r>
                    </w:sdtContent>
                  </w:sdt>
                  <w:r>
                    <w:rPr>
                      <w:color w:val="242424"/>
                      <w:szCs w:val="24"/>
                      <w:bdr w:val="none" w:sz="0" w:space="0" w:color="auto" w:frame="1"/>
                      <w:lang w:eastAsia="lt-LT"/>
                    </w:rPr>
                    <w:t>. Sveikatos apsaugos ministerija</w:t>
                  </w:r>
                </w:p>
              </w:sdtContent>
            </w:sdt>
            <w:sdt>
              <w:sdtPr>
                <w:alias w:val="10 p."/>
                <w:tag w:val="part_49e439136ede4b89921367c327d66e1d"/>
                <w:lock w:val="sdtLocked"/>
                <w:richText/>
              </w:sdtPr>
              <w:sdtContent>
                <w:p>
                  <w:pPr>
                    <w:shd w:val="clear" w:color="auto" w:fill="FFFFFF"/>
                    <w:jc w:val="both"/>
                    <w:rPr>
                      <w:color w:val="242424"/>
                      <w:szCs w:val="24"/>
                      <w:bdr w:val="none" w:sz="0" w:space="0" w:color="auto" w:frame="1"/>
                      <w:lang w:eastAsia="lt-LT"/>
                    </w:rPr>
                  </w:pPr>
                  <w:sdt>
                    <w:sdtPr>
                      <w:alias w:val="Numeris"/>
                      <w:tag w:val="nr_49e439136ede4b89921367c327d66e1d"/>
                      <w:lock w:val="sdtLocked"/>
                      <w:richText/>
                    </w:sdtPr>
                    <w:sdtContent>
                      <w:r>
                        <w:rPr>
                          <w:color w:val="242424"/>
                          <w:szCs w:val="24"/>
                          <w:bdr w:val="none" w:sz="0" w:space="0" w:color="auto" w:frame="1"/>
                          <w:lang w:eastAsia="lt-LT"/>
                        </w:rPr>
                        <w:t>10</w:t>
                      </w:r>
                    </w:sdtContent>
                  </w:sdt>
                  <w:r>
                    <w:rPr>
                      <w:color w:val="242424"/>
                      <w:szCs w:val="24"/>
                      <w:bdr w:val="none" w:sz="0" w:space="0" w:color="auto" w:frame="1"/>
                      <w:lang w:eastAsia="lt-LT"/>
                    </w:rPr>
                    <w:t>. Švietimo, mokslo ir sporto ministerija</w:t>
                  </w:r>
                </w:p>
              </w:sdtContent>
            </w:sdt>
            <w:sdt>
              <w:sdtPr>
                <w:alias w:val="11 p."/>
                <w:tag w:val="part_0ccf5cd761ca44b6b9ecb32819302315"/>
                <w:lock w:val="sdtLocked"/>
                <w:richText/>
              </w:sdtPr>
              <w:sdtContent>
                <w:p>
                  <w:pPr>
                    <w:shd w:val="clear" w:color="auto" w:fill="FFFFFF"/>
                    <w:jc w:val="both"/>
                    <w:rPr>
                      <w:color w:val="242424"/>
                      <w:szCs w:val="24"/>
                      <w:bdr w:val="none" w:sz="0" w:space="0" w:color="auto" w:frame="1"/>
                      <w:lang w:eastAsia="lt-LT"/>
                    </w:rPr>
                  </w:pPr>
                  <w:sdt>
                    <w:sdtPr>
                      <w:alias w:val="Numeris"/>
                      <w:tag w:val="nr_0ccf5cd761ca44b6b9ecb32819302315"/>
                      <w:lock w:val="sdtLocked"/>
                      <w:richText/>
                    </w:sdtPr>
                    <w:sdtContent>
                      <w:r>
                        <w:rPr>
                          <w:color w:val="242424"/>
                          <w:szCs w:val="24"/>
                          <w:bdr w:val="none" w:sz="0" w:space="0" w:color="auto" w:frame="1"/>
                          <w:lang w:eastAsia="lt-LT"/>
                        </w:rPr>
                        <w:t>11</w:t>
                      </w:r>
                    </w:sdtContent>
                  </w:sdt>
                  <w:r>
                    <w:rPr>
                      <w:color w:val="242424"/>
                      <w:szCs w:val="24"/>
                      <w:bdr w:val="none" w:sz="0" w:space="0" w:color="auto" w:frame="1"/>
                      <w:lang w:eastAsia="lt-LT"/>
                    </w:rPr>
                    <w:t>. Teisingumo ministerija</w:t>
                  </w:r>
                </w:p>
              </w:sdtContent>
            </w:sdt>
            <w:sdt>
              <w:sdtPr>
                <w:alias w:val="12 p."/>
                <w:tag w:val="part_40b8c7ca3193478ba56f9dc46ecbf7fb"/>
                <w:lock w:val="sdtLocked"/>
                <w:richText/>
              </w:sdtPr>
              <w:sdtContent>
                <w:p>
                  <w:pPr>
                    <w:shd w:val="clear" w:color="auto" w:fill="FFFFFF"/>
                    <w:jc w:val="both"/>
                    <w:rPr>
                      <w:color w:val="242424"/>
                      <w:szCs w:val="24"/>
                      <w:bdr w:val="none" w:sz="0" w:space="0" w:color="auto" w:frame="1"/>
                      <w:lang w:eastAsia="lt-LT"/>
                    </w:rPr>
                  </w:pPr>
                  <w:sdt>
                    <w:sdtPr>
                      <w:alias w:val="Numeris"/>
                      <w:tag w:val="nr_40b8c7ca3193478ba56f9dc46ecbf7fb"/>
                      <w:lock w:val="sdtLocked"/>
                      <w:richText/>
                    </w:sdtPr>
                    <w:sdtContent>
                      <w:r>
                        <w:rPr>
                          <w:color w:val="242424"/>
                          <w:szCs w:val="24"/>
                          <w:bdr w:val="none" w:sz="0" w:space="0" w:color="auto" w:frame="1"/>
                          <w:lang w:eastAsia="lt-LT"/>
                        </w:rPr>
                        <w:t>12</w:t>
                      </w:r>
                    </w:sdtContent>
                  </w:sdt>
                  <w:r>
                    <w:rPr>
                      <w:color w:val="242424"/>
                      <w:szCs w:val="24"/>
                      <w:bdr w:val="none" w:sz="0" w:space="0" w:color="auto" w:frame="1"/>
                      <w:lang w:eastAsia="lt-LT"/>
                    </w:rPr>
                    <w:t>. Užsienio reikalų ministerija</w:t>
                  </w:r>
                </w:p>
              </w:sdtContent>
            </w:sdt>
            <w:sdt>
              <w:sdtPr>
                <w:alias w:val="13 p."/>
                <w:tag w:val="part_e197b9dd90e84c80af5b4b8e92ad997f"/>
                <w:lock w:val="sdtLocked"/>
                <w:richText/>
              </w:sdtPr>
              <w:sdtContent>
                <w:p>
                  <w:pPr>
                    <w:shd w:val="clear" w:color="auto" w:fill="FFFFFF"/>
                    <w:jc w:val="both"/>
                    <w:rPr>
                      <w:color w:val="242424"/>
                      <w:szCs w:val="24"/>
                      <w:bdr w:val="none" w:sz="0" w:space="0" w:color="auto" w:frame="1"/>
                      <w:lang w:eastAsia="lt-LT"/>
                    </w:rPr>
                  </w:pPr>
                  <w:sdt>
                    <w:sdtPr>
                      <w:alias w:val="Numeris"/>
                      <w:tag w:val="nr_e197b9dd90e84c80af5b4b8e92ad997f"/>
                      <w:lock w:val="sdtLocked"/>
                      <w:richText/>
                    </w:sdtPr>
                    <w:sdtContent>
                      <w:r>
                        <w:rPr>
                          <w:color w:val="242424"/>
                          <w:szCs w:val="24"/>
                          <w:bdr w:val="none" w:sz="0" w:space="0" w:color="auto" w:frame="1"/>
                          <w:lang w:eastAsia="lt-LT"/>
                        </w:rPr>
                        <w:t>13</w:t>
                      </w:r>
                    </w:sdtContent>
                  </w:sdt>
                  <w:r>
                    <w:rPr>
                      <w:color w:val="242424"/>
                      <w:szCs w:val="24"/>
                      <w:bdr w:val="none" w:sz="0" w:space="0" w:color="auto" w:frame="1"/>
                      <w:lang w:eastAsia="lt-LT"/>
                    </w:rPr>
                    <w:t>. Vidaus reikalų ministerija</w:t>
                  </w:r>
                </w:p>
              </w:sdtContent>
            </w:sdt>
            <w:sdt>
              <w:sdtPr>
                <w:alias w:val="14 p."/>
                <w:tag w:val="part_b4a7060799634575a306442d43465487"/>
                <w:lock w:val="sdtLocked"/>
                <w:richText/>
              </w:sdtPr>
              <w:sdtContent>
                <w:p>
                  <w:pPr>
                    <w:shd w:val="clear" w:color="auto" w:fill="FFFFFF"/>
                    <w:jc w:val="both"/>
                    <w:rPr>
                      <w:color w:val="242424"/>
                      <w:szCs w:val="24"/>
                      <w:bdr w:val="none" w:sz="0" w:space="0" w:color="auto" w:frame="1"/>
                      <w:lang w:eastAsia="lt-LT"/>
                    </w:rPr>
                  </w:pPr>
                  <w:sdt>
                    <w:sdtPr>
                      <w:alias w:val="Numeris"/>
                      <w:tag w:val="nr_b4a7060799634575a306442d43465487"/>
                      <w:lock w:val="sdtLocked"/>
                      <w:richText/>
                    </w:sdtPr>
                    <w:sdtContent>
                      <w:r>
                        <w:rPr>
                          <w:color w:val="242424"/>
                          <w:szCs w:val="24"/>
                          <w:bdr w:val="none" w:sz="0" w:space="0" w:color="auto" w:frame="1"/>
                          <w:lang w:eastAsia="lt-LT"/>
                        </w:rPr>
                        <w:t>14</w:t>
                      </w:r>
                    </w:sdtContent>
                  </w:sdt>
                  <w:r>
                    <w:rPr>
                      <w:color w:val="242424"/>
                      <w:szCs w:val="24"/>
                      <w:bdr w:val="none" w:sz="0" w:space="0" w:color="auto" w:frame="1"/>
                      <w:lang w:eastAsia="lt-LT"/>
                    </w:rPr>
                    <w:t>. Žemės ūkio ministerija</w:t>
                  </w:r>
                </w:p>
              </w:sdtContent>
            </w:sdt>
            <w:sdt>
              <w:sdtPr>
                <w:alias w:val="15 p."/>
                <w:tag w:val="part_b1e4862dffdf4c1fbd57e6466b4095a3"/>
                <w:lock w:val="sdtLocked"/>
                <w:richText/>
              </w:sdtPr>
              <w:sdtContent>
                <w:p>
                  <w:pPr>
                    <w:shd w:val="clear" w:color="auto" w:fill="FFFFFF"/>
                    <w:jc w:val="both"/>
                    <w:rPr>
                      <w:color w:val="242424"/>
                      <w:szCs w:val="24"/>
                      <w:lang w:eastAsia="lt-LT"/>
                    </w:rPr>
                  </w:pPr>
                  <w:sdt>
                    <w:sdtPr>
                      <w:alias w:val="Numeris"/>
                      <w:tag w:val="nr_b1e4862dffdf4c1fbd57e6466b4095a3"/>
                      <w:lock w:val="sdtLocked"/>
                      <w:richText/>
                    </w:sdtPr>
                    <w:sdtContent>
                      <w:r>
                        <w:rPr>
                          <w:color w:val="242424"/>
                          <w:szCs w:val="24"/>
                          <w:bdr w:val="none" w:sz="0" w:space="0" w:color="auto" w:frame="1"/>
                          <w:lang w:eastAsia="lt-LT"/>
                        </w:rPr>
                        <w:t>15</w:t>
                      </w:r>
                    </w:sdtContent>
                  </w:sdt>
                  <w:r>
                    <w:rPr>
                      <w:color w:val="242424"/>
                      <w:szCs w:val="24"/>
                      <w:bdr w:val="none" w:sz="0" w:space="0" w:color="auto" w:frame="1"/>
                      <w:lang w:eastAsia="lt-LT"/>
                    </w:rPr>
                    <w:t>. Lietuvos kalėjimų tarnyba</w:t>
                  </w:r>
                </w:p>
              </w:sdtContent>
            </w:sdt>
            <w:sdt>
              <w:sdtPr>
                <w:alias w:val="16 p."/>
                <w:tag w:val="part_ac47422298cc4fba983237ef296b87d7"/>
                <w:lock w:val="sdtLocked"/>
                <w:richText/>
              </w:sdtPr>
              <w:sdtContent>
                <w:p>
                  <w:pPr>
                    <w:shd w:val="clear" w:color="auto" w:fill="FFFFFF"/>
                    <w:jc w:val="both"/>
                    <w:rPr>
                      <w:color w:val="242424"/>
                      <w:szCs w:val="24"/>
                      <w:lang w:eastAsia="lt-LT"/>
                    </w:rPr>
                  </w:pPr>
                  <w:sdt>
                    <w:sdtPr>
                      <w:alias w:val="Numeris"/>
                      <w:tag w:val="nr_ac47422298cc4fba983237ef296b87d7"/>
                      <w:lock w:val="sdtLocked"/>
                      <w:richText/>
                    </w:sdtPr>
                    <w:sdtContent>
                      <w:r>
                        <w:rPr>
                          <w:color w:val="242424"/>
                          <w:szCs w:val="24"/>
                          <w:bdr w:val="none" w:sz="0" w:space="0" w:color="auto" w:frame="1"/>
                          <w:lang w:eastAsia="lt-LT"/>
                        </w:rPr>
                        <w:t>16</w:t>
                      </w:r>
                    </w:sdtContent>
                  </w:sdt>
                  <w:r>
                    <w:rPr>
                      <w:color w:val="242424"/>
                      <w:szCs w:val="24"/>
                      <w:bdr w:val="none" w:sz="0" w:space="0" w:color="auto" w:frame="1"/>
                      <w:lang w:eastAsia="lt-LT"/>
                    </w:rPr>
                    <w:t>. Lietuvos Respublikos vadovybės apsaugos tarnyba</w:t>
                  </w:r>
                </w:p>
              </w:sdtContent>
            </w:sdt>
            <w:sdt>
              <w:sdtPr>
                <w:alias w:val="17 p."/>
                <w:tag w:val="part_8848cf729987454aae04ac5e39122d0c"/>
                <w:lock w:val="sdtLocked"/>
                <w:richText/>
              </w:sdtPr>
              <w:sdtContent>
                <w:p>
                  <w:pPr>
                    <w:shd w:val="clear" w:color="auto" w:fill="FFFFFF"/>
                    <w:jc w:val="both"/>
                    <w:rPr>
                      <w:color w:val="242424"/>
                      <w:szCs w:val="24"/>
                      <w:lang w:eastAsia="lt-LT"/>
                    </w:rPr>
                  </w:pPr>
                  <w:sdt>
                    <w:sdtPr>
                      <w:alias w:val="Numeris"/>
                      <w:tag w:val="nr_8848cf729987454aae04ac5e39122d0c"/>
                      <w:lock w:val="sdtLocked"/>
                      <w:richText/>
                    </w:sdtPr>
                    <w:sdtContent>
                      <w:r>
                        <w:rPr>
                          <w:color w:val="242424"/>
                          <w:szCs w:val="24"/>
                          <w:bdr w:val="none" w:sz="0" w:space="0" w:color="auto" w:frame="1"/>
                          <w:lang w:eastAsia="lt-LT"/>
                        </w:rPr>
                        <w:t>17</w:t>
                      </w:r>
                    </w:sdtContent>
                  </w:sdt>
                  <w:r>
                    <w:rPr>
                      <w:color w:val="242424"/>
                      <w:szCs w:val="24"/>
                      <w:bdr w:val="none" w:sz="0" w:space="0" w:color="auto" w:frame="1"/>
                      <w:lang w:eastAsia="lt-LT"/>
                    </w:rPr>
                    <w:t>. Muitinės departamentas prie Lietuvos Respublikos finansų ministerijos</w:t>
                  </w:r>
                </w:p>
              </w:sdtContent>
            </w:sdt>
            <w:sdt>
              <w:sdtPr>
                <w:alias w:val="18 p."/>
                <w:tag w:val="part_f4924bcdb0494d63a96950155596f8e3"/>
                <w:lock w:val="sdtLocked"/>
                <w:richText/>
              </w:sdtPr>
              <w:sdtContent>
                <w:p>
                  <w:pPr>
                    <w:shd w:val="clear" w:color="auto" w:fill="FFFFFF"/>
                    <w:jc w:val="both"/>
                    <w:rPr>
                      <w:color w:val="242424"/>
                      <w:szCs w:val="24"/>
                      <w:lang w:eastAsia="lt-LT"/>
                    </w:rPr>
                  </w:pPr>
                  <w:sdt>
                    <w:sdtPr>
                      <w:alias w:val="Numeris"/>
                      <w:tag w:val="nr_f4924bcdb0494d63a96950155596f8e3"/>
                      <w:lock w:val="sdtLocked"/>
                      <w:richText/>
                    </w:sdtPr>
                    <w:sdtContent>
                      <w:r>
                        <w:rPr>
                          <w:color w:val="242424"/>
                          <w:szCs w:val="24"/>
                          <w:bdr w:val="none" w:sz="0" w:space="0" w:color="auto" w:frame="1"/>
                          <w:lang w:eastAsia="lt-LT"/>
                        </w:rPr>
                        <w:t>18</w:t>
                      </w:r>
                    </w:sdtContent>
                  </w:sdt>
                  <w:r>
                    <w:rPr>
                      <w:color w:val="242424"/>
                      <w:szCs w:val="24"/>
                      <w:bdr w:val="none" w:sz="0" w:space="0" w:color="auto" w:frame="1"/>
                      <w:lang w:eastAsia="lt-LT"/>
                    </w:rPr>
                    <w:t>. Policijos departamentas prie Lietuvos Respublikos vidaus reikalų ministerijos</w:t>
                  </w:r>
                </w:p>
              </w:sdtContent>
            </w:sdt>
            <w:sdt>
              <w:sdtPr>
                <w:alias w:val="19 p."/>
                <w:tag w:val="part_b9d7c5cc02c7469e9f00df238a8882fb"/>
                <w:lock w:val="sdtLocked"/>
                <w:richText/>
              </w:sdtPr>
              <w:sdtContent>
                <w:p>
                  <w:pPr>
                    <w:shd w:val="clear" w:color="auto" w:fill="FFFFFF"/>
                    <w:jc w:val="both"/>
                    <w:rPr>
                      <w:color w:val="242424"/>
                      <w:szCs w:val="24"/>
                      <w:lang w:eastAsia="lt-LT"/>
                    </w:rPr>
                  </w:pPr>
                  <w:sdt>
                    <w:sdtPr>
                      <w:alias w:val="Numeris"/>
                      <w:tag w:val="nr_b9d7c5cc02c7469e9f00df238a8882fb"/>
                      <w:lock w:val="sdtLocked"/>
                      <w:richText/>
                    </w:sdtPr>
                    <w:sdtContent>
                      <w:r>
                        <w:rPr>
                          <w:color w:val="242424"/>
                          <w:szCs w:val="24"/>
                          <w:bdr w:val="none" w:sz="0" w:space="0" w:color="auto" w:frame="1"/>
                          <w:lang w:eastAsia="lt-LT"/>
                        </w:rPr>
                        <w:t>19</w:t>
                      </w:r>
                    </w:sdtContent>
                  </w:sdt>
                  <w:r>
                    <w:rPr>
                      <w:color w:val="242424"/>
                      <w:szCs w:val="24"/>
                      <w:bdr w:val="none" w:sz="0" w:space="0" w:color="auto" w:frame="1"/>
                      <w:lang w:eastAsia="lt-LT"/>
                    </w:rPr>
                    <w:t>. Priešgaisrinės apsaugos ir gelbėjimo departamentas prie Vidaus reikalų ministerijos</w:t>
                  </w:r>
                </w:p>
              </w:sdtContent>
            </w:sdt>
            <w:sdt>
              <w:sdtPr>
                <w:alias w:val="20 p."/>
                <w:tag w:val="part_4c28c44f2ab949b193e1285dba44c58b"/>
                <w:lock w:val="sdtLocked"/>
                <w:richText/>
              </w:sdtPr>
              <w:sdtContent>
                <w:p>
                  <w:pPr>
                    <w:shd w:val="clear" w:color="auto" w:fill="FFFFFF"/>
                    <w:jc w:val="both"/>
                    <w:rPr>
                      <w:color w:val="242424"/>
                      <w:szCs w:val="24"/>
                      <w:lang w:eastAsia="lt-LT"/>
                    </w:rPr>
                  </w:pPr>
                  <w:sdt>
                    <w:sdtPr>
                      <w:alias w:val="Numeris"/>
                      <w:tag w:val="nr_4c28c44f2ab949b193e1285dba44c58b"/>
                      <w:lock w:val="sdtLocked"/>
                      <w:richText/>
                    </w:sdtPr>
                    <w:sdtContent>
                      <w:r>
                        <w:rPr>
                          <w:color w:val="242424"/>
                          <w:szCs w:val="24"/>
                          <w:bdr w:val="none" w:sz="0" w:space="0" w:color="auto" w:frame="1"/>
                          <w:lang w:eastAsia="lt-LT"/>
                        </w:rPr>
                        <w:t>20</w:t>
                      </w:r>
                    </w:sdtContent>
                  </w:sdt>
                  <w:r>
                    <w:rPr>
                      <w:color w:val="242424"/>
                      <w:szCs w:val="24"/>
                      <w:bdr w:val="none" w:sz="0" w:space="0" w:color="auto" w:frame="1"/>
                      <w:lang w:eastAsia="lt-LT"/>
                    </w:rPr>
                    <w:t>. Radiacinės saugos centras</w:t>
                  </w:r>
                </w:p>
              </w:sdtContent>
            </w:sdt>
            <w:sdt>
              <w:sdtPr>
                <w:alias w:val="21 p."/>
                <w:tag w:val="part_82e215a48fa742b18e0f483119291b55"/>
                <w:lock w:val="sdtLocked"/>
                <w:richText/>
              </w:sdtPr>
              <w:sdtContent>
                <w:p>
                  <w:pPr>
                    <w:shd w:val="clear" w:color="auto" w:fill="FFFFFF"/>
                    <w:jc w:val="both"/>
                    <w:rPr>
                      <w:color w:val="242424"/>
                      <w:szCs w:val="24"/>
                      <w:lang w:eastAsia="lt-LT"/>
                    </w:rPr>
                  </w:pPr>
                  <w:sdt>
                    <w:sdtPr>
                      <w:alias w:val="Numeris"/>
                      <w:tag w:val="nr_82e215a48fa742b18e0f483119291b55"/>
                      <w:lock w:val="sdtLocked"/>
                      <w:richText/>
                    </w:sdtPr>
                    <w:sdtContent>
                      <w:r>
                        <w:rPr>
                          <w:color w:val="242424"/>
                          <w:szCs w:val="24"/>
                          <w:bdr w:val="none" w:sz="0" w:space="0" w:color="auto" w:frame="1"/>
                          <w:lang w:eastAsia="lt-LT"/>
                        </w:rPr>
                        <w:t>21</w:t>
                      </w:r>
                    </w:sdtContent>
                  </w:sdt>
                  <w:r>
                    <w:rPr>
                      <w:color w:val="242424"/>
                      <w:szCs w:val="24"/>
                      <w:bdr w:val="none" w:sz="0" w:space="0" w:color="auto" w:frame="1"/>
                      <w:lang w:eastAsia="lt-LT"/>
                    </w:rPr>
                    <w:t>. Valstybės sienos apsaugos tarnyba prie Lietuvos Respublikos vidaus reikalų ministerijos</w:t>
                  </w:r>
                </w:p>
              </w:sdtContent>
            </w:sdt>
            <w:sdt>
              <w:sdtPr>
                <w:alias w:val="22 p."/>
                <w:tag w:val="part_48739c32c5864de9a38a1b561b8d80c8"/>
                <w:lock w:val="sdtLocked"/>
                <w:richText/>
              </w:sdtPr>
              <w:sdtContent>
                <w:p>
                  <w:pPr>
                    <w:shd w:val="clear" w:color="auto" w:fill="FFFFFF"/>
                    <w:jc w:val="both"/>
                    <w:rPr>
                      <w:color w:val="242424"/>
                      <w:szCs w:val="24"/>
                      <w:lang w:eastAsia="lt-LT"/>
                    </w:rPr>
                  </w:pPr>
                  <w:sdt>
                    <w:sdtPr>
                      <w:alias w:val="Numeris"/>
                      <w:tag w:val="nr_48739c32c5864de9a38a1b561b8d80c8"/>
                      <w:lock w:val="sdtLocked"/>
                      <w:richText/>
                    </w:sdtPr>
                    <w:sdtContent>
                      <w:r>
                        <w:rPr>
                          <w:color w:val="242424"/>
                          <w:szCs w:val="24"/>
                          <w:bdr w:val="none" w:sz="0" w:space="0" w:color="auto" w:frame="1"/>
                          <w:lang w:eastAsia="lt-LT"/>
                        </w:rPr>
                        <w:t>22</w:t>
                      </w:r>
                    </w:sdtContent>
                  </w:sdt>
                  <w:r>
                    <w:rPr>
                      <w:color w:val="242424"/>
                      <w:szCs w:val="24"/>
                      <w:bdr w:val="none" w:sz="0" w:space="0" w:color="auto" w:frame="1"/>
                      <w:lang w:eastAsia="lt-LT"/>
                    </w:rPr>
                    <w:t>. Valstybinė atominės energetikos saugos inspekcija</w:t>
                  </w:r>
                </w:p>
              </w:sdtContent>
            </w:sdt>
            <w:sdt>
              <w:sdtPr>
                <w:alias w:val="23 p."/>
                <w:tag w:val="part_9add475963cc45d7851b3092e83f65fa"/>
                <w:lock w:val="sdtLocked"/>
                <w:richText/>
              </w:sdtPr>
              <w:sdtContent>
                <w:p>
                  <w:pPr>
                    <w:shd w:val="clear" w:color="auto" w:fill="FFFFFF"/>
                    <w:jc w:val="both"/>
                    <w:rPr>
                      <w:color w:val="242424"/>
                      <w:szCs w:val="24"/>
                      <w:lang w:eastAsia="lt-LT"/>
                    </w:rPr>
                  </w:pPr>
                  <w:sdt>
                    <w:sdtPr>
                      <w:alias w:val="Numeris"/>
                      <w:tag w:val="nr_9add475963cc45d7851b3092e83f65fa"/>
                      <w:lock w:val="sdtLocked"/>
                      <w:richText/>
                    </w:sdtPr>
                    <w:sdtContent>
                      <w:r>
                        <w:rPr>
                          <w:color w:val="242424"/>
                          <w:szCs w:val="24"/>
                          <w:bdr w:val="none" w:sz="0" w:space="0" w:color="auto" w:frame="1"/>
                          <w:lang w:eastAsia="lt-LT"/>
                        </w:rPr>
                        <w:t>23</w:t>
                      </w:r>
                    </w:sdtContent>
                  </w:sdt>
                  <w:r>
                    <w:rPr>
                      <w:color w:val="242424"/>
                      <w:szCs w:val="24"/>
                      <w:bdr w:val="none" w:sz="0" w:space="0" w:color="auto" w:frame="1"/>
                      <w:lang w:eastAsia="lt-LT"/>
                    </w:rPr>
                    <w:t>. Valstybinė maisto ir veterinarijos tarnyba</w:t>
                  </w:r>
                </w:p>
              </w:sdtContent>
            </w:sdt>
            <w:sdt>
              <w:sdtPr>
                <w:alias w:val="24 p."/>
                <w:tag w:val="part_71c62ad503714e30ace31546fb141ab5"/>
                <w:lock w:val="sdtLocked"/>
                <w:richText/>
              </w:sdtPr>
              <w:sdtContent>
                <w:p>
                  <w:pPr>
                    <w:shd w:val="clear" w:color="auto" w:fill="FFFFFF"/>
                    <w:jc w:val="both"/>
                    <w:rPr>
                      <w:color w:val="242424"/>
                      <w:szCs w:val="24"/>
                      <w:lang w:eastAsia="lt-LT"/>
                    </w:rPr>
                  </w:pPr>
                  <w:sdt>
                    <w:sdtPr>
                      <w:alias w:val="Numeris"/>
                      <w:tag w:val="nr_71c62ad503714e30ace31546fb141ab5"/>
                      <w:lock w:val="sdtLocked"/>
                      <w:richText/>
                    </w:sdtPr>
                    <w:sdtContent>
                      <w:r>
                        <w:rPr>
                          <w:color w:val="242424"/>
                          <w:szCs w:val="24"/>
                          <w:bdr w:val="none" w:sz="0" w:space="0" w:color="auto" w:frame="1"/>
                          <w:lang w:eastAsia="lt-LT"/>
                        </w:rPr>
                        <w:t>24</w:t>
                      </w:r>
                    </w:sdtContent>
                  </w:sdt>
                  <w:r>
                    <w:rPr>
                      <w:color w:val="242424"/>
                      <w:szCs w:val="24"/>
                      <w:bdr w:val="none" w:sz="0" w:space="0" w:color="auto" w:frame="1"/>
                      <w:lang w:eastAsia="lt-LT"/>
                    </w:rPr>
                    <w:t>. Viešojo saugumo tarnyba prie Vidaus reikalų ministerijos</w:t>
                  </w:r>
                </w:p>
              </w:sdtContent>
            </w:sdt>
            <w:sdt>
              <w:sdtPr>
                <w:alias w:val="25 p."/>
                <w:tag w:val="part_4ba5ede8b2434cd1b19b16309ff5af1c"/>
                <w:lock w:val="sdtLocked"/>
                <w:richText/>
              </w:sdtPr>
              <w:sdtContent>
                <w:p>
                  <w:pPr>
                    <w:suppressLineNumbers/>
                    <w:jc w:val="both"/>
                    <w:rPr>
                      <w:rFonts w:eastAsia="Andale Sans UI"/>
                      <w:szCs w:val="24"/>
                      <w:lang w:bidi="en-US"/>
                    </w:rPr>
                  </w:pPr>
                  <w:sdt>
                    <w:sdtPr>
                      <w:alias w:val="Numeris"/>
                      <w:tag w:val="nr_4ba5ede8b2434cd1b19b16309ff5af1c"/>
                      <w:lock w:val="sdtLocked"/>
                      <w:richText/>
                    </w:sdtPr>
                    <w:sdtContent>
                      <w:r>
                        <w:rPr>
                          <w:rFonts w:eastAsia="Andale Sans UI"/>
                          <w:szCs w:val="24"/>
                          <w:lang w:bidi="en-US"/>
                        </w:rPr>
                        <w:t>25</w:t>
                      </w:r>
                    </w:sdtContent>
                  </w:sdt>
                  <w:r>
                    <w:rPr>
                      <w:rFonts w:eastAsia="Andale Sans UI"/>
                      <w:szCs w:val="24"/>
                      <w:lang w:bidi="en-US"/>
                    </w:rPr>
                    <w:t>. Valstybinė teritorijų planavimo ir statybos inspekcija</w:t>
                  </w:r>
                </w:p>
              </w:sdtContent>
            </w:sdt>
            <w:sdt>
              <w:sdtPr>
                <w:alias w:val="26 p."/>
                <w:tag w:val="part_22bdc2a9b33c4654a296db1b7332d20e"/>
                <w:lock w:val="sdtLocked"/>
                <w:richText/>
              </w:sdtPr>
              <w:sdtContent>
                <w:p>
                  <w:pPr>
                    <w:suppressLineNumbers/>
                    <w:jc w:val="both"/>
                    <w:rPr>
                      <w:rFonts w:eastAsia="Andale Sans UI"/>
                      <w:szCs w:val="24"/>
                      <w:lang w:bidi="en-US"/>
                    </w:rPr>
                  </w:pPr>
                  <w:sdt>
                    <w:sdtPr>
                      <w:alias w:val="Numeris"/>
                      <w:tag w:val="nr_22bdc2a9b33c4654a296db1b7332d20e"/>
                      <w:lock w:val="sdtLocked"/>
                      <w:richText/>
                    </w:sdtPr>
                    <w:sdtContent>
                      <w:r>
                        <w:rPr>
                          <w:rFonts w:eastAsia="Andale Sans UI"/>
                          <w:szCs w:val="24"/>
                          <w:lang w:bidi="en-US"/>
                        </w:rPr>
                        <w:t>26</w:t>
                      </w:r>
                    </w:sdtContent>
                  </w:sdt>
                  <w:r>
                    <w:rPr>
                      <w:rFonts w:eastAsia="Andale Sans UI"/>
                      <w:szCs w:val="24"/>
                      <w:lang w:bidi="en-US"/>
                    </w:rPr>
                    <w:t>. Lietuvos projektavimo įmonių asociacija</w:t>
                  </w:r>
                </w:p>
              </w:sdtContent>
            </w:sdt>
            <w:sdt>
              <w:sdtPr>
                <w:alias w:val="27 p."/>
                <w:tag w:val="part_2bb216c22bb54482babc94311767f6af"/>
                <w:lock w:val="sdtLocked"/>
                <w:richText/>
              </w:sdtPr>
              <w:sdtContent>
                <w:p>
                  <w:pPr>
                    <w:jc w:val="both"/>
                    <w:rPr>
                      <w:rFonts w:eastAsia="Andale Sans UI" w:cs="Tahoma"/>
                      <w:szCs w:val="24"/>
                      <w:lang w:bidi="en-US"/>
                    </w:rPr>
                  </w:pPr>
                  <w:sdt>
                    <w:sdtPr>
                      <w:alias w:val="Numeris"/>
                      <w:tag w:val="nr_2bb216c22bb54482babc94311767f6af"/>
                      <w:lock w:val="sdtLocked"/>
                      <w:richText/>
                    </w:sdtPr>
                    <w:sdtContent>
                      <w:r>
                        <w:rPr>
                          <w:szCs w:val="24"/>
                          <w:lang w:eastAsia="lt-LT"/>
                        </w:rPr>
                        <w:t>27</w:t>
                      </w:r>
                    </w:sdtContent>
                  </w:sdt>
                  <w:r>
                    <w:rPr>
                      <w:szCs w:val="24"/>
                      <w:lang w:eastAsia="lt-LT"/>
                    </w:rPr>
                    <w:t>. Lietuvos architektų rūmai</w:t>
                  </w:r>
                </w:p>
              </w:sdtContent>
            </w:sdt>
            <w:sdt>
              <w:sdtPr>
                <w:alias w:val="28 p."/>
                <w:tag w:val="part_19bf78a56c6e4043a2938f945b8e6e5e"/>
                <w:lock w:val="sdtLocked"/>
                <w:richText/>
              </w:sdtPr>
              <w:sdtContent>
                <w:p>
                  <w:pPr>
                    <w:suppressLineNumbers/>
                    <w:jc w:val="both"/>
                    <w:rPr>
                      <w:rFonts w:eastAsia="Andale Sans UI"/>
                      <w:szCs w:val="24"/>
                      <w:lang w:bidi="en-US"/>
                    </w:rPr>
                  </w:pPr>
                  <w:sdt>
                    <w:sdtPr>
                      <w:alias w:val="Numeris"/>
                      <w:tag w:val="nr_19bf78a56c6e4043a2938f945b8e6e5e"/>
                      <w:lock w:val="sdtLocked"/>
                      <w:richText/>
                    </w:sdtPr>
                    <w:sdtContent>
                      <w:r>
                        <w:rPr>
                          <w:rFonts w:eastAsia="Andale Sans UI"/>
                          <w:szCs w:val="24"/>
                          <w:lang w:bidi="en-US"/>
                        </w:rPr>
                        <w:t>28</w:t>
                      </w:r>
                    </w:sdtContent>
                  </w:sdt>
                  <w:r>
                    <w:rPr>
                      <w:rFonts w:eastAsia="Andale Sans UI"/>
                      <w:szCs w:val="24"/>
                      <w:lang w:bidi="en-US"/>
                    </w:rPr>
                    <w:t>. Lietuvos statybininkų asociacija</w:t>
                  </w:r>
                </w:p>
              </w:sdtContent>
            </w:sdt>
            <w:sdt>
              <w:sdtPr>
                <w:alias w:val="29 p."/>
                <w:tag w:val="part_3502956c4fcc402f9026e3d8bb8f6fdb"/>
                <w:lock w:val="sdtLocked"/>
                <w:richText/>
              </w:sdtPr>
              <w:sdtContent>
                <w:p>
                  <w:pPr>
                    <w:suppressLineNumbers/>
                    <w:jc w:val="both"/>
                    <w:rPr>
                      <w:rFonts w:eastAsia="Andale Sans UI"/>
                      <w:szCs w:val="24"/>
                      <w:lang w:bidi="en-US"/>
                    </w:rPr>
                  </w:pPr>
                  <w:sdt>
                    <w:sdtPr>
                      <w:alias w:val="Numeris"/>
                      <w:tag w:val="nr_3502956c4fcc402f9026e3d8bb8f6fdb"/>
                      <w:lock w:val="sdtLocked"/>
                      <w:richText/>
                    </w:sdtPr>
                    <w:sdtContent>
                      <w:r>
                        <w:rPr>
                          <w:szCs w:val="24"/>
                          <w:lang w:eastAsia="lt-LT"/>
                        </w:rPr>
                        <w:t>29</w:t>
                      </w:r>
                    </w:sdtContent>
                  </w:sdt>
                  <w:r>
                    <w:rPr>
                      <w:szCs w:val="24"/>
                      <w:lang w:eastAsia="lt-LT"/>
                    </w:rPr>
                    <w:t>. Lietuvos nekilnojamojo turto plėtros asociacija</w:t>
                  </w:r>
                </w:p>
              </w:sdtContent>
            </w:sdt>
            <w:sdt>
              <w:sdtPr>
                <w:alias w:val="30 p."/>
                <w:tag w:val="part_f60e04b7aa224a1fa5c7e8454984260f"/>
                <w:lock w:val="sdtLocked"/>
                <w:richText/>
              </w:sdtPr>
              <w:sdtContent>
                <w:p>
                  <w:pPr>
                    <w:jc w:val="both"/>
                    <w:rPr>
                      <w:szCs w:val="24"/>
                      <w:lang w:eastAsia="lt-LT"/>
                    </w:rPr>
                  </w:pPr>
                  <w:sdt>
                    <w:sdtPr>
                      <w:alias w:val="Numeris"/>
                      <w:tag w:val="nr_f60e04b7aa224a1fa5c7e8454984260f"/>
                      <w:lock w:val="sdtLocked"/>
                      <w:richText/>
                    </w:sdtPr>
                    <w:sdtContent>
                      <w:r>
                        <w:rPr>
                          <w:szCs w:val="24"/>
                          <w:lang w:eastAsia="lt-LT"/>
                        </w:rPr>
                        <w:t>30</w:t>
                      </w:r>
                    </w:sdtContent>
                  </w:sdt>
                  <w:r>
                    <w:rPr>
                      <w:szCs w:val="24"/>
                      <w:lang w:eastAsia="lt-LT"/>
                    </w:rPr>
                    <w:t>. Projektų ekspertizės ir gaisro saugos įmonių asociacija</w:t>
                  </w:r>
                </w:p>
              </w:sdtContent>
            </w:sdt>
            <w:sdt>
              <w:sdtPr>
                <w:alias w:val="31 p."/>
                <w:tag w:val="part_4211693541364ce0b67d9c2cfe65a0bd"/>
                <w:lock w:val="sdtLocked"/>
                <w:richText/>
              </w:sdtPr>
              <w:sdtContent>
                <w:p>
                  <w:pPr>
                    <w:jc w:val="both"/>
                    <w:rPr>
                      <w:szCs w:val="24"/>
                      <w:lang w:eastAsia="lt-LT"/>
                    </w:rPr>
                  </w:pPr>
                  <w:sdt>
                    <w:sdtPr>
                      <w:alias w:val="Numeris"/>
                      <w:tag w:val="nr_4211693541364ce0b67d9c2cfe65a0bd"/>
                      <w:lock w:val="sdtLocked"/>
                      <w:richText/>
                    </w:sdtPr>
                    <w:sdtContent>
                      <w:r>
                        <w:rPr>
                          <w:szCs w:val="24"/>
                          <w:lang w:eastAsia="lt-LT"/>
                        </w:rPr>
                        <w:t>31</w:t>
                      </w:r>
                    </w:sdtContent>
                  </w:sdt>
                  <w:r>
                    <w:rPr>
                      <w:szCs w:val="24"/>
                      <w:lang w:eastAsia="lt-LT"/>
                    </w:rPr>
                    <w:t>. Lietuvos statybos inžinierių sąjunga</w:t>
                  </w:r>
                </w:p>
              </w:sdtContent>
            </w:sdt>
            <w:sdt>
              <w:sdtPr>
                <w:alias w:val="32 p."/>
                <w:tag w:val="part_ec1ec6d674464c64b1b24a80c6d1db4f"/>
                <w:lock w:val="sdtLocked"/>
                <w:richText/>
              </w:sdtPr>
              <w:sdtContent>
                <w:p>
                  <w:pPr>
                    <w:shd w:val="clear" w:color="auto" w:fill="FFFFFF"/>
                    <w:jc w:val="both"/>
                    <w:rPr>
                      <w:color w:val="242424"/>
                      <w:szCs w:val="24"/>
                      <w:bdr w:val="none" w:sz="0" w:space="0" w:color="auto" w:frame="1"/>
                      <w:lang w:eastAsia="lt-LT"/>
                    </w:rPr>
                  </w:pPr>
                  <w:sdt>
                    <w:sdtPr>
                      <w:alias w:val="Numeris"/>
                      <w:tag w:val="nr_ec1ec6d674464c64b1b24a80c6d1db4f"/>
                      <w:lock w:val="sdtLocked"/>
                      <w:richText/>
                    </w:sdtPr>
                    <w:sdtContent>
                      <w:r>
                        <w:rPr>
                          <w:color w:val="242424"/>
                          <w:szCs w:val="24"/>
                          <w:bdr w:val="none" w:sz="0" w:space="0" w:color="auto" w:frame="1"/>
                          <w:lang w:eastAsia="lt-LT"/>
                        </w:rPr>
                        <w:t>32</w:t>
                      </w:r>
                    </w:sdtContent>
                  </w:sdt>
                  <w:r>
                    <w:rPr>
                      <w:color w:val="242424"/>
                      <w:szCs w:val="24"/>
                      <w:bdr w:val="none" w:sz="0" w:space="0" w:color="auto" w:frame="1"/>
                      <w:lang w:eastAsia="lt-LT"/>
                    </w:rPr>
                    <w:t>. Lietuvos savivaldybių asociacija</w:t>
                  </w:r>
                </w:p>
              </w:sdtContent>
            </w:sdt>
            <w:sdt>
              <w:sdtPr>
                <w:alias w:val="33 p."/>
                <w:tag w:val="part_beb245604c87472181024320e342a3c7"/>
                <w:lock w:val="sdtLocked"/>
                <w:richText/>
              </w:sdtPr>
              <w:sdtContent>
                <w:p>
                  <w:pPr>
                    <w:shd w:val="clear" w:color="auto" w:fill="FFFFFF"/>
                    <w:jc w:val="both"/>
                    <w:rPr>
                      <w:color w:val="242424"/>
                      <w:szCs w:val="24"/>
                      <w:bdr w:val="none" w:sz="0" w:space="0" w:color="auto" w:frame="1"/>
                      <w:lang w:eastAsia="lt-LT"/>
                    </w:rPr>
                  </w:pPr>
                  <w:sdt>
                    <w:sdtPr>
                      <w:alias w:val="Numeris"/>
                      <w:tag w:val="nr_beb245604c87472181024320e342a3c7"/>
                      <w:lock w:val="sdtLocked"/>
                      <w:richText/>
                    </w:sdtPr>
                    <w:sdtContent>
                      <w:r>
                        <w:rPr>
                          <w:color w:val="242424"/>
                          <w:szCs w:val="24"/>
                          <w:bdr w:val="none" w:sz="0" w:space="0" w:color="auto" w:frame="1"/>
                          <w:lang w:eastAsia="lt-LT"/>
                        </w:rPr>
                        <w:t>33</w:t>
                      </w:r>
                    </w:sdtContent>
                  </w:sdt>
                  <w:r>
                    <w:rPr>
                      <w:color w:val="242424"/>
                      <w:szCs w:val="24"/>
                      <w:bdr w:val="none" w:sz="0" w:space="0" w:color="auto" w:frame="1"/>
                      <w:lang w:eastAsia="lt-LT"/>
                    </w:rPr>
                    <w:t>. Turto bankas</w:t>
                  </w:r>
                </w:p>
              </w:sdtContent>
            </w:sdt>
            <w:sdt>
              <w:sdtPr>
                <w:alias w:val="34 p."/>
                <w:tag w:val="part_ff84ff4e7d0b4c5a89ff6f36660817dd"/>
                <w:lock w:val="sdtLocked"/>
                <w:richText/>
              </w:sdtPr>
              <w:sdtContent>
                <w:p>
                  <w:pPr>
                    <w:shd w:val="clear" w:color="auto" w:fill="FFFFFF"/>
                    <w:jc w:val="both"/>
                    <w:rPr>
                      <w:color w:val="242424"/>
                      <w:szCs w:val="24"/>
                      <w:lang w:eastAsia="lt-LT"/>
                    </w:rPr>
                  </w:pPr>
                  <w:sdt>
                    <w:sdtPr>
                      <w:alias w:val="Numeris"/>
                      <w:tag w:val="nr_ff84ff4e7d0b4c5a89ff6f36660817dd"/>
                      <w:lock w:val="sdtLocked"/>
                      <w:richText/>
                    </w:sdtPr>
                    <w:sdtContent>
                      <w:r>
                        <w:rPr>
                          <w:color w:val="242424"/>
                          <w:szCs w:val="24"/>
                          <w:bdr w:val="none" w:sz="0" w:space="0" w:color="auto" w:frame="1"/>
                          <w:lang w:eastAsia="lt-LT"/>
                        </w:rPr>
                        <w:t>34</w:t>
                      </w:r>
                    </w:sdtContent>
                  </w:sdt>
                  <w:r>
                    <w:rPr>
                      <w:color w:val="242424"/>
                      <w:szCs w:val="24"/>
                      <w:bdr w:val="none" w:sz="0" w:space="0" w:color="auto" w:frame="1"/>
                      <w:lang w:eastAsia="lt-LT"/>
                    </w:rPr>
                    <w:t>. Specialiųjų tyrimų tarnyba</w:t>
                  </w:r>
                </w:p>
                <w:p>
                  <w:pPr>
                    <w:widowControl w:val="0"/>
                    <w:suppressLineNumbers/>
                    <w:suppressAutoHyphens/>
                    <w:spacing w:line="276" w:lineRule="auto"/>
                    <w:rPr>
                      <w:rFonts w:eastAsia="Andale Sans UI"/>
                      <w:szCs w:val="24"/>
                      <w:lang w:bidi="en-US"/>
                    </w:rPr>
                  </w:pPr>
                </w:p>
              </w:sdtContent>
            </w:sdt>
          </w:sdtContent>
        </w:sdt>
      </w:sdtContent>
    </w:sdt>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suppressLineNumbers/>
      <w:tabs>
        <w:tab w:val="center" w:pos="4800"/>
        <w:tab w:val="right" w:pos="9601"/>
      </w:tabs>
      <w:suppressAutoHyphens/>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 w:id="1"/>
  </w:footnotePr>
  <w:endnotePr>
    <w:numFmt w:val="decimal"/>
    <w:endnote w:id="-1"/>
    <w:endnote w:id="0"/>
    <w:endnote w:id="1"/>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B4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401682">
      <w:bodyDiv w:val="1"/>
      <w:marLeft w:val="0"/>
      <w:marRight w:val="0"/>
      <w:marTop w:val="0"/>
      <w:marBottom w:val="0"/>
      <w:divBdr>
        <w:top w:val="none" w:sz="0" w:space="0" w:color="auto"/>
        <w:left w:val="none" w:sz="0" w:space="0" w:color="auto"/>
        <w:bottom w:val="none" w:sz="0" w:space="0" w:color="auto"/>
        <w:right w:val="none" w:sz="0" w:space="0" w:color="auto"/>
      </w:divBdr>
      <w:divsChild>
        <w:div w:id="234367102">
          <w:marLeft w:val="0"/>
          <w:marRight w:val="0"/>
          <w:marTop w:val="0"/>
          <w:marBottom w:val="0"/>
          <w:divBdr>
            <w:top w:val="none" w:sz="0" w:space="0" w:color="auto"/>
            <w:left w:val="none" w:sz="0" w:space="0" w:color="auto"/>
            <w:bottom w:val="none" w:sz="0" w:space="0" w:color="auto"/>
            <w:right w:val="none" w:sz="0" w:space="0" w:color="auto"/>
          </w:divBdr>
        </w:div>
        <w:div w:id="536158320">
          <w:marLeft w:val="0"/>
          <w:marRight w:val="0"/>
          <w:marTop w:val="0"/>
          <w:marBottom w:val="0"/>
          <w:divBdr>
            <w:top w:val="none" w:sz="0" w:space="0" w:color="auto"/>
            <w:left w:val="none" w:sz="0" w:space="0" w:color="auto"/>
            <w:bottom w:val="none" w:sz="0" w:space="0" w:color="auto"/>
            <w:right w:val="none" w:sz="0" w:space="0" w:color="auto"/>
          </w:divBdr>
        </w:div>
        <w:div w:id="1853495005">
          <w:marLeft w:val="0"/>
          <w:marRight w:val="0"/>
          <w:marTop w:val="0"/>
          <w:marBottom w:val="0"/>
          <w:divBdr>
            <w:top w:val="none" w:sz="0" w:space="0" w:color="auto"/>
            <w:left w:val="none" w:sz="0" w:space="0" w:color="auto"/>
            <w:bottom w:val="none" w:sz="0" w:space="0" w:color="auto"/>
            <w:right w:val="none" w:sz="0" w:space="0" w:color="auto"/>
          </w:divBdr>
        </w:div>
      </w:divsChild>
    </w:div>
    <w:div w:id="220948043">
      <w:bodyDiv w:val="1"/>
      <w:marLeft w:val="0"/>
      <w:marRight w:val="0"/>
      <w:marTop w:val="0"/>
      <w:marBottom w:val="0"/>
      <w:divBdr>
        <w:top w:val="none" w:sz="0" w:space="0" w:color="auto"/>
        <w:left w:val="none" w:sz="0" w:space="0" w:color="auto"/>
        <w:bottom w:val="none" w:sz="0" w:space="0" w:color="auto"/>
        <w:right w:val="none" w:sz="0" w:space="0" w:color="auto"/>
      </w:divBdr>
    </w:div>
    <w:div w:id="257448070">
      <w:bodyDiv w:val="1"/>
      <w:marLeft w:val="0"/>
      <w:marRight w:val="0"/>
      <w:marTop w:val="0"/>
      <w:marBottom w:val="0"/>
      <w:divBdr>
        <w:top w:val="none" w:sz="0" w:space="0" w:color="auto"/>
        <w:left w:val="none" w:sz="0" w:space="0" w:color="auto"/>
        <w:bottom w:val="none" w:sz="0" w:space="0" w:color="auto"/>
        <w:right w:val="none" w:sz="0" w:space="0" w:color="auto"/>
      </w:divBdr>
      <w:divsChild>
        <w:div w:id="1359623768">
          <w:marLeft w:val="0"/>
          <w:marRight w:val="0"/>
          <w:marTop w:val="0"/>
          <w:marBottom w:val="0"/>
          <w:divBdr>
            <w:top w:val="none" w:sz="0" w:space="0" w:color="auto"/>
            <w:left w:val="none" w:sz="0" w:space="0" w:color="auto"/>
            <w:bottom w:val="none" w:sz="0" w:space="0" w:color="auto"/>
            <w:right w:val="none" w:sz="0" w:space="0" w:color="auto"/>
          </w:divBdr>
        </w:div>
        <w:div w:id="1744639768">
          <w:marLeft w:val="0"/>
          <w:marRight w:val="0"/>
          <w:marTop w:val="0"/>
          <w:marBottom w:val="0"/>
          <w:divBdr>
            <w:top w:val="none" w:sz="0" w:space="0" w:color="auto"/>
            <w:left w:val="none" w:sz="0" w:space="0" w:color="auto"/>
            <w:bottom w:val="none" w:sz="0" w:space="0" w:color="auto"/>
            <w:right w:val="none" w:sz="0" w:space="0" w:color="auto"/>
          </w:divBdr>
        </w:div>
      </w:divsChild>
    </w:div>
    <w:div w:id="286476141">
      <w:bodyDiv w:val="1"/>
      <w:marLeft w:val="0"/>
      <w:marRight w:val="0"/>
      <w:marTop w:val="0"/>
      <w:marBottom w:val="0"/>
      <w:divBdr>
        <w:top w:val="none" w:sz="0" w:space="0" w:color="auto"/>
        <w:left w:val="none" w:sz="0" w:space="0" w:color="auto"/>
        <w:bottom w:val="none" w:sz="0" w:space="0" w:color="auto"/>
        <w:right w:val="none" w:sz="0" w:space="0" w:color="auto"/>
      </w:divBdr>
    </w:div>
    <w:div w:id="678655493">
      <w:bodyDiv w:val="1"/>
      <w:marLeft w:val="0"/>
      <w:marRight w:val="0"/>
      <w:marTop w:val="0"/>
      <w:marBottom w:val="0"/>
      <w:divBdr>
        <w:top w:val="none" w:sz="0" w:space="0" w:color="auto"/>
        <w:left w:val="none" w:sz="0" w:space="0" w:color="auto"/>
        <w:bottom w:val="none" w:sz="0" w:space="0" w:color="auto"/>
        <w:right w:val="none" w:sz="0" w:space="0" w:color="auto"/>
      </w:divBdr>
    </w:div>
    <w:div w:id="705251501">
      <w:bodyDiv w:val="1"/>
      <w:marLeft w:val="0"/>
      <w:marRight w:val="0"/>
      <w:marTop w:val="0"/>
      <w:marBottom w:val="0"/>
      <w:divBdr>
        <w:top w:val="none" w:sz="0" w:space="0" w:color="auto"/>
        <w:left w:val="none" w:sz="0" w:space="0" w:color="auto"/>
        <w:bottom w:val="none" w:sz="0" w:space="0" w:color="auto"/>
        <w:right w:val="none" w:sz="0" w:space="0" w:color="auto"/>
      </w:divBdr>
    </w:div>
    <w:div w:id="1012025608">
      <w:bodyDiv w:val="1"/>
      <w:marLeft w:val="0"/>
      <w:marRight w:val="0"/>
      <w:marTop w:val="0"/>
      <w:marBottom w:val="0"/>
      <w:divBdr>
        <w:top w:val="none" w:sz="0" w:space="0" w:color="auto"/>
        <w:left w:val="none" w:sz="0" w:space="0" w:color="auto"/>
        <w:bottom w:val="none" w:sz="0" w:space="0" w:color="auto"/>
        <w:right w:val="none" w:sz="0" w:space="0" w:color="auto"/>
      </w:divBdr>
    </w:div>
    <w:div w:id="1026636803">
      <w:bodyDiv w:val="1"/>
      <w:marLeft w:val="0"/>
      <w:marRight w:val="0"/>
      <w:marTop w:val="0"/>
      <w:marBottom w:val="0"/>
      <w:divBdr>
        <w:top w:val="none" w:sz="0" w:space="0" w:color="auto"/>
        <w:left w:val="none" w:sz="0" w:space="0" w:color="auto"/>
        <w:bottom w:val="none" w:sz="0" w:space="0" w:color="auto"/>
        <w:right w:val="none" w:sz="0" w:space="0" w:color="auto"/>
      </w:divBdr>
    </w:div>
    <w:div w:id="1298989886">
      <w:bodyDiv w:val="1"/>
      <w:marLeft w:val="0"/>
      <w:marRight w:val="0"/>
      <w:marTop w:val="0"/>
      <w:marBottom w:val="0"/>
      <w:divBdr>
        <w:top w:val="none" w:sz="0" w:space="0" w:color="auto"/>
        <w:left w:val="none" w:sz="0" w:space="0" w:color="auto"/>
        <w:bottom w:val="none" w:sz="0" w:space="0" w:color="auto"/>
        <w:right w:val="none" w:sz="0" w:space="0" w:color="auto"/>
      </w:divBdr>
      <w:divsChild>
        <w:div w:id="427124240">
          <w:marLeft w:val="0"/>
          <w:marRight w:val="0"/>
          <w:marTop w:val="0"/>
          <w:marBottom w:val="0"/>
          <w:divBdr>
            <w:top w:val="none" w:sz="0" w:space="0" w:color="auto"/>
            <w:left w:val="none" w:sz="0" w:space="0" w:color="auto"/>
            <w:bottom w:val="none" w:sz="0" w:space="0" w:color="auto"/>
            <w:right w:val="none" w:sz="0" w:space="0" w:color="auto"/>
          </w:divBdr>
        </w:div>
        <w:div w:id="597757364">
          <w:marLeft w:val="0"/>
          <w:marRight w:val="0"/>
          <w:marTop w:val="0"/>
          <w:marBottom w:val="0"/>
          <w:divBdr>
            <w:top w:val="none" w:sz="0" w:space="0" w:color="auto"/>
            <w:left w:val="none" w:sz="0" w:space="0" w:color="auto"/>
            <w:bottom w:val="none" w:sz="0" w:space="0" w:color="auto"/>
            <w:right w:val="none" w:sz="0" w:space="0" w:color="auto"/>
          </w:divBdr>
        </w:div>
      </w:divsChild>
    </w:div>
    <w:div w:id="1302731293">
      <w:bodyDiv w:val="1"/>
      <w:marLeft w:val="0"/>
      <w:marRight w:val="0"/>
      <w:marTop w:val="0"/>
      <w:marBottom w:val="0"/>
      <w:divBdr>
        <w:top w:val="none" w:sz="0" w:space="0" w:color="auto"/>
        <w:left w:val="none" w:sz="0" w:space="0" w:color="auto"/>
        <w:bottom w:val="none" w:sz="0" w:space="0" w:color="auto"/>
        <w:right w:val="none" w:sz="0" w:space="0" w:color="auto"/>
      </w:divBdr>
    </w:div>
    <w:div w:id="1340891116">
      <w:bodyDiv w:val="1"/>
      <w:marLeft w:val="0"/>
      <w:marRight w:val="0"/>
      <w:marTop w:val="0"/>
      <w:marBottom w:val="0"/>
      <w:divBdr>
        <w:top w:val="none" w:sz="0" w:space="0" w:color="auto"/>
        <w:left w:val="none" w:sz="0" w:space="0" w:color="auto"/>
        <w:bottom w:val="none" w:sz="0" w:space="0" w:color="auto"/>
        <w:right w:val="none" w:sz="0" w:space="0" w:color="auto"/>
      </w:divBdr>
      <w:divsChild>
        <w:div w:id="511145337">
          <w:marLeft w:val="0"/>
          <w:marRight w:val="0"/>
          <w:marTop w:val="0"/>
          <w:marBottom w:val="0"/>
          <w:divBdr>
            <w:top w:val="none" w:sz="0" w:space="0" w:color="auto"/>
            <w:left w:val="none" w:sz="0" w:space="0" w:color="auto"/>
            <w:bottom w:val="none" w:sz="0" w:space="0" w:color="auto"/>
            <w:right w:val="none" w:sz="0" w:space="0" w:color="auto"/>
          </w:divBdr>
          <w:divsChild>
            <w:div w:id="2036610896">
              <w:marLeft w:val="0"/>
              <w:marRight w:val="0"/>
              <w:marTop w:val="0"/>
              <w:marBottom w:val="0"/>
              <w:divBdr>
                <w:top w:val="none" w:sz="0" w:space="0" w:color="auto"/>
                <w:left w:val="none" w:sz="0" w:space="0" w:color="auto"/>
                <w:bottom w:val="none" w:sz="0" w:space="0" w:color="auto"/>
                <w:right w:val="none" w:sz="0" w:space="0" w:color="auto"/>
              </w:divBdr>
              <w:divsChild>
                <w:div w:id="1359504241">
                  <w:marLeft w:val="0"/>
                  <w:marRight w:val="0"/>
                  <w:marTop w:val="0"/>
                  <w:marBottom w:val="0"/>
                  <w:divBdr>
                    <w:top w:val="none" w:sz="0" w:space="0" w:color="auto"/>
                    <w:left w:val="none" w:sz="0" w:space="0" w:color="auto"/>
                    <w:bottom w:val="none" w:sz="0" w:space="0" w:color="auto"/>
                    <w:right w:val="none" w:sz="0" w:space="0" w:color="auto"/>
                  </w:divBdr>
                  <w:divsChild>
                    <w:div w:id="154347441">
                      <w:marLeft w:val="0"/>
                      <w:marRight w:val="0"/>
                      <w:marTop w:val="0"/>
                      <w:marBottom w:val="0"/>
                      <w:divBdr>
                        <w:top w:val="none" w:sz="0" w:space="0" w:color="auto"/>
                        <w:left w:val="none" w:sz="0" w:space="0" w:color="auto"/>
                        <w:bottom w:val="none" w:sz="0" w:space="0" w:color="auto"/>
                        <w:right w:val="none" w:sz="0" w:space="0" w:color="auto"/>
                      </w:divBdr>
                      <w:divsChild>
                        <w:div w:id="2030259622">
                          <w:marLeft w:val="0"/>
                          <w:marRight w:val="0"/>
                          <w:marTop w:val="0"/>
                          <w:marBottom w:val="0"/>
                          <w:divBdr>
                            <w:top w:val="none" w:sz="0" w:space="0" w:color="auto"/>
                            <w:left w:val="none" w:sz="0" w:space="0" w:color="auto"/>
                            <w:bottom w:val="none" w:sz="0" w:space="0" w:color="auto"/>
                            <w:right w:val="none" w:sz="0" w:space="0" w:color="auto"/>
                          </w:divBdr>
                          <w:divsChild>
                            <w:div w:id="655958438">
                              <w:marLeft w:val="0"/>
                              <w:marRight w:val="0"/>
                              <w:marTop w:val="0"/>
                              <w:marBottom w:val="0"/>
                              <w:divBdr>
                                <w:top w:val="none" w:sz="0" w:space="0" w:color="auto"/>
                                <w:left w:val="none" w:sz="0" w:space="0" w:color="auto"/>
                                <w:bottom w:val="none" w:sz="0" w:space="0" w:color="auto"/>
                                <w:right w:val="none" w:sz="0" w:space="0" w:color="auto"/>
                              </w:divBdr>
                              <w:divsChild>
                                <w:div w:id="1366710136">
                                  <w:marLeft w:val="0"/>
                                  <w:marRight w:val="0"/>
                                  <w:marTop w:val="0"/>
                                  <w:marBottom w:val="0"/>
                                  <w:divBdr>
                                    <w:top w:val="none" w:sz="0" w:space="0" w:color="auto"/>
                                    <w:left w:val="none" w:sz="0" w:space="0" w:color="auto"/>
                                    <w:bottom w:val="none" w:sz="0" w:space="0" w:color="auto"/>
                                    <w:right w:val="none" w:sz="0" w:space="0" w:color="auto"/>
                                  </w:divBdr>
                                  <w:divsChild>
                                    <w:div w:id="580407357">
                                      <w:marLeft w:val="0"/>
                                      <w:marRight w:val="0"/>
                                      <w:marTop w:val="0"/>
                                      <w:marBottom w:val="0"/>
                                      <w:divBdr>
                                        <w:top w:val="none" w:sz="0" w:space="0" w:color="auto"/>
                                        <w:left w:val="none" w:sz="0" w:space="0" w:color="auto"/>
                                        <w:bottom w:val="none" w:sz="0" w:space="0" w:color="auto"/>
                                        <w:right w:val="none" w:sz="0" w:space="0" w:color="auto"/>
                                      </w:divBdr>
                                      <w:divsChild>
                                        <w:div w:id="1727989771">
                                          <w:marLeft w:val="0"/>
                                          <w:marRight w:val="0"/>
                                          <w:marTop w:val="0"/>
                                          <w:marBottom w:val="0"/>
                                          <w:divBdr>
                                            <w:top w:val="none" w:sz="0" w:space="0" w:color="auto"/>
                                            <w:left w:val="none" w:sz="0" w:space="0" w:color="auto"/>
                                            <w:bottom w:val="none" w:sz="0" w:space="0" w:color="auto"/>
                                            <w:right w:val="none" w:sz="0" w:space="0" w:color="auto"/>
                                          </w:divBdr>
                                          <w:divsChild>
                                            <w:div w:id="1700617889">
                                              <w:marLeft w:val="0"/>
                                              <w:marRight w:val="0"/>
                                              <w:marTop w:val="0"/>
                                              <w:marBottom w:val="0"/>
                                              <w:divBdr>
                                                <w:top w:val="none" w:sz="0" w:space="0" w:color="auto"/>
                                                <w:left w:val="none" w:sz="0" w:space="0" w:color="auto"/>
                                                <w:bottom w:val="none" w:sz="0" w:space="0" w:color="auto"/>
                                                <w:right w:val="none" w:sz="0" w:space="0" w:color="auto"/>
                                              </w:divBdr>
                                              <w:divsChild>
                                                <w:div w:id="661860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42008842">
      <w:bodyDiv w:val="1"/>
      <w:marLeft w:val="0"/>
      <w:marRight w:val="0"/>
      <w:marTop w:val="0"/>
      <w:marBottom w:val="0"/>
      <w:divBdr>
        <w:top w:val="none" w:sz="0" w:space="0" w:color="auto"/>
        <w:left w:val="none" w:sz="0" w:space="0" w:color="auto"/>
        <w:bottom w:val="none" w:sz="0" w:space="0" w:color="auto"/>
        <w:right w:val="none" w:sz="0" w:space="0" w:color="auto"/>
      </w:divBdr>
      <w:divsChild>
        <w:div w:id="400955705">
          <w:marLeft w:val="0"/>
          <w:marRight w:val="0"/>
          <w:marTop w:val="0"/>
          <w:marBottom w:val="0"/>
          <w:divBdr>
            <w:top w:val="none" w:sz="0" w:space="0" w:color="auto"/>
            <w:left w:val="none" w:sz="0" w:space="0" w:color="auto"/>
            <w:bottom w:val="none" w:sz="0" w:space="0" w:color="auto"/>
            <w:right w:val="none" w:sz="0" w:space="0" w:color="auto"/>
          </w:divBdr>
        </w:div>
        <w:div w:id="609237965">
          <w:marLeft w:val="0"/>
          <w:marRight w:val="0"/>
          <w:marTop w:val="0"/>
          <w:marBottom w:val="0"/>
          <w:divBdr>
            <w:top w:val="none" w:sz="0" w:space="0" w:color="auto"/>
            <w:left w:val="none" w:sz="0" w:space="0" w:color="auto"/>
            <w:bottom w:val="none" w:sz="0" w:space="0" w:color="auto"/>
            <w:right w:val="none" w:sz="0" w:space="0" w:color="auto"/>
          </w:divBdr>
        </w:div>
        <w:div w:id="633634666">
          <w:marLeft w:val="0"/>
          <w:marRight w:val="0"/>
          <w:marTop w:val="0"/>
          <w:marBottom w:val="0"/>
          <w:divBdr>
            <w:top w:val="none" w:sz="0" w:space="0" w:color="auto"/>
            <w:left w:val="none" w:sz="0" w:space="0" w:color="auto"/>
            <w:bottom w:val="none" w:sz="0" w:space="0" w:color="auto"/>
            <w:right w:val="none" w:sz="0" w:space="0" w:color="auto"/>
          </w:divBdr>
        </w:div>
        <w:div w:id="659651080">
          <w:marLeft w:val="0"/>
          <w:marRight w:val="0"/>
          <w:marTop w:val="0"/>
          <w:marBottom w:val="0"/>
          <w:divBdr>
            <w:top w:val="none" w:sz="0" w:space="0" w:color="auto"/>
            <w:left w:val="none" w:sz="0" w:space="0" w:color="auto"/>
            <w:bottom w:val="none" w:sz="0" w:space="0" w:color="auto"/>
            <w:right w:val="none" w:sz="0" w:space="0" w:color="auto"/>
          </w:divBdr>
        </w:div>
        <w:div w:id="698504205">
          <w:marLeft w:val="0"/>
          <w:marRight w:val="0"/>
          <w:marTop w:val="0"/>
          <w:marBottom w:val="0"/>
          <w:divBdr>
            <w:top w:val="none" w:sz="0" w:space="0" w:color="auto"/>
            <w:left w:val="none" w:sz="0" w:space="0" w:color="auto"/>
            <w:bottom w:val="none" w:sz="0" w:space="0" w:color="auto"/>
            <w:right w:val="none" w:sz="0" w:space="0" w:color="auto"/>
          </w:divBdr>
        </w:div>
        <w:div w:id="710423416">
          <w:marLeft w:val="0"/>
          <w:marRight w:val="0"/>
          <w:marTop w:val="0"/>
          <w:marBottom w:val="0"/>
          <w:divBdr>
            <w:top w:val="none" w:sz="0" w:space="0" w:color="auto"/>
            <w:left w:val="none" w:sz="0" w:space="0" w:color="auto"/>
            <w:bottom w:val="none" w:sz="0" w:space="0" w:color="auto"/>
            <w:right w:val="none" w:sz="0" w:space="0" w:color="auto"/>
          </w:divBdr>
        </w:div>
        <w:div w:id="2053651164">
          <w:marLeft w:val="0"/>
          <w:marRight w:val="0"/>
          <w:marTop w:val="0"/>
          <w:marBottom w:val="0"/>
          <w:divBdr>
            <w:top w:val="none" w:sz="0" w:space="0" w:color="auto"/>
            <w:left w:val="none" w:sz="0" w:space="0" w:color="auto"/>
            <w:bottom w:val="none" w:sz="0" w:space="0" w:color="auto"/>
            <w:right w:val="none" w:sz="0" w:space="0" w:color="auto"/>
          </w:divBdr>
        </w:div>
      </w:divsChild>
    </w:div>
    <w:div w:id="1346249677">
      <w:bodyDiv w:val="1"/>
      <w:marLeft w:val="0"/>
      <w:marRight w:val="0"/>
      <w:marTop w:val="0"/>
      <w:marBottom w:val="0"/>
      <w:divBdr>
        <w:top w:val="none" w:sz="0" w:space="0" w:color="auto"/>
        <w:left w:val="none" w:sz="0" w:space="0" w:color="auto"/>
        <w:bottom w:val="none" w:sz="0" w:space="0" w:color="auto"/>
        <w:right w:val="none" w:sz="0" w:space="0" w:color="auto"/>
      </w:divBdr>
    </w:div>
    <w:div w:id="1394045530">
      <w:bodyDiv w:val="1"/>
      <w:marLeft w:val="0"/>
      <w:marRight w:val="0"/>
      <w:marTop w:val="0"/>
      <w:marBottom w:val="0"/>
      <w:divBdr>
        <w:top w:val="none" w:sz="0" w:space="0" w:color="auto"/>
        <w:left w:val="none" w:sz="0" w:space="0" w:color="auto"/>
        <w:bottom w:val="none" w:sz="0" w:space="0" w:color="auto"/>
        <w:right w:val="none" w:sz="0" w:space="0" w:color="auto"/>
      </w:divBdr>
      <w:divsChild>
        <w:div w:id="291792328">
          <w:marLeft w:val="0"/>
          <w:marRight w:val="0"/>
          <w:marTop w:val="0"/>
          <w:marBottom w:val="0"/>
          <w:divBdr>
            <w:top w:val="none" w:sz="0" w:space="0" w:color="auto"/>
            <w:left w:val="none" w:sz="0" w:space="0" w:color="auto"/>
            <w:bottom w:val="none" w:sz="0" w:space="0" w:color="auto"/>
            <w:right w:val="none" w:sz="0" w:space="0" w:color="auto"/>
          </w:divBdr>
        </w:div>
        <w:div w:id="1171749439">
          <w:marLeft w:val="0"/>
          <w:marRight w:val="0"/>
          <w:marTop w:val="0"/>
          <w:marBottom w:val="0"/>
          <w:divBdr>
            <w:top w:val="none" w:sz="0" w:space="0" w:color="auto"/>
            <w:left w:val="none" w:sz="0" w:space="0" w:color="auto"/>
            <w:bottom w:val="none" w:sz="0" w:space="0" w:color="auto"/>
            <w:right w:val="none" w:sz="0" w:space="0" w:color="auto"/>
          </w:divBdr>
        </w:div>
        <w:div w:id="2029870068">
          <w:marLeft w:val="0"/>
          <w:marRight w:val="0"/>
          <w:marTop w:val="0"/>
          <w:marBottom w:val="0"/>
          <w:divBdr>
            <w:top w:val="none" w:sz="0" w:space="0" w:color="auto"/>
            <w:left w:val="none" w:sz="0" w:space="0" w:color="auto"/>
            <w:bottom w:val="none" w:sz="0" w:space="0" w:color="auto"/>
            <w:right w:val="none" w:sz="0" w:space="0" w:color="auto"/>
          </w:divBdr>
        </w:div>
      </w:divsChild>
    </w:div>
    <w:div w:id="1492060717">
      <w:bodyDiv w:val="1"/>
      <w:marLeft w:val="0"/>
      <w:marRight w:val="0"/>
      <w:marTop w:val="0"/>
      <w:marBottom w:val="0"/>
      <w:divBdr>
        <w:top w:val="none" w:sz="0" w:space="0" w:color="auto"/>
        <w:left w:val="none" w:sz="0" w:space="0" w:color="auto"/>
        <w:bottom w:val="none" w:sz="0" w:space="0" w:color="auto"/>
        <w:right w:val="none" w:sz="0" w:space="0" w:color="auto"/>
      </w:divBdr>
    </w:div>
    <w:div w:id="1656295974">
      <w:bodyDiv w:val="1"/>
      <w:marLeft w:val="0"/>
      <w:marRight w:val="0"/>
      <w:marTop w:val="0"/>
      <w:marBottom w:val="0"/>
      <w:divBdr>
        <w:top w:val="none" w:sz="0" w:space="0" w:color="auto"/>
        <w:left w:val="none" w:sz="0" w:space="0" w:color="auto"/>
        <w:bottom w:val="none" w:sz="0" w:space="0" w:color="auto"/>
        <w:right w:val="none" w:sz="0" w:space="0" w:color="auto"/>
      </w:divBdr>
    </w:div>
    <w:div w:id="1675693361">
      <w:bodyDiv w:val="1"/>
      <w:marLeft w:val="0"/>
      <w:marRight w:val="0"/>
      <w:marTop w:val="0"/>
      <w:marBottom w:val="0"/>
      <w:divBdr>
        <w:top w:val="none" w:sz="0" w:space="0" w:color="auto"/>
        <w:left w:val="none" w:sz="0" w:space="0" w:color="auto"/>
        <w:bottom w:val="none" w:sz="0" w:space="0" w:color="auto"/>
        <w:right w:val="none" w:sz="0" w:space="0" w:color="auto"/>
      </w:divBdr>
    </w:div>
    <w:div w:id="1679503467">
      <w:bodyDiv w:val="1"/>
      <w:marLeft w:val="0"/>
      <w:marRight w:val="0"/>
      <w:marTop w:val="0"/>
      <w:marBottom w:val="0"/>
      <w:divBdr>
        <w:top w:val="none" w:sz="0" w:space="0" w:color="auto"/>
        <w:left w:val="none" w:sz="0" w:space="0" w:color="auto"/>
        <w:bottom w:val="none" w:sz="0" w:space="0" w:color="auto"/>
        <w:right w:val="none" w:sz="0" w:space="0" w:color="auto"/>
      </w:divBdr>
    </w:div>
    <w:div w:id="1829397637">
      <w:bodyDiv w:val="1"/>
      <w:marLeft w:val="0"/>
      <w:marRight w:val="0"/>
      <w:marTop w:val="0"/>
      <w:marBottom w:val="0"/>
      <w:divBdr>
        <w:top w:val="none" w:sz="0" w:space="0" w:color="auto"/>
        <w:left w:val="none" w:sz="0" w:space="0" w:color="auto"/>
        <w:bottom w:val="none" w:sz="0" w:space="0" w:color="auto"/>
        <w:right w:val="none" w:sz="0" w:space="0" w:color="auto"/>
      </w:divBdr>
      <w:divsChild>
        <w:div w:id="461922809">
          <w:marLeft w:val="0"/>
          <w:marRight w:val="0"/>
          <w:marTop w:val="0"/>
          <w:marBottom w:val="0"/>
          <w:divBdr>
            <w:top w:val="none" w:sz="0" w:space="0" w:color="auto"/>
            <w:left w:val="none" w:sz="0" w:space="0" w:color="auto"/>
            <w:bottom w:val="none" w:sz="0" w:space="0" w:color="auto"/>
            <w:right w:val="none" w:sz="0" w:space="0" w:color="auto"/>
          </w:divBdr>
        </w:div>
        <w:div w:id="1022825285">
          <w:marLeft w:val="0"/>
          <w:marRight w:val="0"/>
          <w:marTop w:val="0"/>
          <w:marBottom w:val="0"/>
          <w:divBdr>
            <w:top w:val="none" w:sz="0" w:space="0" w:color="auto"/>
            <w:left w:val="none" w:sz="0" w:space="0" w:color="auto"/>
            <w:bottom w:val="none" w:sz="0" w:space="0" w:color="auto"/>
            <w:right w:val="none" w:sz="0" w:space="0" w:color="auto"/>
          </w:divBdr>
        </w:div>
        <w:div w:id="1095328220">
          <w:marLeft w:val="0"/>
          <w:marRight w:val="0"/>
          <w:marTop w:val="0"/>
          <w:marBottom w:val="0"/>
          <w:divBdr>
            <w:top w:val="none" w:sz="0" w:space="0" w:color="auto"/>
            <w:left w:val="none" w:sz="0" w:space="0" w:color="auto"/>
            <w:bottom w:val="none" w:sz="0" w:space="0" w:color="auto"/>
            <w:right w:val="none" w:sz="0" w:space="0" w:color="auto"/>
          </w:divBdr>
        </w:div>
        <w:div w:id="1797140569">
          <w:marLeft w:val="0"/>
          <w:marRight w:val="0"/>
          <w:marTop w:val="0"/>
          <w:marBottom w:val="0"/>
          <w:divBdr>
            <w:top w:val="none" w:sz="0" w:space="0" w:color="auto"/>
            <w:left w:val="none" w:sz="0" w:space="0" w:color="auto"/>
            <w:bottom w:val="none" w:sz="0" w:space="0" w:color="auto"/>
            <w:right w:val="none" w:sz="0" w:space="0" w:color="auto"/>
          </w:divBdr>
        </w:div>
      </w:divsChild>
    </w:div>
    <w:div w:id="1882864422">
      <w:bodyDiv w:val="1"/>
      <w:marLeft w:val="0"/>
      <w:marRight w:val="0"/>
      <w:marTop w:val="0"/>
      <w:marBottom w:val="0"/>
      <w:divBdr>
        <w:top w:val="none" w:sz="0" w:space="0" w:color="auto"/>
        <w:left w:val="none" w:sz="0" w:space="0" w:color="auto"/>
        <w:bottom w:val="none" w:sz="0" w:space="0" w:color="auto"/>
        <w:right w:val="none" w:sz="0" w:space="0" w:color="auto"/>
      </w:divBdr>
    </w:div>
    <w:div w:id="1891382942">
      <w:bodyDiv w:val="1"/>
      <w:marLeft w:val="0"/>
      <w:marRight w:val="0"/>
      <w:marTop w:val="0"/>
      <w:marBottom w:val="0"/>
      <w:divBdr>
        <w:top w:val="none" w:sz="0" w:space="0" w:color="auto"/>
        <w:left w:val="none" w:sz="0" w:space="0" w:color="auto"/>
        <w:bottom w:val="none" w:sz="0" w:space="0" w:color="auto"/>
        <w:right w:val="none" w:sz="0" w:space="0" w:color="auto"/>
      </w:divBdr>
      <w:divsChild>
        <w:div w:id="53168706">
          <w:marLeft w:val="0"/>
          <w:marRight w:val="0"/>
          <w:marTop w:val="0"/>
          <w:marBottom w:val="0"/>
          <w:divBdr>
            <w:top w:val="none" w:sz="0" w:space="0" w:color="auto"/>
            <w:left w:val="none" w:sz="0" w:space="0" w:color="auto"/>
            <w:bottom w:val="none" w:sz="0" w:space="0" w:color="auto"/>
            <w:right w:val="none" w:sz="0" w:space="0" w:color="auto"/>
          </w:divBdr>
        </w:div>
        <w:div w:id="78061350">
          <w:marLeft w:val="0"/>
          <w:marRight w:val="0"/>
          <w:marTop w:val="0"/>
          <w:marBottom w:val="0"/>
          <w:divBdr>
            <w:top w:val="none" w:sz="0" w:space="0" w:color="auto"/>
            <w:left w:val="none" w:sz="0" w:space="0" w:color="auto"/>
            <w:bottom w:val="none" w:sz="0" w:space="0" w:color="auto"/>
            <w:right w:val="none" w:sz="0" w:space="0" w:color="auto"/>
          </w:divBdr>
        </w:div>
        <w:div w:id="1231765374">
          <w:marLeft w:val="0"/>
          <w:marRight w:val="0"/>
          <w:marTop w:val="0"/>
          <w:marBottom w:val="0"/>
          <w:divBdr>
            <w:top w:val="none" w:sz="0" w:space="0" w:color="auto"/>
            <w:left w:val="none" w:sz="0" w:space="0" w:color="auto"/>
            <w:bottom w:val="none" w:sz="0" w:space="0" w:color="auto"/>
            <w:right w:val="none" w:sz="0" w:space="0" w:color="auto"/>
          </w:divBdr>
        </w:div>
        <w:div w:id="1689720967">
          <w:marLeft w:val="0"/>
          <w:marRight w:val="0"/>
          <w:marTop w:val="0"/>
          <w:marBottom w:val="0"/>
          <w:divBdr>
            <w:top w:val="none" w:sz="0" w:space="0" w:color="auto"/>
            <w:left w:val="none" w:sz="0" w:space="0" w:color="auto"/>
            <w:bottom w:val="none" w:sz="0" w:space="0" w:color="auto"/>
            <w:right w:val="none" w:sz="0" w:space="0" w:color="auto"/>
          </w:divBdr>
        </w:div>
        <w:div w:id="1718510568">
          <w:marLeft w:val="0"/>
          <w:marRight w:val="0"/>
          <w:marTop w:val="0"/>
          <w:marBottom w:val="0"/>
          <w:divBdr>
            <w:top w:val="none" w:sz="0" w:space="0" w:color="auto"/>
            <w:left w:val="none" w:sz="0" w:space="0" w:color="auto"/>
            <w:bottom w:val="none" w:sz="0" w:space="0" w:color="auto"/>
            <w:right w:val="none" w:sz="0" w:space="0" w:color="auto"/>
          </w:divBdr>
        </w:div>
      </w:divsChild>
    </w:div>
    <w:div w:id="2062943806">
      <w:bodyDiv w:val="1"/>
      <w:marLeft w:val="0"/>
      <w:marRight w:val="0"/>
      <w:marTop w:val="0"/>
      <w:marBottom w:val="0"/>
      <w:divBdr>
        <w:top w:val="none" w:sz="0" w:space="0" w:color="auto"/>
        <w:left w:val="none" w:sz="0" w:space="0" w:color="auto"/>
        <w:bottom w:val="none" w:sz="0" w:space="0" w:color="auto"/>
        <w:right w:val="none" w:sz="0" w:space="0" w:color="auto"/>
      </w:divBdr>
    </w:div>
    <w:div w:id="2088503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ad30025-d0d5-4532-b26e-26983efa1e1c">
      <UserInfo>
        <DisplayName>Emilija Šaulytė</DisplayName>
        <AccountId>231</AccountId>
        <AccountType/>
      </UserInfo>
      <UserInfo>
        <DisplayName>Virginija Vingrienė</DisplayName>
        <AccountId>2347</AccountId>
        <AccountType/>
      </UserInfo>
    </SharedWithUsers>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8" ma:contentTypeDescription="Create a new document." ma:contentTypeScope="" ma:versionID="93e0a16fd47a8cab8c2d139a6a5b44f0">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0d03953f07cdd130e1d7f142167cd43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3881e090afde4fca990ea8c217536a0d" PartId="60b5c3dbed3f4ae8ac162d687d488074">
    <Part Type="skirsnis" Title="DĖL APLINKOS MINISTRO ĮSAKYMO PROJEKTO" DocPartId="242d2ee48f35499a8f030f5679a94853" PartId="6e568161e4824cae872bf81f1ebd2785">
      <Part Type="punktas" Nr="1" Abbr="1 p." DocPartId="240787f690884a7b99478d6dbc280abc" PartId="d704ff695bbb464b90a20dd33b70f0d0"/>
      <Part Type="punktas" Nr="2" Abbr="2 p." DocPartId="74d000a0aa0843b3aa97c7a5462e75bb" PartId="6f7ac7dd32994ef29003b8391d2a5b8f"/>
      <Part Type="punktas" Nr="3" Abbr="3 p." DocPartId="919a2eb1d0a941a9a684f752e12e96ea" PartId="1d39007734574897b8104528f319a5d5"/>
    </Part>
  </Part>
  <Part Type="lentele" DocPartId="07ce369116334fb79aee9dee0df9ccc8" PartId="31536f4bf890408eb0f456fe8fd44298"/>
  <Part Type="pastraipa" DocPartId="19aea3bcc6c44ba784352ce815219442" PartId="d06b0b00cd81453e94b9773707b1f419">
    <Part Type="skirsnis" Title="ADRESATŲ SĄRAŠAS" DocPartId="88d975290db24ff6bf935e34a67c92fc" PartId="2ab8bf068cbe47899330f3e14bfab798">
      <Part Type="punktas" Nr="1" Abbr="1 p." DocPartId="829a8af2793f4eabb872e7e2173767f6" PartId="b62a39b53cab41b89ccc65fcbb7f73ea"/>
      <Part Type="punktas" Nr="2" Abbr="2 p." DocPartId="2397ca6af5194f35976052e42f5b2e7b" PartId="929a791dd1004c4da2d1e6f6a302c18a"/>
      <Part Type="punktas" Nr="3" Abbr="3 p." DocPartId="fbfd4457c7334db694ae3de363fbeb24" PartId="af6a4413548a4766820394528eaad356"/>
      <Part Type="punktas" Nr="4" Abbr="4 p." DocPartId="ba416368e82b4c68be99a756599e0422" PartId="39eee239f3f14f6599f87739f5ec3518"/>
      <Part Type="punktas" Nr="5" Abbr="5 p." DocPartId="b0884a5accaa4fd4a8c7374d703e4b5f" PartId="5dc0904ad3254ea8a5eaeac3343b2f05"/>
      <Part Type="punktas" Nr="6" Abbr="6 p." DocPartId="6ba141424a284116b7221be89ead23ca" PartId="8e62cb8fdea747d4ab100e5c3c9bcc5c"/>
      <Part Type="punktas" Nr="7" Abbr="7 p." DocPartId="88457477b3e548a9aca489b990c86982" PartId="1326a40831bc4fc78aad5ef1d2ddb720"/>
      <Part Type="punktas" Nr="8" Abbr="8 p." DocPartId="f6e082960fbd4c42bd14edb7901af62e" PartId="12729e22384842bfaac1568a92eed3cf"/>
      <Part Type="punktas" Nr="9" Abbr="9 p." DocPartId="095f640002be48848826f8465b0f74c3" PartId="b94d9909725b47e39ddb8cb63db6b1a2"/>
      <Part Type="punktas" Nr="10" Abbr="10 p." DocPartId="5d87a959040d458681faed81322fa777" PartId="49e439136ede4b89921367c327d66e1d"/>
      <Part Type="punktas" Nr="11" Abbr="11 p." DocPartId="c06781f6b95e485baade27d11b2d86c9" PartId="0ccf5cd761ca44b6b9ecb32819302315"/>
      <Part Type="punktas" Nr="12" Abbr="12 p." DocPartId="5712f5015f6340259767961208af302b" PartId="40b8c7ca3193478ba56f9dc46ecbf7fb"/>
      <Part Type="punktas" Nr="13" Abbr="13 p." DocPartId="32c597217c024a74be8691214aac4ea5" PartId="e197b9dd90e84c80af5b4b8e92ad997f"/>
      <Part Type="punktas" Nr="14" Abbr="14 p." DocPartId="4df5d4ce69d9492b839ac3e5c88f6759" PartId="b4a7060799634575a306442d43465487"/>
      <Part Type="punktas" Nr="15" Abbr="15 p." DocPartId="83deeb4bbd2c4a1e80a142bfb136fb86" PartId="b1e4862dffdf4c1fbd57e6466b4095a3"/>
      <Part Type="punktas" Nr="16" Abbr="16 p." DocPartId="faad88f535a141628144bcef521d70ae" PartId="ac47422298cc4fba983237ef296b87d7"/>
      <Part Type="punktas" Nr="17" Abbr="17 p." DocPartId="310dbb07c6f648a3b5d4f6c494565046" PartId="8848cf729987454aae04ac5e39122d0c"/>
      <Part Type="punktas" Nr="18" Abbr="18 p." DocPartId="e3ef236c7df9415bbe1190f3181fba04" PartId="f4924bcdb0494d63a96950155596f8e3"/>
      <Part Type="punktas" Nr="19" Abbr="19 p." DocPartId="a5f927db1d43489095abcf5a44f293c4" PartId="b9d7c5cc02c7469e9f00df238a8882fb"/>
      <Part Type="punktas" Nr="20" Abbr="20 p." DocPartId="e078e41422804796a6009e992a942001" PartId="4c28c44f2ab949b193e1285dba44c58b"/>
      <Part Type="punktas" Nr="21" Abbr="21 p." DocPartId="7a5b1649650449959a7d5fb165e30fb0" PartId="82e215a48fa742b18e0f483119291b55"/>
      <Part Type="punktas" Nr="22" Abbr="22 p." DocPartId="aeb0d2c1c59449e9a8d58331865c0232" PartId="48739c32c5864de9a38a1b561b8d80c8"/>
      <Part Type="punktas" Nr="23" Abbr="23 p." DocPartId="92a0cca0418746299afd8b352025eb4c" PartId="9add475963cc45d7851b3092e83f65fa"/>
      <Part Type="punktas" Nr="24" Abbr="24 p." DocPartId="f4dcf78fb3c34f97ac5cb6097149edc1" PartId="71c62ad503714e30ace31546fb141ab5"/>
      <Part Type="punktas" Nr="25" Abbr="25 p." DocPartId="12aadcaed99a4fd4ad1358ffca27e073" PartId="4ba5ede8b2434cd1b19b16309ff5af1c"/>
      <Part Type="punktas" Nr="26" Abbr="26 p." DocPartId="f9f550927b8449aba169f1f763276eb6" PartId="22bdc2a9b33c4654a296db1b7332d20e"/>
      <Part Type="punktas" Nr="27" Abbr="27 p." DocPartId="d1d71f8ea3684301a62c39c48c622557" PartId="2bb216c22bb54482babc94311767f6af"/>
      <Part Type="punktas" Nr="28" Abbr="28 p." DocPartId="67e4cbeefcbd4cacae067dfc3326220b" PartId="19bf78a56c6e4043a2938f945b8e6e5e"/>
      <Part Type="punktas" Nr="29" Abbr="29 p." DocPartId="9aec1328c73e4989a784961bd8064c8c" PartId="3502956c4fcc402f9026e3d8bb8f6fdb"/>
      <Part Type="punktas" Nr="30" Abbr="30 p." DocPartId="36f414121c134545a95c60a2fea62a54" PartId="f60e04b7aa224a1fa5c7e8454984260f"/>
      <Part Type="punktas" Nr="31" Abbr="31 p." DocPartId="43a46f9a334b4804a464e6d01a26f0bb" PartId="4211693541364ce0b67d9c2cfe65a0bd"/>
      <Part Type="punktas" Nr="32" Abbr="32 p." DocPartId="0e5e013df1594bff833c47591d35dd29" PartId="ec1ec6d674464c64b1b24a80c6d1db4f"/>
      <Part Type="punktas" Nr="33" Abbr="33 p." DocPartId="1b7ba80769af47809c1fbd15283b1aff" PartId="beb245604c87472181024320e342a3c7"/>
      <Part Type="punktas" Nr="34" Abbr="34 p." DocPartId="f50b03dd1ffe4c74968223ad304324d5" PartId="ff84ff4e7d0b4c5a89ff6f36660817dd"/>
    </Part>
  </Part>
</Parts>
</file>

<file path=customXml/itemProps1.xml><?xml version="1.0" encoding="utf-8"?>
<ds:datastoreItem xmlns:ds="http://schemas.openxmlformats.org/officeDocument/2006/customXml" ds:itemID="{A9C5737B-6DEE-46C6-A77F-64C3B069505A}">
  <ds:schemaRefs>
    <ds:schemaRef ds:uri="http://schemas.microsoft.com/office/2006/documentManagement/types"/>
    <ds:schemaRef ds:uri="2ad30025-d0d5-4532-b26e-26983efa1e1c"/>
    <ds:schemaRef ds:uri="http://schemas.microsoft.com/office/infopath/2007/PartnerControls"/>
    <ds:schemaRef ds:uri="http://purl.org/dc/terms/"/>
    <ds:schemaRef ds:uri="http://schemas.microsoft.com/office/2006/metadata/properties"/>
    <ds:schemaRef ds:uri="http://www.w3.org/XML/1998/namespace"/>
    <ds:schemaRef ds:uri="58c6f6df-7e1f-4a2e-8979-e3f4c92e56f2"/>
    <ds:schemaRef ds:uri="http://schemas.openxmlformats.org/package/2006/metadata/core-properties"/>
    <ds:schemaRef ds:uri="http://purl.org/dc/dcmitype/"/>
    <ds:schemaRef ds:uri="http://purl.org/dc/elements/1.1/"/>
  </ds:schemaRefs>
</ds:datastoreItem>
</file>

<file path=customXml/itemProps2.xml><?xml version="1.0" encoding="utf-8"?>
<ds:datastoreItem xmlns:ds="http://schemas.openxmlformats.org/officeDocument/2006/customXml" ds:itemID="{872DCF90-06B7-4378-89B9-78A7E16A12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2067530-804E-4ACA-941F-C6BA517DAE9A}">
  <ds:schemaRefs>
    <ds:schemaRef ds:uri="http://schemas.microsoft.com/sharepoint/v3/contenttype/forms"/>
  </ds:schemaRefs>
</ds:datastoreItem>
</file>

<file path=customXml/itemProps4.xml><?xml version="1.0" encoding="utf-8"?>
<ds:datastoreItem xmlns:ds="http://schemas.openxmlformats.org/officeDocument/2006/customXml" ds:itemID="{D6C49D56-63B8-4C35-BE5E-1CAD72155B17}">
  <ds:schemaRefs>
    <ds:schemaRef ds:uri="http://schemas.openxmlformats.org/officeDocument/2006/bibliography"/>
  </ds:schemaRefs>
</ds:datastoreItem>
</file>

<file path=customXml/itemProps5.xml><?xml version="1.0" encoding="utf-8"?>
<ds:datastoreItem xmlns:ds="http://schemas.openxmlformats.org/officeDocument/2006/customXml" ds:itemID="{12B415F0-8829-49B3-8071-CB426286BB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621</Words>
  <Characters>4495</Characters>
  <Application>Microsoft Office Word</Application>
  <DocSecurity>4</DocSecurity>
  <Lines>149</Lines>
  <Paragraphs>71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5045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2023-12-22T06:20:00Z</dcterms:created>
  <dcterms:modified xsi:type="dcterms:W3CDTF">2023-12-22T06:20:00Z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y fmtid="{D5CDD505-2E9C-101B-9397-08002B2CF9AE}" pid="3" name="MediaServiceImageTags">
    <vt:lpwstr/>
  </property>
</Properties>
</file>