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a4cd237f2c244958cd3f2cbc3830494"/>
        <w:lock w:val="sdtLocked"/>
        <w:richText/>
      </w:sdtPr>
      <w:sdtContent>
        <w:p w14:paraId="77449230" w14:textId="77777777">
          <w:pPr>
            <w:tabs>
              <w:tab w:val="center" w:pos="4819"/>
              <w:tab w:val="right" w:pos="9638"/>
            </w:tabs>
          </w:pPr>
        </w:p>
        <w:p w14:paraId="3EA4A12C" w14:textId="77777777">
          <w:pPr>
            <w:keepLines/>
            <w:tabs>
              <w:tab w:val="left" w:pos="7020"/>
            </w:tabs>
            <w:suppressAutoHyphens/>
            <w:ind w:firstLine="567"/>
            <w:jc w:val="center"/>
            <w:textAlignment w:val="baseline"/>
            <w:rPr>
              <w:b/>
              <w:szCs w:val="24"/>
            </w:rPr>
          </w:pPr>
        </w:p>
        <w:p w14:paraId="5325398E" w14:textId="77E0F4B9">
          <w:pPr>
            <w:keepLines/>
            <w:tabs>
              <w:tab w:val="left" w:pos="7020"/>
            </w:tabs>
            <w:suppressAutoHyphens/>
            <w:jc w:val="center"/>
            <w:textAlignment w:val="baseline"/>
            <w:rPr>
              <w:b/>
              <w:szCs w:val="24"/>
            </w:rPr>
          </w:pPr>
          <w:r>
            <w:rPr>
              <w:b/>
              <w:szCs w:val="24"/>
            </w:rPr>
            <w:t>RADVILIŠKIO RAJONO SAVIVALDYBĖS KONTROLĖS IR AUDITO TARNYBOS</w:t>
          </w:r>
        </w:p>
        <w:p w14:paraId="561DE316" w14:textId="77777777">
          <w:pPr>
            <w:keepLines/>
            <w:tabs>
              <w:tab w:val="left" w:pos="7020"/>
            </w:tabs>
            <w:suppressAutoHyphens/>
            <w:jc w:val="center"/>
            <w:textAlignment w:val="baseline"/>
            <w:rPr>
              <w:b/>
              <w:szCs w:val="24"/>
            </w:rPr>
          </w:pPr>
        </w:p>
        <w:p w14:paraId="539DAF6A" w14:textId="034C511E">
          <w:pPr>
            <w:keepLines/>
            <w:tabs>
              <w:tab w:val="left" w:pos="7020"/>
            </w:tabs>
            <w:suppressAutoHyphens/>
            <w:jc w:val="center"/>
            <w:textAlignment w:val="baseline"/>
            <w:rPr>
              <w:b/>
              <w:szCs w:val="24"/>
            </w:rPr>
          </w:pPr>
          <w:r>
            <w:rPr>
              <w:b/>
              <w:szCs w:val="24"/>
            </w:rPr>
            <w:t>2024 METŲ VEIKLOS ATASKAITA</w:t>
          </w:r>
        </w:p>
        <w:p w14:paraId="635F48FA" w14:textId="77777777">
          <w:pPr>
            <w:suppressAutoHyphens/>
            <w:jc w:val="center"/>
            <w:textAlignment w:val="baseline"/>
            <w:rPr>
              <w:b/>
              <w:szCs w:val="24"/>
            </w:rPr>
          </w:pPr>
        </w:p>
        <w:p w14:paraId="597F85FF" w14:textId="19EF835A">
          <w:pPr>
            <w:suppressAutoHyphens/>
            <w:jc w:val="center"/>
            <w:textAlignment w:val="baseline"/>
            <w:rPr>
              <w:szCs w:val="24"/>
            </w:rPr>
          </w:pPr>
          <w:r>
            <w:rPr>
              <w:szCs w:val="24"/>
            </w:rPr>
            <w:t>2025-04-09</w:t>
          </w:r>
        </w:p>
        <w:p w14:paraId="370BAF1B" w14:textId="786E8F66">
          <w:pPr>
            <w:suppressAutoHyphens/>
            <w:jc w:val="center"/>
            <w:textAlignment w:val="baseline"/>
            <w:rPr>
              <w:szCs w:val="24"/>
            </w:rPr>
          </w:pPr>
          <w:r>
            <w:rPr>
              <w:szCs w:val="24"/>
            </w:rPr>
            <w:t>Radviliškis</w:t>
          </w:r>
        </w:p>
        <w:p w14:paraId="4D3D61FE" w14:textId="77777777">
          <w:pPr>
            <w:suppressAutoHyphens/>
            <w:jc w:val="center"/>
            <w:textAlignment w:val="baseline"/>
            <w:rPr>
              <w:b/>
              <w:bCs/>
              <w:szCs w:val="24"/>
            </w:rPr>
          </w:pPr>
        </w:p>
        <w:p w14:paraId="1E077695" w14:textId="46E53C04">
          <w:pPr>
            <w:suppressAutoHyphens/>
            <w:jc w:val="center"/>
            <w:textAlignment w:val="baseline"/>
            <w:rPr>
              <w:b/>
              <w:bCs/>
              <w:szCs w:val="24"/>
            </w:rPr>
          </w:pPr>
          <w:r>
            <w:rPr>
              <w:b/>
              <w:bCs/>
              <w:szCs w:val="24"/>
            </w:rPr>
            <w:t>VADOVO PRANEŠIMAS</w:t>
          </w:r>
        </w:p>
        <w:p w14:paraId="1F5D06E0" w14:textId="77777777">
          <w:pPr>
            <w:suppressAutoHyphens/>
            <w:ind w:firstLine="567"/>
            <w:jc w:val="center"/>
            <w:textAlignment w:val="baseline"/>
            <w:rPr>
              <w:b/>
              <w:szCs w:val="24"/>
            </w:rPr>
          </w:pPr>
        </w:p>
        <w:sdt>
          <w:sdtPr>
            <w:alias w:val="preambule"/>
            <w:tag w:val="part_782f26d13e0c4ea5af1e093e871f7f6a"/>
            <w:lock w:val="sdtLocked"/>
            <w:richText/>
          </w:sdtPr>
          <w:sdtContent>
            <w:p w14:paraId="7C3665A7" w14:textId="137BC1DD">
              <w:pPr>
                <w:suppressAutoHyphens/>
                <w:ind w:firstLine="851"/>
                <w:jc w:val="both"/>
                <w:textAlignment w:val="baseline"/>
                <w:rPr>
                  <w:rFonts w:eastAsia="Calibri"/>
                  <w:bCs/>
                  <w:szCs w:val="24"/>
                </w:rPr>
              </w:pPr>
              <w:r>
                <w:rPr>
                  <w:rFonts w:eastAsia="Calibri"/>
                  <w:bCs/>
                  <w:szCs w:val="24"/>
                </w:rPr>
                <w:t>Vertinant 2024 metais nuveiktus darbus, labiausiai džiugina tai, kad turėdami aiškią misiją – padėti savivaldybei tinkamai valdyti turtą, lėšas ir kitus išteklius, skatinti viešojo sektoriaus subjektus gerinti veiklos kokybę ir veiklos administravimą – jos įgyvendinimą, galime patvirtinti savo veiklos rezultatais ir puikiu komandiniu darbu. Per audito ir kontrolės procesus siekėme ne tik identifikuoti galimus rizikos veiksnius, bet ir nuolat tobulinti procesus, kad pasiektume aukščiausią kokybės lygį, kad visi mūsų veiksmai būtų atlikti laikantis įstatymų, vidaus politikos ir gerosios praktikos. Mes dėjome dideles pastangas ne tik vertinant praeities sprendimus, bet ir prisidedant prie pokyčių, kurie šių dienų kontekste tampa kasdienybe. Analizuojant pokyčius, rekomendacijų įgyvendinimą, pastebime didžiausias rizikas ir matome, kam turime skirti didesnį dėmesį. Dažnai veiklos prioritetus padiktavo išorės veiksniai, tokie kaip informacija žiniasklaidoje, reikšmingi teisės aktų pasikeitimai, informacinių technologijų ir finansinės apskaitos naujovės, įstaigų struktūriniai pertvarkymai ir vadovų kaita. Turimi žmogiškieji ištekliai įpareigojo labai atsakingai įvertinti visas veiklos rizikas ir grėsmes nusistatant prioritetus, planuojant savo darbus.</w:t>
              </w:r>
            </w:p>
          </w:sdtContent>
        </w:sdt>
        <w:sdt>
          <w:sdtPr>
            <w:alias w:val="pastraipa"/>
            <w:tag w:val="part_be8b38723cf1404983c5fb9d55aafc04"/>
            <w:lock w:val="sdtLocked"/>
            <w:richText/>
          </w:sdtPr>
          <w:sdtContent>
            <w:p w14:paraId="4AB8EED9" w14:textId="726329B0">
              <w:pPr>
                <w:suppressAutoHyphens/>
                <w:ind w:firstLine="851"/>
                <w:jc w:val="both"/>
                <w:textAlignment w:val="baseline"/>
                <w:rPr>
                  <w:rFonts w:eastAsia="Calibri"/>
                  <w:bCs/>
                  <w:szCs w:val="24"/>
                </w:rPr>
              </w:pPr>
              <w:r>
                <w:rPr>
                  <w:rFonts w:eastAsia="Calibri"/>
                  <w:bCs/>
                  <w:szCs w:val="24"/>
                </w:rPr>
                <w:t>Nuolat stebime, kuo gyva savivalda ir visuomenė, kurios lūkesčiai yra audito temų pagrindas. Analizuojame, esamus procesus, siekiame atskleisti stipriąsias ir silpnąsias vietas, kurios gali turėti įtakos mūsų veiklos rezultatams. Esu įsitikinusi, kad ateityje mūsų komanda ir toliau dirbs atsakingai ir su atsidavimu, kad pasiektų aukštus standartus ir prisidėtų prie tarnybos tikslų įgyvendinimo.</w:t>
              </w:r>
            </w:p>
            <w:p w14:paraId="5CF91079" w14:textId="77777777">
              <w:pPr>
                <w:suppressAutoHyphens/>
                <w:ind w:firstLine="567"/>
                <w:jc w:val="center"/>
                <w:textAlignment w:val="baseline"/>
                <w:rPr>
                  <w:rFonts w:eastAsia="Calibri"/>
                  <w:b/>
                  <w:szCs w:val="24"/>
                </w:rPr>
              </w:pPr>
            </w:p>
          </w:sdtContent>
        </w:sdt>
        <w:sdt>
          <w:sdtPr>
            <w:alias w:val="skyrius"/>
            <w:tag w:val="part_856aa93c1ac84a8996c0dde494c7b897"/>
            <w:lock w:val="sdtLocked"/>
            <w:richText/>
          </w:sdtPr>
          <w:sdtContent>
            <w:p w14:paraId="417AE9A8" w14:textId="434C30CD">
              <w:pPr>
                <w:suppressAutoHyphens/>
                <w:jc w:val="center"/>
                <w:textAlignment w:val="baseline"/>
                <w:rPr>
                  <w:rFonts w:eastAsia="Calibri"/>
                  <w:b/>
                  <w:szCs w:val="24"/>
                </w:rPr>
              </w:pPr>
              <w:sdt>
                <w:sdtPr>
                  <w:alias w:val="Numeris"/>
                  <w:tag w:val="nr_856aa93c1ac84a8996c0dde494c7b897"/>
                  <w:lock w:val="sdtLocked"/>
                  <w:richText/>
                </w:sdtPr>
                <w:sdtContent>
                  <w:r>
                    <w:rPr>
                      <w:rFonts w:eastAsia="Calibri"/>
                      <w:b/>
                      <w:szCs w:val="24"/>
                    </w:rPr>
                    <w:t>I</w:t>
                  </w:r>
                </w:sdtContent>
              </w:sdt>
              <w:r>
                <w:rPr>
                  <w:rFonts w:eastAsia="Calibri"/>
                  <w:b/>
                  <w:szCs w:val="24"/>
                </w:rPr>
                <w:t xml:space="preserve"> SKYRIUS</w:t>
              </w:r>
            </w:p>
            <w:p w14:paraId="2362A714" w14:textId="1502C580">
              <w:pPr>
                <w:suppressAutoHyphens/>
                <w:jc w:val="center"/>
                <w:textAlignment w:val="baseline"/>
                <w:rPr>
                  <w:rFonts w:eastAsia="Calibri"/>
                  <w:b/>
                  <w:szCs w:val="24"/>
                </w:rPr>
              </w:pPr>
              <w:sdt>
                <w:sdtPr>
                  <w:alias w:val="Pavadinimas"/>
                  <w:tag w:val="title_856aa93c1ac84a8996c0dde494c7b897"/>
                  <w:lock w:val="sdtLocked"/>
                  <w:richText/>
                </w:sdtPr>
                <w:sdtContent>
                  <w:r>
                    <w:rPr>
                      <w:rFonts w:eastAsia="Calibri"/>
                      <w:b/>
                      <w:szCs w:val="24"/>
                    </w:rPr>
                    <w:t>BENDROJI INFORMACIJA APIE ĮSTAIGĄ</w:t>
                  </w:r>
                </w:sdtContent>
              </w:sdt>
            </w:p>
            <w:p w14:paraId="2D7B4E58" w14:textId="4300EFA4">
              <w:pPr>
                <w:jc w:val="both"/>
                <w:rPr>
                  <w:color w:val="FF0000"/>
                </w:rPr>
              </w:pPr>
            </w:p>
            <w:p w14:paraId="39320D92" w14:textId="5D796072">
              <w:pPr>
                <w:suppressAutoHyphens/>
                <w:ind w:firstLine="851"/>
                <w:jc w:val="both"/>
                <w:textAlignment w:val="baseline"/>
                <w:rPr>
                  <w:rFonts w:eastAsia="Calibri"/>
                  <w:bCs/>
                  <w:szCs w:val="24"/>
                </w:rPr>
              </w:pPr>
              <w:r>
                <w:rPr>
                  <w:rFonts w:eastAsia="Calibri"/>
                  <w:bCs/>
                  <w:szCs w:val="24"/>
                </w:rPr>
                <w:t>Radviliškio rajono savivaldybės kontrolės ir audito tarnyba, vykdydama įstatymų nustatytas funkcijas, planuoja ir atlieka finansinius, atitikties ir veiklos auditus, vertinimus, rengia ir teikia Savivaldybės tarybai įstatymu nustatytas išvadas, atlieka kitas priskirtas kontrolės funkcijas, priima ir nagrinėja gyventojų skundus, susijusius su Savivaldybės turtu ar piniginėmis lėšomis, teikia išvadas dėl tokio tyrimo rezultatų. Tarnybos savininko teises ir pareigas įgyvendinanti institucija – Radviliškio rajono savivaldybės taryba. Tarnybai vadovauja Savivaldybės kontrolierius, turintis 13 metų vadovaujamo darbo patirtį šioje srityje.</w:t>
              </w:r>
            </w:p>
            <w:p w14:paraId="2438A662" w14:textId="77777777">
              <w:pPr>
                <w:suppressAutoHyphens/>
                <w:ind w:firstLine="567"/>
                <w:jc w:val="both"/>
                <w:textAlignment w:val="baseline"/>
                <w:rPr>
                  <w:rFonts w:eastAsia="Calibri"/>
                  <w:bCs/>
                  <w:szCs w:val="24"/>
                </w:rPr>
              </w:pPr>
            </w:p>
            <w:p w14:paraId="06FFBC70" w14:textId="2FA3095B">
              <w:pPr>
                <w:ind w:firstLine="567"/>
                <w:jc w:val="both"/>
                <w:rPr>
                  <w:color w:val="FF0000"/>
                  <w:highlight w:val="yellow"/>
                </w:rPr>
              </w:pPr>
              <w:r>
                <w:rPr>
                  <w:color w:val="FF0000"/>
                  <w:lang w:val="en-US"/>
                </w:rPr>
                <mc:AlternateContent>
                  <mc:Choice Requires="wps">
                    <w:drawing>
                      <wp:anchor distT="0" distB="0" distL="114300" distR="114300" simplePos="0" relativeHeight="251659264" behindDoc="1" locked="0" layoutInCell="1" allowOverlap="1" wp14:anchorId="2ECB2863" wp14:editId="46248FBB">
                        <wp:simplePos x="0" y="0"/>
                        <wp:positionH relativeFrom="column">
                          <wp:posOffset>2131695</wp:posOffset>
                        </wp:positionH>
                        <wp:positionV relativeFrom="paragraph">
                          <wp:posOffset>158115</wp:posOffset>
                        </wp:positionV>
                        <wp:extent cx="4114800" cy="542925"/>
                        <wp:effectExtent l="0" t="0" r="19050" b="28575"/>
                        <wp:wrapNone/>
                        <wp:docPr id="162503225" name="Stačiakampis: suapvalinti kampai 1"/>
                        <wp:cNvGraphicFramePr/>
                        <a:graphic xmlns:a="http://schemas.openxmlformats.org/drawingml/2006/main">
                          <a:graphicData uri="http://schemas.microsoft.com/office/word/2010/wordprocessingShape">
                            <wps:wsp>
                              <wps:cNvSpPr/>
                              <wps:spPr>
                                <a:xfrm>
                                  <a:off x="0" y="0"/>
                                  <a:ext cx="4114800" cy="542925"/>
                                </a:xfrm>
                                <a:prstGeom prst="roundRect">
                                  <a:avLst/>
                                </a:prstGeom>
                                <a:solidFill>
                                  <a:schemeClr val="accent3">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7B2F4AA1" w14:textId="77777777">
                                    <w:pPr>
                                      <w:jc w:val="center"/>
                                      <w:rPr>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Vizija </w:t>
                                    </w:r>
                                  </w:p>
                                  <w:p w14:paraId="604EF67A" w14:textId="77777777">
                                    <w:pPr>
                                      <w:jc w:val="center"/>
                                      <w:rPr>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Patikima, profesionali, nepriklausoma ir atvira kontrolės ir audito tarnyba.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CB2863" id="Stačiakampis: suapvalinti kampai 1" o:spid="_x0000_s1026" style="position:absolute;left:0;text-align:left;margin-left:167.85pt;margin-top:12.45pt;width:324pt;height:42.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9nBawQIAANsFAAAOAAAAZHJzL2Uyb0RvYy54bWysVM1u2zAMvg/YOwi6r47dpGuNOkXQosOA bi2aDj0zslwL098kJXH2DnurPdgo2XGDrtth2MWmSOoj+Ynk+UWnJNlw54XRFc2PJpRwzUwt9FNF vzxcvzulxAfQNUijeUV33NOL+ds351tb8sK0RtbcEQTRvtzairYh2DLLPGu5An9kLNdobIxTEPDo nrLawRbRlcyKyeQk2xpXW2cY9x61V72RzhN+03AWbpvG80BkRTG3kL4ufVfxm83PoXxyYFvBhjTg H7JQIDQGHaGuIABZO/EblBLMGW+acMSMykzTCMZTDVhNPnlRzbIFy1MtSI63I03+/8Gyz5s7R0SN b3dSzCbHRTGjRIPCp1oG+PlDwFdQVviS+DXYDUihgyBRB4Lkkb6t9SWiLO2dG04exchF1zgV/1gl 6RLlu5Fy3gXCUDnN8+npBF+GoW02Lc4wPsJkz7et8+EDN4pEoaLOrHV9j++a6IbNjQ+9/94vRvRG ivpaSJkOsZf4pXQE068oMMZ1OE7X5Vp9MnWvx27CPBALSlRj1/RqTK5XY0qpKyNSSvAgSBZJ6MtO UthJnoD0PW+QXSy0SAFHhMNc8t7UQs17dT77U0wZASNyg8WN2APAa3WmJ8LUB/94laexGC9P/pZY T+14I0U2OoyXldDGvQYgwxi590fKDqiJYuhWHeJHcWXqHbahM/18esuuBb72DfhwBw4HEhsEl0y4 xU8jzbaiZpAoaY37/po++uOcoJWSLQ54Rf23NThOifyocYLO8uk0boR0mM7eF3hwh5bVoUWv1aXB 7slxnVmWxOgf5F5snFGPuIsWMSqaQDOMXVEW3P5wGfrFg9uM8cUiueEWsBBu9NKyCB4Jjo380D2C s0PLBxyWz2a/DKB80fS9b7ypzWIdTCPSRDzzOlCPGyT17bDt4oo6PCev5508/wUAAP//AwBQSwME FAAGAAgAAAAhAFD9tBffAAAACgEAAA8AAABkcnMvZG93bnJldi54bWxMj01PwzAMhu9I/IfIk7ix 9GOwrms6oUk7IHGh48AxS0JbrXGqOtvKv8ec4Gj70evnrXazH8TVTdQHVJAuExAOTbA9tgo+jofH AgRFjVYPAZ2Cb0ewq+/vKl3acMN3d21iKzgEqdQKuhjHUkoynfOalmF0yLevMHkdeZxaaSd943A/ yCxJnqXXPfKHTo9u3zlzbi5eARVUnKlfG/25z5o3Lw+vjUmVeljML1sQ0c3xD4ZffVaHmp1O4YKW xKAgz5/WjCrIVhsQDGyKnBcnJtNkBbKu5P8K9Q8AAAD//wMAUEsBAi0AFAAGAAgAAAAhALaDOJL+ AAAA4QEAABMAAAAAAAAAAAAAAAAAAAAAAFtDb250ZW50X1R5cGVzXS54bWxQSwECLQAUAAYACAAA ACEAOP0h/9YAAACUAQAACwAAAAAAAAAAAAAAAAAvAQAAX3JlbHMvLnJlbHNQSwECLQAUAAYACAAA ACEAufZwWsECAADbBQAADgAAAAAAAAAAAAAAAAAuAgAAZHJzL2Uyb0RvYy54bWxQSwECLQAUAAYA CAAAACEAUP20F98AAAAKAQAADwAAAAAAAAAAAAAAAAAbBQAAZHJzL2Rvd25yZXYueG1sUEsFBgAA AAAEAAQA8wAAACcGAAAAAA== " fillcolor="#eaf1dd [662]" strokecolor="#0a121c [484]" strokeweight="2pt">
                        <v:textbox>
                          <w:txbxContent>
                            <w:p w14:paraId="7B2F4AA1" w14:textId="77777777">
                              <w:pPr>
                                <w:jc w:val="center"/>
                                <w:rPr>
                                  <w:rFonts w:ascii="Times New Roman" w:hAnsi="Times New Roman" w:eastAsia="Times New Roman" w:cs="Times New Roman"/>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eastAsia="Times New Roman" w:cs="Times New Roman"/>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Vizija </w:t>
                              </w:r>
                            </w:p>
                            <w:p w14:paraId="604EF67A" w14:textId="77777777">
                              <w:pPr>
                                <w:jc w:val="center"/>
                                <w:rPr>
                                  <w:rFonts w:ascii="Times New Roman" w:hAnsi="Times New Roman" w:eastAsia="Times New Roman" w:cs="Times New Roman"/>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eastAsia="Times New Roman" w:cs="Times New Roman"/>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Patikima, profesionali, nepriklausoma ir atvira kontrolės ir audito tarnyba.</w:t>
                              </w:r>
                            </w:p>
                          </w:txbxContent>
                        </v:textbox>
                      </v:roundrect>
                    </w:pict>
                  </mc:Fallback>
                </mc:AlternateContent>
                <mc:AlternateContent>
                  <mc:Choice Requires="wps">
                    <w:drawing>
                      <wp:anchor distT="0" distB="0" distL="114300" distR="114300" simplePos="0" relativeHeight="251660288" behindDoc="1" locked="0" layoutInCell="1" allowOverlap="1" wp14:anchorId="224D0ADD" wp14:editId="60B575D9">
                        <wp:simplePos x="0" y="0"/>
                        <wp:positionH relativeFrom="column">
                          <wp:posOffset>-1905</wp:posOffset>
                        </wp:positionH>
                        <wp:positionV relativeFrom="paragraph">
                          <wp:posOffset>53340</wp:posOffset>
                        </wp:positionV>
                        <wp:extent cx="1676400" cy="1619250"/>
                        <wp:effectExtent l="0" t="0" r="19050" b="19050"/>
                        <wp:wrapNone/>
                        <wp:docPr id="1355387327" name="Stačiakampis: suapvalinti kampai 1"/>
                        <wp:cNvGraphicFramePr/>
                        <a:graphic xmlns:a="http://schemas.openxmlformats.org/drawingml/2006/main">
                          <a:graphicData uri="http://schemas.microsoft.com/office/word/2010/wordprocessingShape">
                            <wps:wsp>
                              <wps:cNvSpPr/>
                              <wps:spPr>
                                <a:xfrm>
                                  <a:off x="0" y="0"/>
                                  <a:ext cx="1676400" cy="1619250"/>
                                </a:xfrm>
                                <a:prstGeom prst="roundRect">
                                  <a:avLst/>
                                </a:prstGeom>
                                <a:solidFill>
                                  <a:schemeClr val="accent3">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0913EAAC" w14:textId="77777777">
                                    <w:pPr>
                                      <w:jc w:val="center"/>
                                      <w:rPr>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Misija </w:t>
                                    </w:r>
                                  </w:p>
                                  <w:p w14:paraId="5C1E8001" w14:textId="77777777">
                                    <w:pPr>
                                      <w:jc w:val="center"/>
                                      <w:rPr>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Padėti savivaldybei tinkamai valdyti turtą, lėšas ir kitus išteklius. Skatinti viešojo sektoriaus subjektus gerinti veiklos kokybę ir veiklos administravimą.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24D0ADD" id="_x0000_s1027" style="position:absolute;left:0;text-align:left;margin-left:-.15pt;margin-top:4.2pt;width:132pt;height:1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tUm6gyAIAAOQFAAAOAAAAZHJzL2Uyb0RvYy54bWysVM1u2zAMvg/YOwi6r47z2wZ1iqBFhwFd WzQdelZkuREmiZokx8neYW+1BxslO27QFjsMu9gSSX0kP/6cX+y0IlvhvART0PxkQIkwHEppngv6 7fH60yklPjBTMgVGFHQvPL1YfPxw3ti5GMIGVCkcQRDj540t6CYEO88yzzdCM38CVhhUVuA0C3h1 z1npWIPoWmXDwWCaNeBK64AL71F61SrpIuFXleDhrqq8CEQVFGML6evSdx2/2eKczZ8dsxvJuzDY P0ShmTTotIe6YoGR2sk3UFpyBx6qcMJBZ1BVkouUA2aTD15ls9owK1IuSI63PU3+/8Hy2+29I7LE 2o0mk9HpbDScUWKYxlqtAvv9S7LvTFvp58TXzG6ZkiZIEmVMkjzy11g/R5iVvXfdzeMxkrGrnI5/ TJPsEuf7nnOxC4SjMJ/OpuMBloajLp/mZ8NJqkr28tw6Hz4L0CQeCuqgNuUDVjYRzrY3PqBftD/Y RZcelCyvpVLpErtJXCpHMP6CMs6FCaP0XNX6K5StHPsJA0kdgWLsm1Z8ehCji9SXESk5PHKSRRba vNMp7JWIrpV5EBXyi5kOk8Me4TiWvFVtWClacT7pQnnjMwFG5AqT67E7gPfyTDVCmM4+PhVpMPrH g78F1lLbv0iewYT+sZYG3HsAKvSeW3uk7IiaeAy79a7tvUMfraHcYz86aAfVW34tseg3zId75nAy sVFw24Q7/FQKmoJCd6JkA+7ne/JojwODWkoanPSC+h81c4IS9cXgKJ3l43FcDekynsyGeHHHmvWx xtT6ErCJctxrlqdjtA/qcKwc6CdcSsvoFVXMcPRdUB7c4XIZ2g2Ea42L5TKZ4TqwLNyYleURPPIc +/lx98Sc7To/4NDcwmErsPmr3m9t40sDyzpAJdNgRKZbXrsK4CpJ7dutvbirju/J6mU5L/4AAAD/ /wMAUEsDBBQABgAIAAAAIQCRhao12wAAAAcBAAAPAAAAZHJzL2Rvd25yZXYueG1sTI5Ba8JAFITv hf6H5Qm96cYoGmI2UgQPhV6aeujxmX1Ngtm3IW/V9N9320t7m2GGma/YT65XNxql82xguUhAEdfe dtwYOL0f5xkoCcgWe89k4IsE9uXjQ4G59Xd+o1sVGhVHWHI00IYw5FpL3ZJDWfiBOGaffnQYoh0b bUe8x3HX6zRJNtphx/GhxYEOLdWX6uoMSCbZRbptjR+HtHp1+vhS1UtjnmbT8w5UoCn8leEHP6JD GZnO/spWVG9gvopFA9kaVEzTzWoL6vwr1qDLQv/nL78BAAD//wMAUEsBAi0AFAAGAAgAAAAhALaD OJL+AAAA4QEAABMAAAAAAAAAAAAAAAAAAAAAAFtDb250ZW50X1R5cGVzXS54bWxQSwECLQAUAAYA CAAAACEAOP0h/9YAAACUAQAACwAAAAAAAAAAAAAAAAAvAQAAX3JlbHMvLnJlbHNQSwECLQAUAAYA CAAAACEA7VJuoMgCAADkBQAADgAAAAAAAAAAAAAAAAAuAgAAZHJzL2Uyb0RvYy54bWxQSwECLQAU AAYACAAAACEAkYWqNdsAAAAHAQAADwAAAAAAAAAAAAAAAAAiBQAAZHJzL2Rvd25yZXYueG1sUEsF BgAAAAAEAAQA8wAAACoGAAAAAA== " fillcolor="#eaf1dd [662]" strokecolor="#0a121c [484]" strokeweight="2pt">
                        <v:textbox>
                          <w:txbxContent>
                            <w:p w14:paraId="0913EAAC" w14:textId="77777777">
                              <w:pPr>
                                <w:jc w:val="center"/>
                                <w:rPr>
                                  <w:rFonts w:ascii="Times New Roman" w:hAnsi="Times New Roman" w:eastAsia="Times New Roman" w:cs="Times New Roman"/>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eastAsia="Times New Roman" w:cs="Times New Roman"/>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Misija </w:t>
                              </w:r>
                            </w:p>
                            <w:p w14:paraId="5C1E8001" w14:textId="77777777">
                              <w:pPr>
                                <w:jc w:val="center"/>
                                <w:rPr>
                                  <w:rFonts w:ascii="Times New Roman" w:hAnsi="Times New Roman" w:eastAsia="Times New Roman" w:cs="Times New Roman"/>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eastAsia="Times New Roman" w:cs="Times New Roman"/>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Padėti savivaldybei tinkamai valdyti turtą, lėšas ir kitus išteklius. Skatinti viešojo sektoriaus subjektus gerinti veiklos kokybę ir veiklos administravimą.</w:t>
                              </w:r>
                            </w:p>
                          </w:txbxContent>
                        </v:textbox>
                      </v:roundrect>
                    </w:pict>
                  </mc:Fallback>
                </mc:AlternateContent>
              </w:r>
            </w:p>
            <w:p w14:paraId="1BECC338" w14:textId="16C8C7BB">
              <w:pPr>
                <w:ind w:firstLine="567"/>
                <w:jc w:val="both"/>
                <w:rPr>
                  <w:color w:val="FF0000"/>
                </w:rPr>
              </w:pPr>
            </w:p>
            <w:p w14:paraId="650A0D77" w14:textId="618DDCC7">
              <w:pPr>
                <w:ind w:firstLine="567"/>
                <w:jc w:val="both"/>
                <w:rPr>
                  <w:color w:val="FF0000"/>
                </w:rPr>
              </w:pPr>
              <w:r>
                <w:rPr>
                  <w:color w:val="FF0000"/>
                  <w:lang w:val="en-US"/>
                </w:rPr>
                <mc:AlternateContent>
                  <mc:Choice Requires="wps">
                    <w:drawing>
                      <wp:anchor distT="0" distB="0" distL="114300" distR="114300" simplePos="0" relativeHeight="251662336" behindDoc="0" locked="0" layoutInCell="1" allowOverlap="1" wp14:anchorId="0F4BD3A4" wp14:editId="6CB48E8A">
                        <wp:simplePos x="0" y="0"/>
                        <wp:positionH relativeFrom="column">
                          <wp:posOffset>1671320</wp:posOffset>
                        </wp:positionH>
                        <wp:positionV relativeFrom="paragraph">
                          <wp:posOffset>72390</wp:posOffset>
                        </wp:positionV>
                        <wp:extent cx="457200" cy="45719"/>
                        <wp:effectExtent l="0" t="0" r="19050" b="12065"/>
                        <wp:wrapNone/>
                        <wp:docPr id="2057181339" name="Rodyklė: kairėn-dešinėn 2"/>
                        <wp:cNvGraphicFramePr/>
                        <a:graphic xmlns:a="http://schemas.openxmlformats.org/drawingml/2006/main">
                          <a:graphicData uri="http://schemas.microsoft.com/office/word/2010/wordprocessingShape">
                            <wps:wsp>
                              <wps:cNvSpPr/>
                              <wps:spPr>
                                <a:xfrm>
                                  <a:off x="0" y="0"/>
                                  <a:ext cx="457200" cy="45719"/>
                                </a:xfrm>
                                <a:prstGeom prst="lef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5252D3A"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Rodyklė: kairėn-dešinėn 2" o:spid="_x0000_s1026" type="#_x0000_t69" style="position:absolute;margin-left:131.6pt;margin-top:5.7pt;width:36pt;height:3.6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1Xi3XwIAABsFAAAOAAAAZHJzL2Uyb0RvYy54bWysVFFP2zAQfp+0/2D5faSpYBsVKapATJMQ IAri2XXsxpLj885u0+7X7+ykKQK0h2kvztl39935y3e+uNy1lm0VBgOu4uXJhDPlJNTGrSv+/HTz 5TtnIQpXCwtOVXyvAr+cf/500fmZmkIDtlbICMSFWecr3sToZ0URZKNaEU7AK0dODdiKSFtcFzWK jtBbW0wnk69FB1h7BKlCoNPr3snnGV9rJeO91kFFZitOvcW8Yl5XaS3mF2K2RuEbI4c2xD900Qrj qOgIdS2iYBs076BaIxEC6HgioS1AayNVvgPdppy8uc2yEV7luxA5wY80hf8HK++2S/+AREPnwyyQ mW6x09imL/XHdpms/UiW2kUm6fD07Bv9AM4kucguzxOXxTHXY4g/FLQsGRW3SsdHs27iAhG6zJXY 3obYJx2CCeHYR7bi3qrUinWPSjNTU+Vpzs4SUVcW2VbQzxVSKhfL3tWIWvXH5dmEmuyLjBm5zwyY kLWxdsQeAJL83mP3MEN8SlVZYWPy5G+N9cljRq4MLo7JrXGAHwFYutVQuY8/kNRTk1haQb1/QIbQ 6zt4eWOI9VsR4oNAEjT9JxrSeE+LttBVHAaLswbw90fnKZ50Rl7OOhqQiodfG4GKM/vTkQLPy9PT NFF5k8XAGb72rF573Ka9AvpNJT0HXmaTkjHag6kR2hea5UWqSi7hJNWuuIx42FzFfnDpNZBqschh NEVexFu39DKBJ1aTlp52LwL9IL1Ikr2DwzCJ2Rvd9bEp08FiE0GbLMojrwPfNIFZOMNrkUb89T5H Hd+0+R8AAAD//wMAUEsDBBQABgAIAAAAIQBYS3Ru4AAAAAkBAAAPAAAAZHJzL2Rvd25yZXYueG1s TI9LT8MwEITvSPwHa5G4UedR0hDiVAjEhRYhWkDqzY2XJMKPyHbb8O9ZTnDcmU+zM/VyMpod0YfB WQHpLAGGtnVqsJ2At+3jVQksRGmV1M6igG8MsGzOz2pZKXeyr3jcxI5RiA2VFNDHOFach7ZHI8PM jWjJ+3TeyEin77jy8kThRvMsSQpu5GDpQy9HvO+x/docjICXBy3X5W4xf28/dqm/WXWrp+dOiMuL 6e4WWMQp/sHwW5+qQ0Od9u5gVWBaQFbkGaFkpHNgBOT5NQl7EsoCeFPz/wuaHwAAAP//AwBQSwEC LQAUAAYACAAAACEAtoM4kv4AAADhAQAAEwAAAAAAAAAAAAAAAAAAAAAAW0NvbnRlbnRfVHlwZXNd LnhtbFBLAQItABQABgAIAAAAIQA4/SH/1gAAAJQBAAALAAAAAAAAAAAAAAAAAC8BAABfcmVscy8u cmVsc1BLAQItABQABgAIAAAAIQBC1Xi3XwIAABsFAAAOAAAAAAAAAAAAAAAAAC4CAABkcnMvZTJv RG9jLnhtbFBLAQItABQABgAIAAAAIQBYS3Ru4AAAAAkBAAAPAAAAAAAAAAAAAAAAALkEAABkcnMv ZG93bnJldi54bWxQSwUGAAAAAAQABADzAAAAxgUAAAAA " adj="1080" fillcolor="#4f81bd [3204]" strokecolor="#0a121c [484]" strokeweight="2pt"/>
                    </w:pict>
                  </mc:Fallback>
                </mc:AlternateContent>
              </w:r>
            </w:p>
            <w:p w14:paraId="4DB36B11" w14:textId="37E183E6">
              <w:pPr>
                <w:ind w:firstLine="567"/>
                <w:jc w:val="both"/>
                <w:rPr>
                  <w:color w:val="FF0000"/>
                </w:rPr>
              </w:pPr>
            </w:p>
            <w:p w14:paraId="771F4709" w14:textId="77777777">
              <w:pPr>
                <w:ind w:firstLine="567"/>
                <w:jc w:val="both"/>
                <w:rPr>
                  <w:color w:val="FF0000"/>
                </w:rPr>
              </w:pPr>
              <w:r>
                <w:rPr>
                  <w:color w:val="FF0000"/>
                  <w:lang w:val="en-US"/>
                </w:rPr>
                <mc:AlternateContent>
                  <mc:Choice Requires="wps">
                    <w:drawing>
                      <wp:anchor distT="0" distB="0" distL="114300" distR="114300" simplePos="0" relativeHeight="251661312" behindDoc="1" locked="0" layoutInCell="1" allowOverlap="1" wp14:anchorId="6B7340BF" wp14:editId="7331E015">
                        <wp:simplePos x="0" y="0"/>
                        <wp:positionH relativeFrom="column">
                          <wp:posOffset>2093595</wp:posOffset>
                        </wp:positionH>
                        <wp:positionV relativeFrom="paragraph">
                          <wp:posOffset>161925</wp:posOffset>
                        </wp:positionV>
                        <wp:extent cx="4219575" cy="942975"/>
                        <wp:effectExtent l="0" t="0" r="28575" b="28575"/>
                        <wp:wrapNone/>
                        <wp:docPr id="716510988" name="Stačiakampis: suapvalinti kampai 1"/>
                        <wp:cNvGraphicFramePr/>
                        <a:graphic xmlns:a="http://schemas.openxmlformats.org/drawingml/2006/main">
                          <a:graphicData uri="http://schemas.microsoft.com/office/word/2010/wordprocessingShape">
                            <wps:wsp>
                              <wps:cNvSpPr/>
                              <wps:spPr>
                                <a:xfrm>
                                  <a:off x="0" y="0"/>
                                  <a:ext cx="4219575" cy="942975"/>
                                </a:xfrm>
                                <a:prstGeom prst="roundRect">
                                  <a:avLst/>
                                </a:prstGeom>
                                <a:solidFill>
                                  <a:schemeClr val="accent3">
                                    <a:lumMod val="20000"/>
                                    <a:lumOff val="8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38ACD51E" w14:textId="77777777">
                                    <w:pPr>
                                      <w:ind w:left="-142" w:right="-94"/>
                                      <w:jc w:val="center"/>
                                      <w:rPr>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Vertybės </w:t>
                                    </w:r>
                                  </w:p>
                                  <w:p w14:paraId="230D6ECF" w14:textId="77777777">
                                    <w:pPr>
                                      <w:ind w:left="-142" w:right="-94"/>
                                      <w:jc w:val="center"/>
                                      <w:rPr>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Nepriklausomumas, objektyvumas, kompetencija ir sąžiningas,</w:t>
                                    </w:r>
                                  </w:p>
                                  <w:p w14:paraId="5978C25A" w14:textId="5560BEC9">
                                    <w:pPr>
                                      <w:ind w:left="-142" w:right="-94"/>
                                      <w:jc w:val="center"/>
                                      <w:rPr>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komandinis darbas; </w:t>
                                    </w:r>
                                  </w:p>
                                  <w:p w14:paraId="08C4EA77" w14:textId="77777777">
                                    <w:pPr>
                                      <w:ind w:left="-142" w:right="-94"/>
                                      <w:jc w:val="center"/>
                                      <w:rPr>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Santykiai su audituojamais subjektais pagrįsti pagarba ir</w:t>
                                    </w:r>
                                    <w:r>
                                      <w:t xml:space="preserve"> </w:t>
                                    </w:r>
                                    <w:r>
                                      <w:rPr>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pasitikėjimu.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7340BF" id="_x0000_s1028" style="position:absolute;left:0;text-align:left;margin-left:164.85pt;margin-top:12.75pt;width:332.25pt;height:74.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HUOVAxgIAAOIFAAAOAAAAZHJzL2Uyb0RvYy54bWysVM1u2zAMvg/YOwi6r46zpG2COkXQosOA bi2aDj0zstwIk0RNUn66d9hb7cFGyY4btMUOwy42RVIfyU8kz853RrON9EGhrXh5NOBMWoG1so8V /3Z/9eGUsxDB1qDRyoo/ycDPZ+/fnW3dVA5xhbqWnhGIDdOtq/gqRjctiiBW0kA4QictGRv0BiId /WNRe9gSutHFcDA4Lrboa+dRyBBIe9ka+SzjN40U8aZpgoxMV5xyi/nr83eZvsXsDKaPHtxKiS4N +IcsDChLQXuoS4jA1l69gjJKeAzYxCOBpsCmUULmGqiacvCimsUKnMy1EDnB9TSF/wcrvm5uPVN1 xU/K43E5mJzSg1kw9FSLCL9/KfgOxqkwZWENbgNa2ahY0oFiZaJv68KUUBbu1nenQGLiYtd4k/5U Jdtlyp96yuUuMkHK0bCcjE/GnAmyTUbDCckEUzzfdj7ETxINS0LFPa5tfUfvmumGzXWIrf/eL0UM qFV9pbTOh9RL8kJ7RulXHISQNn7M1/XafMG61VM3Dbp+IDV1Tas+3asppdyVCSkneBCkSCS0ZWcp PmmZQmt7Jxtilwod5oA9wmEuZWtaQS1bdTnuUnkVMwMm5IaK67E7gLfqzE9EMJ1/uirzWPSXB39L rKW2v5Ejo439ZaMs+rcAdOwjt/5E2QE1SYy75S533nDfRkusn6gbPbZjGpy4UvTo1xDiLXiaS5pg 2jXxhj6Nxm3FsZM4W6H/+ZY++dO4kJWzLc15xcOPNXjJmf5saZAm5WiUFkM+jMYnQzr4Q8vy0GLX 5gKpiUraak5kMflHvRcbj+aBVtI8RSUTWEGxKy6i3x8uYrt/aKkJOZ9nN1oGDuK1XTiRwBPPqZ/v dw/gXdf5kWbmK+53Akxf9H7rm25anK8jNioPRmK65bV7AVokuX27pZc21eE5ez2v5tkfAAAA//8D AFBLAwQUAAYACAAAACEAoEiVtd8AAAAKAQAADwAAAGRycy9kb3ducmV2LnhtbEyPy07DMBBF90j8 gzWV2FGnoSWPxqlQpS6Q2JCyYDm1hyRqbEex24a/Z1jBcnSP7j1T7WY7iCtNofdOwWqZgCCnveld q+DjeHjMQYSIzuDgHSn4pgC7+v6uwtL4m3unaxNbwSUulKigi3EspQy6I4th6UdynH35yWLkc2ql mfDG5XaQaZI8S4u944UOR9p3pM/NxSoIecjPoc80fu7T5s3Kw2ujV0o9LOaXLYhIc/yD4Vef1aFm p5O/OBPEoOApLTJGFaSbDQgGimKdgjgxma0TkHUl/79Q/wAAAP//AwBQSwECLQAUAAYACAAAACEA toM4kv4AAADhAQAAEwAAAAAAAAAAAAAAAAAAAAAAW0NvbnRlbnRfVHlwZXNdLnhtbFBLAQItABQA BgAIAAAAIQA4/SH/1gAAAJQBAAALAAAAAAAAAAAAAAAAAC8BAABfcmVscy8ucmVsc1BLAQItABQA BgAIAAAAIQBHUOVAxgIAAOIFAAAOAAAAAAAAAAAAAAAAAC4CAABkcnMvZTJvRG9jLnhtbFBLAQIt ABQABgAIAAAAIQCgSJW13wAAAAoBAAAPAAAAAAAAAAAAAAAAACAFAABkcnMvZG93bnJldi54bWxQ SwUGAAAAAAQABADzAAAALAYAAAAA " fillcolor="#eaf1dd [662]" strokecolor="#0a121c [484]" strokeweight="2pt">
                        <v:textbox>
                          <w:txbxContent>
                            <w:p w14:paraId="38ACD51E" w14:textId="77777777">
                              <w:pPr>
                                <w:ind w:left="-142" w:right="-94"/>
                                <w:jc w:val="center"/>
                                <w:rPr>
                                  <w:rFonts w:ascii="Times New Roman" w:hAnsi="Times New Roman" w:eastAsia="Times New Roman" w:cs="Times New Roman"/>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eastAsia="Times New Roman" w:cs="Times New Roman"/>
                                  <w:b/>
                                  <w:bCs/>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Vertybės </w:t>
                              </w:r>
                            </w:p>
                            <w:p w14:paraId="230D6ECF" w14:textId="77777777">
                              <w:pPr>
                                <w:ind w:left="-142" w:right="-94"/>
                                <w:jc w:val="center"/>
                                <w:rPr>
                                  <w:rFonts w:ascii="Times New Roman" w:hAnsi="Times New Roman" w:eastAsia="Times New Roman" w:cs="Times New Roman"/>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eastAsia="Times New Roman" w:cs="Times New Roman"/>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Nepriklausomumas, objektyvumas, kompetencija ir sąžiningas,</w:t>
                              </w:r>
                            </w:p>
                            <w:p w14:paraId="5978C25A" w14:textId="5560BEC9">
                              <w:pPr>
                                <w:ind w:left="-142" w:right="-94"/>
                                <w:jc w:val="center"/>
                                <w:rPr>
                                  <w:rFonts w:ascii="Times New Roman" w:hAnsi="Times New Roman" w:eastAsia="Times New Roman" w:cs="Times New Roman"/>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eastAsia="Times New Roman" w:cs="Times New Roman"/>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komandinis darbas; </w:t>
                              </w:r>
                            </w:p>
                            <w:p w14:paraId="08C4EA77" w14:textId="77777777">
                              <w:pPr>
                                <w:ind w:left="-142" w:right="-94"/>
                                <w:jc w:val="center"/>
                                <w:rPr>
                                  <w:rFonts w:ascii="Times New Roman" w:hAnsi="Times New Roman" w:eastAsia="Times New Roman" w:cs="Times New Roman"/>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eastAsia="Times New Roman" w:cs="Times New Roman"/>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Santykiai su audituojamais subjektais pagrįsti pagarba ir</w:t>
                              </w:r>
                              <w:r>
                                <w:rPr>
                                  <w:rFonts w:ascii="Times New Roman" w:hAnsi="Times New Roman" w:eastAsia="Times New Roman" w:cs="Times New Roman"/>
                                </w:rPr>
                                <w:t xml:space="preserve"> </w:t>
                              </w:r>
                              <w:r>
                                <w:rPr>
                                  <w:rFonts w:ascii="Times New Roman" w:hAnsi="Times New Roman" w:eastAsia="Times New Roman" w:cs="Times New Roman"/>
                                  <w:color w:val="000000"/>
                                  <w:sz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pasitikėjimu.</w:t>
                              </w:r>
                            </w:p>
                          </w:txbxContent>
                        </v:textbox>
                      </v:roundrect>
                    </w:pict>
                  </mc:Fallback>
                </mc:AlternateContent>
              </w:r>
            </w:p>
            <w:p w14:paraId="05F518A3" w14:textId="7E409A90">
              <w:pPr>
                <w:ind w:firstLine="567"/>
                <w:jc w:val="both"/>
                <w:rPr>
                  <w:color w:val="FF0000"/>
                </w:rPr>
              </w:pPr>
              <w:r>
                <w:rPr>
                  <w:lang w:val="en-US"/>
                </w:rPr>
                <mc:AlternateContent>
                  <mc:Choice Requires="wps">
                    <w:drawing>
                      <wp:anchor distT="0" distB="0" distL="114300" distR="114300" simplePos="0" relativeHeight="251663360" behindDoc="0" locked="0" layoutInCell="1" allowOverlap="1" wp14:anchorId="59858204" wp14:editId="592AA500">
                        <wp:simplePos x="0" y="0"/>
                        <wp:positionH relativeFrom="column">
                          <wp:posOffset>1674496</wp:posOffset>
                        </wp:positionH>
                        <wp:positionV relativeFrom="paragraph">
                          <wp:posOffset>433706</wp:posOffset>
                        </wp:positionV>
                        <wp:extent cx="419100" cy="45719"/>
                        <wp:effectExtent l="0" t="0" r="19050" b="12065"/>
                        <wp:wrapNone/>
                        <wp:docPr id="957202211" name="Rodyklė: kairėn-dešinėn 2"/>
                        <wp:cNvGraphicFramePr/>
                        <a:graphic xmlns:a="http://schemas.openxmlformats.org/drawingml/2006/main">
                          <a:graphicData uri="http://schemas.microsoft.com/office/word/2010/wordprocessingShape">
                            <wps:wsp>
                              <wps:cNvSpPr/>
                              <wps:spPr>
                                <a:xfrm>
                                  <a:off x="0" y="0"/>
                                  <a:ext cx="419100" cy="45719"/>
                                </a:xfrm>
                                <a:prstGeom prst="lef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ADF90E" id="Rodyklė: kairėn-dešinėn 2" o:spid="_x0000_s1026" type="#_x0000_t69" style="position:absolute;margin-left:131.85pt;margin-top:34.15pt;width:33pt;height:3.6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6gVhYQIAABsFAAAOAAAAZHJzL2Uyb0RvYy54bWysVMFu2zAMvQ/YPwi6r7aDdFuDOkXQosOA oivaDj2rshQLkEWNUuJkXz9KdpyiLXYYdpElkXwknx91frHrLNsqDAZczauTkjPlJDTGrWv+8/H6 01fOQhSuERacqvleBX6x/PjhvPcLNYMWbKOQEYgLi97XvI3RL4oiyFZ1IpyAV46MGrATkY64LhoU PaF3tpiV5eeiB2w8glQh0O3VYOTLjK+1kvGH1kFFZmtOtcW8Yl6f01osz8VijcK3Ro5liH+oohPG UdIJ6kpEwTZo3kB1RiIE0PFEQleA1kaq3AN1U5WvunlohVe5FyIn+Imm8P9g5e32wd8h0dD7sAi0 TV3sNHbpS/WxXSZrP5GldpFJupxXZ1VJlEoyzU+/VGeJy+IY6zHEbwo6ljY1t0rHe7Nu4woR+syV 2N6EOAQdnAnhWEfexb1VqRTr7pVmpqHMsxydJaIuLbKtoJ8rpFQuVoOpFY0arqvTkoockkwRuc4M mJC1sXbCHgGS/N5iDzCjfwpVWWFTcPm3wobgKSJnBhen4M44wPcALHU1Zh78DyQN1CSWnqHZ3yFD GPQdvLw2xPqNCPFOIAma/hMNafxBi7bQ1xzGHWct4O/37pM/6YysnPU0IDUPvzYCFWf2uyMFnlXz eZqofCABzOiALy3PLy1u010C/aaKngMv8zb5R3vYaoTuiWZ5lbKSSThJuWsuIx4Ol3EYXHoNpFqt shtNkRfxxj14mcATq0lLj7sngX6UXiTJ3sJhmMTile4G3xTpYLWJoE0W5ZHXkW+awCyc8bVII/7y nL2Ob9ryDwAAAP//AwBQSwMEFAAGAAgAAAAhAI87fKjfAAAACQEAAA8AAABkcnMvZG93bnJldi54 bWxMj8FOg0AQhu8mvsNmTLzZRUihRZamafSERlsbz1t2BCI7S9htwbd3POlxZr788/3FZra9uODo O0cK7hcRCKTamY4aBcf3p7sVCB80Gd07QgXf6GFTXl8VOjduoj1eDqERHEI+1wraEIZcSl+3aLVf uAGJb59utDrwODbSjHricNvLOIpSaXVH/KHVA+5arL8OZ6vgeTvsklf7Yapqql6y9G183NeVUrc3 8/YBRMA5/MHwq8/qULLTyZ3JeNEriNMkY1RBukpAMJDEa16cFGTLJciykP8blD8AAAD//wMAUEsB Ai0AFAAGAAgAAAAhALaDOJL+AAAA4QEAABMAAAAAAAAAAAAAAAAAAAAAAFtDb250ZW50X1R5cGVz XS54bWxQSwECLQAUAAYACAAAACEAOP0h/9YAAACUAQAACwAAAAAAAAAAAAAAAAAvAQAAX3JlbHMv LnJlbHNQSwECLQAUAAYACAAAACEAI+oFYWECAAAbBQAADgAAAAAAAAAAAAAAAAAuAgAAZHJzL2Uy b0RvYy54bWxQSwECLQAUAAYACAAAACEAjzt8qN8AAAAJAQAADwAAAAAAAAAAAAAAAAC7BAAAZHJz L2Rvd25yZXYueG1sUEsFBgAAAAAEAAQA8wAAAMcFAAAAAA== " adj="1178" fillcolor="#4f81bd [3204]" strokecolor="#0a121c [484]" strokeweight="2pt"/>
                    </w:pict>
                  </mc:Fallback>
                </mc:AlternateContent>
              </w:r>
            </w:p>
            <w:p w14:paraId="195D63D2" w14:textId="776BE0B0">
              <w:pPr>
                <w:ind w:firstLine="567"/>
                <w:jc w:val="both"/>
              </w:pPr>
            </w:p>
            <w:p w14:paraId="289F28D0" w14:textId="77777777">
              <w:pPr>
                <w:suppressAutoHyphens/>
                <w:ind w:firstLine="567"/>
                <w:jc w:val="center"/>
                <w:textAlignment w:val="baseline"/>
                <w:rPr>
                  <w:rFonts w:eastAsia="Calibri"/>
                  <w:b/>
                  <w:szCs w:val="24"/>
                </w:rPr>
              </w:pPr>
            </w:p>
            <w:p w14:paraId="79CE48D6" w14:textId="77777777">
              <w:pPr>
                <w:suppressAutoHyphens/>
                <w:ind w:firstLine="567"/>
                <w:jc w:val="center"/>
                <w:textAlignment w:val="baseline"/>
                <w:rPr>
                  <w:rFonts w:eastAsia="Calibri"/>
                  <w:b/>
                  <w:szCs w:val="24"/>
                </w:rPr>
              </w:pPr>
            </w:p>
            <w:p w14:paraId="3998C491" w14:textId="77777777">
              <w:pPr>
                <w:suppressAutoHyphens/>
                <w:jc w:val="center"/>
                <w:textAlignment w:val="baseline"/>
                <w:rPr>
                  <w:rFonts w:eastAsia="Calibri"/>
                  <w:b/>
                  <w:szCs w:val="24"/>
                </w:rPr>
              </w:pPr>
            </w:p>
          </w:sdtContent>
        </w:sdt>
        <w:sdt>
          <w:sdtPr>
            <w:alias w:val="skyrius"/>
            <w:tag w:val="part_fa984e63d6fd4c76ad43d033afdddda3"/>
            <w:lock w:val="sdtLocked"/>
            <w:richText/>
          </w:sdtPr>
          <w:sdtContent>
            <w:p w14:paraId="1A6D707C" w14:textId="104B7373">
              <w:pPr>
                <w:suppressAutoHyphens/>
                <w:jc w:val="center"/>
                <w:textAlignment w:val="baseline"/>
                <w:rPr>
                  <w:rFonts w:eastAsia="Calibri"/>
                  <w:b/>
                  <w:szCs w:val="24"/>
                </w:rPr>
              </w:pPr>
              <w:sdt>
                <w:sdtPr>
                  <w:alias w:val="Numeris"/>
                  <w:tag w:val="nr_fa984e63d6fd4c76ad43d033afdddda3"/>
                  <w:lock w:val="sdtLocked"/>
                  <w:richText/>
                </w:sdtPr>
                <w:sdtContent>
                  <w:r>
                    <w:rPr>
                      <w:rFonts w:eastAsia="Calibri"/>
                      <w:b/>
                      <w:szCs w:val="24"/>
                    </w:rPr>
                    <w:t>II</w:t>
                  </w:r>
                </w:sdtContent>
              </w:sdt>
              <w:r>
                <w:rPr>
                  <w:rFonts w:eastAsia="Calibri"/>
                  <w:b/>
                  <w:szCs w:val="24"/>
                </w:rPr>
                <w:t xml:space="preserve"> SKYRIUS</w:t>
              </w:r>
            </w:p>
            <w:p w14:paraId="7380F406" w14:textId="7E7F7982">
              <w:pPr>
                <w:suppressAutoHyphens/>
                <w:jc w:val="center"/>
                <w:textAlignment w:val="baseline"/>
                <w:rPr>
                  <w:rFonts w:eastAsia="Calibri"/>
                  <w:b/>
                  <w:szCs w:val="24"/>
                </w:rPr>
              </w:pPr>
              <w:sdt>
                <w:sdtPr>
                  <w:alias w:val="Pavadinimas"/>
                  <w:tag w:val="title_fa984e63d6fd4c76ad43d033afdddda3"/>
                  <w:lock w:val="sdtLocked"/>
                  <w:richText/>
                </w:sdtPr>
                <w:sdtContent>
                  <w:r>
                    <w:rPr>
                      <w:rFonts w:eastAsia="Calibri"/>
                      <w:b/>
                      <w:szCs w:val="24"/>
                    </w:rPr>
                    <w:t>ŽMOGIŠKŲJŲ IŠTEKLIŲ VALDYMAS</w:t>
                  </w:r>
                </w:sdtContent>
              </w:sdt>
            </w:p>
            <w:p w14:paraId="61FD0D06" w14:textId="77777777">
              <w:pPr>
                <w:tabs>
                  <w:tab w:val="left" w:pos="567"/>
                </w:tabs>
                <w:jc w:val="both"/>
              </w:pPr>
            </w:p>
            <w:p w14:paraId="148100D0" w14:textId="2BC0F561">
              <w:pPr>
                <w:suppressAutoHyphens/>
                <w:ind w:firstLine="851"/>
                <w:jc w:val="both"/>
                <w:textAlignment w:val="baseline"/>
                <w:rPr>
                  <w:rFonts w:eastAsia="Calibri"/>
                  <w:bCs/>
                  <w:szCs w:val="24"/>
                </w:rPr>
              </w:pPr>
              <w:r>
                <w:rPr>
                  <w:rFonts w:eastAsia="Calibri"/>
                  <w:bCs/>
                  <w:szCs w:val="24"/>
                </w:rPr>
                <w:t>Auditoriui šiandien keliami labai griežti profesiniai reikalavimai – ne tik išmanyti finansinę apskaitą ir pagal audito reikalavimus patikrinti ataskaitų rinkinius, įrašus apskaitos registruose, bet ir būti analitiku, strategu, ekspertu, vadybininku, psichologu bei gerai išmanyti teisės aktus. Tarnyboje patvirtinti 3 darbuotojų etatai, tačiau iki birželio mėnesio dirbo 2 darbuotojai. Nuolatinis tobulėjimas ir mokymasis yra būtina sąlyga profesionaliam auditui atlikti, todėl 2024 metais tarnybos darbuotojai dalyvavo seminaruose, kuriuose kėlė kvalifikaciją darbo apmokėjimo ir kitų išmokų skaičiavimo, audito kriterijų formulavimo, asmens duomenų tvarkymo srityse. Kvalifikacijos kėlimo klausimais bendradarbiauta su Savivaldybių kontrolierių asociacijos narėmis kitų savivaldybių kontrolės ir auditų tarnybomis gerosios praktikos skleidimu, pasidalijimu, siekiant pagerinti auditų kokybę bei pakelti tarnybų prestižą. Savivaldybės kontrolierius dalyvavo viešojo valdymo agentūros projekte „Valstybės tarnybos vadovų kompetencijų ugdymo sistemos sukūrimas ir įdiegimas („Lyderystės akademija“)“.</w:t>
              </w:r>
            </w:p>
            <w:p w14:paraId="7B8B1C15" w14:textId="77777777">
              <w:pPr>
                <w:suppressAutoHyphens/>
                <w:ind w:firstLine="851"/>
                <w:jc w:val="both"/>
                <w:textAlignment w:val="baseline"/>
                <w:rPr>
                  <w:rFonts w:eastAsia="Calibri"/>
                  <w:bCs/>
                  <w:szCs w:val="24"/>
                </w:rPr>
              </w:pPr>
            </w:p>
          </w:sdtContent>
        </w:sdt>
        <w:sdt>
          <w:sdtPr>
            <w:alias w:val="skyrius"/>
            <w:tag w:val="part_bec44a14b0c34ce39df601ab0a32f683"/>
            <w:lock w:val="sdtLocked"/>
            <w:richText/>
          </w:sdtPr>
          <w:sdtContent>
            <w:p w14:paraId="6C9EFEFF" w14:textId="77777777">
              <w:pPr>
                <w:suppressAutoHyphens/>
                <w:jc w:val="center"/>
                <w:textAlignment w:val="baseline"/>
                <w:rPr>
                  <w:b/>
                  <w:strike/>
                  <w:szCs w:val="24"/>
                </w:rPr>
              </w:pPr>
              <w:sdt>
                <w:sdtPr>
                  <w:alias w:val="Numeris"/>
                  <w:tag w:val="nr_bec44a14b0c34ce39df601ab0a32f683"/>
                  <w:lock w:val="sdtLocked"/>
                  <w:richText/>
                </w:sdtPr>
                <w:sdtContent>
                  <w:r>
                    <w:rPr>
                      <w:b/>
                      <w:szCs w:val="24"/>
                    </w:rPr>
                    <w:t>III</w:t>
                  </w:r>
                </w:sdtContent>
              </w:sdt>
              <w:r>
                <w:rPr>
                  <w:b/>
                  <w:szCs w:val="24"/>
                </w:rPr>
                <w:t xml:space="preserve"> SKYRIUS</w:t>
              </w:r>
            </w:p>
            <w:p w14:paraId="2AA98023" w14:textId="77777777">
              <w:pPr>
                <w:suppressAutoHyphens/>
                <w:jc w:val="center"/>
                <w:textAlignment w:val="baseline"/>
                <w:rPr>
                  <w:b/>
                  <w:szCs w:val="24"/>
                </w:rPr>
              </w:pPr>
              <w:sdt>
                <w:sdtPr>
                  <w:alias w:val="Pavadinimas"/>
                  <w:tag w:val="title_bec44a14b0c34ce39df601ab0a32f683"/>
                  <w:lock w:val="sdtLocked"/>
                  <w:richText/>
                </w:sdtPr>
                <w:sdtContent>
                  <w:r>
                    <w:rPr>
                      <w:b/>
                      <w:szCs w:val="24"/>
                    </w:rPr>
                    <w:t>STRATEGINIŲ IR METŲ VEIKLOS TIKSLŲ ĮGYVENDINIMAS</w:t>
                  </w:r>
                </w:sdtContent>
              </w:sdt>
            </w:p>
            <w:p w14:paraId="626C0D33" w14:textId="77777777">
              <w:pPr>
                <w:suppressAutoHyphens/>
                <w:ind w:firstLine="567"/>
                <w:jc w:val="center"/>
                <w:textAlignment w:val="baseline"/>
                <w:rPr>
                  <w:b/>
                  <w:szCs w:val="24"/>
                </w:rPr>
              </w:pPr>
            </w:p>
            <w:p w14:paraId="43A59029" w14:textId="125CE35A">
              <w:pPr>
                <w:suppressAutoHyphens/>
                <w:ind w:firstLine="851"/>
                <w:jc w:val="both"/>
                <w:textAlignment w:val="baseline"/>
                <w:rPr>
                  <w:rFonts w:eastAsia="Calibri"/>
                  <w:bCs/>
                  <w:szCs w:val="24"/>
                </w:rPr>
              </w:pPr>
              <w:r>
                <w:rPr>
                  <w:rFonts w:eastAsia="Calibri"/>
                  <w:bCs/>
                  <w:szCs w:val="24"/>
                </w:rPr>
                <w:t>Tarnybos veikla buvo vykdoma pagal su Savivaldybės tarybos kontrolės komitetu suderintą ir Savivaldybės kontrolieriaus patvirtintą 2024 metų veiklos planą. Tarnybos metų veiklos planas buvo parengtas atsižvelgiant į teisės aktuose tarnybai nustatytą kompetenciją. Tarnybos metų veiklos plane numatyti darbai buvo suplanuoti taip, kad būtų įgyvendinti uždaviniai, nustatyti tarnybos nuostatuose, laikantis Lietuvos Respublikos vietos savivaldos įstatymo, Lietuvos Respublikos biudžeto sandaros įstatymo, Lietuvos Respublikos viešojo sektoriaus atskaitomybės įstatymų ir kitų teisės aktų. Tarnybos metų veiklos planas apėmė Savivaldybės administracijos ir Savivaldybės administravimo subjektų išorės finansinį, atitikties auditą, Savivaldybės turto apskaitos, valdymo ir naudojimo kontrolę, išvadų, reikalingų Savivaldybės tarybai sprendimams priimti, pateikimą, prevencinių priemonių, kad būtų ištaisyti ir nepasikartotų audito metu nustatyti teisės aktų pažeidimai, vykdymą ir kitas kontrolės funkcijas.</w:t>
              </w:r>
            </w:p>
            <w:p w14:paraId="00A769A5" w14:textId="77777777">
              <w:pPr>
                <w:suppressAutoHyphens/>
                <w:ind w:firstLine="567"/>
                <w:jc w:val="both"/>
                <w:textAlignment w:val="baseline"/>
                <w:rPr>
                  <w:rFonts w:eastAsia="Calibri"/>
                  <w:bCs/>
                  <w:szCs w:val="24"/>
                </w:rPr>
              </w:pPr>
            </w:p>
            <w:p w14:paraId="41985FBE" w14:textId="3FC81571">
              <w:pPr>
                <w:rPr>
                  <w:bCs/>
                  <w:color w:val="808080"/>
                </w:rPr>
              </w:pPr>
              <w:r>
                <w:rPr>
                  <w:b/>
                </w:rPr>
                <w:t>1 lentelė.</w:t>
              </w:r>
              <w:r>
                <w:t xml:space="preserve"> </w:t>
              </w:r>
              <w:r>
                <w:rPr>
                  <w:bCs/>
                </w:rPr>
                <w:t>Strateginių ir (arba) metų veiklos tikslų įgyvendinimo rodikliai</w:t>
              </w: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559"/>
                <w:gridCol w:w="851"/>
                <w:gridCol w:w="708"/>
                <w:gridCol w:w="709"/>
                <w:gridCol w:w="1276"/>
                <w:gridCol w:w="1134"/>
                <w:gridCol w:w="1276"/>
                <w:gridCol w:w="1275"/>
              </w:tblGrid>
              <w:tr w14:paraId="759F8422" w14:textId="77777777">
                <w:tc>
                  <w:tcPr>
                    <w:tcW w:w="1418" w:type="dxa"/>
                    <w:vMerge w:val="restart"/>
                    <w:shd w:val="clear" w:color="auto" w:fill="DBE5F1"/>
                    <w:vAlign w:val="center"/>
                  </w:tcPr>
                  <w:p w14:paraId="0D9DD69D" w14:textId="77777777">
                    <w:pPr>
                      <w:jc w:val="center"/>
                      <w:rPr>
                        <w:rFonts w:ascii="Calibri" w:eastAsia="Calibri" w:hAnsi="Calibri" w:cs="Vrinda"/>
                        <w:b/>
                        <w:color w:val="000000"/>
                        <w:sz w:val="18"/>
                        <w:szCs w:val="18"/>
                      </w:rPr>
                    </w:pPr>
                    <w:r>
                      <w:rPr>
                        <w:rFonts w:ascii="Calibri" w:eastAsia="Calibri" w:hAnsi="Calibri" w:cs="Vrinda"/>
                        <w:b/>
                        <w:color w:val="000000"/>
                        <w:sz w:val="18"/>
                        <w:szCs w:val="18"/>
                      </w:rPr>
                      <w:t>Priemonės ir (arba) rodiklio pavadinimas</w:t>
                    </w:r>
                  </w:p>
                </w:tc>
                <w:tc>
                  <w:tcPr>
                    <w:tcW w:w="1559" w:type="dxa"/>
                    <w:vMerge w:val="restart"/>
                    <w:shd w:val="clear" w:color="auto" w:fill="DBE5F1"/>
                    <w:vAlign w:val="center"/>
                  </w:tcPr>
                  <w:p w14:paraId="7B3F0FA9" w14:textId="77777777">
                    <w:pPr>
                      <w:jc w:val="center"/>
                      <w:rPr>
                        <w:rFonts w:ascii="Calibri" w:eastAsia="Calibri" w:hAnsi="Calibri" w:cs="Vrinda"/>
                        <w:b/>
                        <w:color w:val="000000"/>
                        <w:sz w:val="18"/>
                        <w:szCs w:val="18"/>
                      </w:rPr>
                    </w:pPr>
                    <w:r>
                      <w:rPr>
                        <w:rFonts w:ascii="Calibri" w:eastAsia="Calibri" w:hAnsi="Calibri" w:cs="Vrinda"/>
                        <w:b/>
                        <w:color w:val="000000"/>
                        <w:sz w:val="18"/>
                        <w:szCs w:val="18"/>
                      </w:rPr>
                      <w:t xml:space="preserve">Planuota reikšmė, matavimo vienetas </w:t>
                    </w:r>
                  </w:p>
                </w:tc>
                <w:tc>
                  <w:tcPr>
                    <w:tcW w:w="2268" w:type="dxa"/>
                    <w:gridSpan w:val="3"/>
                    <w:shd w:val="clear" w:color="auto" w:fill="DBE5F1"/>
                    <w:vAlign w:val="center"/>
                  </w:tcPr>
                  <w:p w14:paraId="3D48C34D" w14:textId="77777777">
                    <w:pPr>
                      <w:jc w:val="center"/>
                      <w:rPr>
                        <w:rFonts w:ascii="Calibri" w:eastAsia="Calibri" w:hAnsi="Calibri" w:cs="Vrinda"/>
                        <w:b/>
                        <w:color w:val="000000"/>
                        <w:sz w:val="18"/>
                        <w:szCs w:val="18"/>
                      </w:rPr>
                    </w:pPr>
                    <w:r>
                      <w:rPr>
                        <w:rFonts w:ascii="Calibri" w:eastAsia="Calibri" w:hAnsi="Calibri" w:cs="Vrinda"/>
                        <w:b/>
                        <w:color w:val="000000"/>
                        <w:sz w:val="18"/>
                        <w:szCs w:val="18"/>
                      </w:rPr>
                      <w:t>Praėjusių 2 ataskaitinių laikotarpių ir ataskaitinio laikotarpio reikšmės (faktas)</w:t>
                    </w:r>
                  </w:p>
                </w:tc>
                <w:tc>
                  <w:tcPr>
                    <w:tcW w:w="1276" w:type="dxa"/>
                    <w:shd w:val="clear" w:color="auto" w:fill="DBE5F1"/>
                    <w:vAlign w:val="center"/>
                  </w:tcPr>
                  <w:p w14:paraId="2B793305" w14:textId="77777777">
                    <w:pPr>
                      <w:jc w:val="center"/>
                      <w:rPr>
                        <w:rFonts w:ascii="Calibri" w:eastAsia="Calibri" w:hAnsi="Calibri" w:cs="Vrinda"/>
                        <w:b/>
                        <w:color w:val="000000"/>
                        <w:sz w:val="18"/>
                        <w:szCs w:val="18"/>
                      </w:rPr>
                    </w:pPr>
                    <w:r>
                      <w:rPr>
                        <w:rFonts w:ascii="Calibri" w:eastAsia="Calibri" w:hAnsi="Calibri" w:cs="Vrinda"/>
                        <w:b/>
                        <w:color w:val="000000"/>
                        <w:sz w:val="18"/>
                        <w:szCs w:val="18"/>
                      </w:rPr>
                      <w:t>Sąsaja su Savivaldybės, kitų institucijų, įstaigos planavimo dokumentais</w:t>
                    </w:r>
                  </w:p>
                </w:tc>
                <w:tc>
                  <w:tcPr>
                    <w:tcW w:w="2410" w:type="dxa"/>
                    <w:gridSpan w:val="2"/>
                    <w:shd w:val="clear" w:color="auto" w:fill="DBE5F1"/>
                    <w:vAlign w:val="center"/>
                  </w:tcPr>
                  <w:p w14:paraId="4660F6BE" w14:textId="77777777">
                    <w:pPr>
                      <w:jc w:val="center"/>
                      <w:rPr>
                        <w:rFonts w:ascii="Calibri" w:eastAsia="Calibri" w:hAnsi="Calibri" w:cs="Vrinda"/>
                        <w:b/>
                        <w:color w:val="000000"/>
                        <w:sz w:val="18"/>
                        <w:szCs w:val="18"/>
                      </w:rPr>
                    </w:pPr>
                    <w:r>
                      <w:rPr>
                        <w:rFonts w:ascii="Calibri" w:eastAsia="Calibri" w:hAnsi="Calibri" w:cs="Vrinda"/>
                        <w:b/>
                        <w:color w:val="000000"/>
                        <w:sz w:val="18"/>
                        <w:szCs w:val="18"/>
                      </w:rPr>
                      <w:t xml:space="preserve">Finansavimas </w:t>
                    </w:r>
                  </w:p>
                  <w:p w14:paraId="63A71CAF" w14:textId="4BB89717">
                    <w:pPr>
                      <w:jc w:val="center"/>
                      <w:rPr>
                        <w:rFonts w:ascii="Calibri" w:eastAsia="Calibri" w:hAnsi="Calibri" w:cs="Vrinda"/>
                        <w:b/>
                        <w:color w:val="000000"/>
                        <w:sz w:val="18"/>
                        <w:szCs w:val="18"/>
                      </w:rPr>
                    </w:pPr>
                    <w:r>
                      <w:rPr>
                        <w:rFonts w:ascii="Calibri" w:eastAsia="Calibri" w:hAnsi="Calibri" w:cs="Vrinda"/>
                        <w:b/>
                        <w:color w:val="000000"/>
                        <w:sz w:val="18"/>
                        <w:szCs w:val="18"/>
                      </w:rPr>
                      <w:t>tūkst. Eur</w:t>
                    </w:r>
                  </w:p>
                </w:tc>
                <w:tc>
                  <w:tcPr>
                    <w:tcW w:w="1275" w:type="dxa"/>
                    <w:shd w:val="clear" w:color="auto" w:fill="DBE5F1"/>
                    <w:vAlign w:val="center"/>
                  </w:tcPr>
                  <w:p w14:paraId="47ED4C93" w14:textId="1A77BC70">
                    <w:pPr>
                      <w:jc w:val="center"/>
                      <w:rPr>
                        <w:rFonts w:ascii="Calibri" w:eastAsia="Calibri" w:hAnsi="Calibri" w:cs="Vrinda"/>
                        <w:b/>
                        <w:color w:val="000000"/>
                        <w:sz w:val="18"/>
                        <w:szCs w:val="18"/>
                      </w:rPr>
                    </w:pPr>
                    <w:r>
                      <w:rPr>
                        <w:rFonts w:ascii="Calibri" w:eastAsia="Calibri" w:hAnsi="Calibri" w:cs="Vrinda"/>
                        <w:b/>
                        <w:color w:val="000000"/>
                        <w:sz w:val="18"/>
                        <w:szCs w:val="18"/>
                      </w:rPr>
                      <w:t>Atsakingas vykdytojas</w:t>
                    </w:r>
                  </w:p>
                </w:tc>
              </w:tr>
              <w:tr w14:paraId="3482C18E" w14:textId="77777777">
                <w:tc>
                  <w:tcPr>
                    <w:tcW w:w="1418" w:type="dxa"/>
                    <w:vMerge/>
                    <w:shd w:val="clear" w:color="auto" w:fill="DBE5F1"/>
                    <w:vAlign w:val="center"/>
                  </w:tcPr>
                  <w:p w14:paraId="039CF94D" w14:textId="77777777">
                    <w:pPr>
                      <w:jc w:val="center"/>
                      <w:rPr>
                        <w:rFonts w:ascii="Calibri" w:eastAsia="Calibri" w:hAnsi="Calibri" w:cs="Vrinda"/>
                        <w:b/>
                        <w:color w:val="000000"/>
                        <w:sz w:val="18"/>
                        <w:szCs w:val="18"/>
                      </w:rPr>
                    </w:pPr>
                  </w:p>
                </w:tc>
                <w:tc>
                  <w:tcPr>
                    <w:tcW w:w="1559" w:type="dxa"/>
                    <w:vMerge/>
                    <w:shd w:val="clear" w:color="auto" w:fill="DBE5F1"/>
                    <w:vAlign w:val="center"/>
                  </w:tcPr>
                  <w:p w14:paraId="3814B6A5" w14:textId="77777777">
                    <w:pPr>
                      <w:jc w:val="center"/>
                      <w:rPr>
                        <w:rFonts w:ascii="Calibri" w:eastAsia="Calibri" w:hAnsi="Calibri" w:cs="Vrinda"/>
                        <w:b/>
                        <w:color w:val="000000"/>
                        <w:sz w:val="18"/>
                        <w:szCs w:val="18"/>
                      </w:rPr>
                    </w:pPr>
                  </w:p>
                </w:tc>
                <w:tc>
                  <w:tcPr>
                    <w:tcW w:w="851" w:type="dxa"/>
                    <w:shd w:val="clear" w:color="auto" w:fill="DBE5F1"/>
                    <w:vAlign w:val="center"/>
                  </w:tcPr>
                  <w:p w14:paraId="0DAFB036" w14:textId="77777777">
                    <w:pPr>
                      <w:jc w:val="center"/>
                      <w:rPr>
                        <w:rFonts w:ascii="Calibri" w:eastAsia="Calibri" w:hAnsi="Calibri" w:cs="Vrinda"/>
                        <w:b/>
                        <w:color w:val="000000"/>
                        <w:sz w:val="18"/>
                        <w:szCs w:val="18"/>
                      </w:rPr>
                    </w:pPr>
                    <w:r>
                      <w:rPr>
                        <w:rFonts w:ascii="Calibri" w:eastAsia="Calibri" w:hAnsi="Calibri" w:cs="Vrinda"/>
                        <w:b/>
                        <w:color w:val="000000"/>
                        <w:sz w:val="18"/>
                        <w:szCs w:val="18"/>
                      </w:rPr>
                      <w:t>2022 metai</w:t>
                    </w:r>
                  </w:p>
                </w:tc>
                <w:tc>
                  <w:tcPr>
                    <w:tcW w:w="708" w:type="dxa"/>
                    <w:shd w:val="clear" w:color="auto" w:fill="DBE5F1"/>
                    <w:vAlign w:val="center"/>
                  </w:tcPr>
                  <w:p w14:paraId="2807BA0C" w14:textId="77777777">
                    <w:pPr>
                      <w:jc w:val="center"/>
                      <w:rPr>
                        <w:rFonts w:ascii="Calibri" w:eastAsia="Calibri" w:hAnsi="Calibri" w:cs="Vrinda"/>
                        <w:b/>
                        <w:color w:val="000000"/>
                        <w:sz w:val="18"/>
                        <w:szCs w:val="18"/>
                      </w:rPr>
                    </w:pPr>
                    <w:r>
                      <w:rPr>
                        <w:rFonts w:ascii="Calibri" w:eastAsia="Calibri" w:hAnsi="Calibri" w:cs="Vrinda"/>
                        <w:b/>
                        <w:color w:val="000000"/>
                        <w:sz w:val="18"/>
                        <w:szCs w:val="18"/>
                      </w:rPr>
                      <w:t>2023 metai</w:t>
                    </w:r>
                  </w:p>
                </w:tc>
                <w:tc>
                  <w:tcPr>
                    <w:tcW w:w="709" w:type="dxa"/>
                    <w:shd w:val="clear" w:color="auto" w:fill="DBE5F1"/>
                    <w:vAlign w:val="center"/>
                  </w:tcPr>
                  <w:p w14:paraId="4B791B33" w14:textId="77777777">
                    <w:pPr>
                      <w:jc w:val="center"/>
                      <w:rPr>
                        <w:rFonts w:ascii="Calibri" w:eastAsia="Calibri" w:hAnsi="Calibri" w:cs="Vrinda"/>
                        <w:b/>
                        <w:color w:val="000000"/>
                        <w:sz w:val="18"/>
                        <w:szCs w:val="18"/>
                      </w:rPr>
                    </w:pPr>
                    <w:r>
                      <w:rPr>
                        <w:rFonts w:ascii="Calibri" w:eastAsia="Calibri" w:hAnsi="Calibri" w:cs="Vrinda"/>
                        <w:b/>
                        <w:color w:val="000000"/>
                        <w:sz w:val="18"/>
                        <w:szCs w:val="18"/>
                      </w:rPr>
                      <w:t>2024 metai</w:t>
                    </w:r>
                  </w:p>
                </w:tc>
                <w:tc>
                  <w:tcPr>
                    <w:tcW w:w="1276" w:type="dxa"/>
                    <w:shd w:val="clear" w:color="auto" w:fill="DBE5F1"/>
                    <w:vAlign w:val="center"/>
                  </w:tcPr>
                  <w:p w14:paraId="00156041" w14:textId="77777777">
                    <w:pPr>
                      <w:jc w:val="center"/>
                      <w:rPr>
                        <w:rFonts w:ascii="Calibri" w:eastAsia="Calibri" w:hAnsi="Calibri" w:cs="Vrinda"/>
                        <w:b/>
                        <w:color w:val="000000"/>
                        <w:sz w:val="18"/>
                        <w:szCs w:val="18"/>
                      </w:rPr>
                    </w:pPr>
                  </w:p>
                </w:tc>
                <w:tc>
                  <w:tcPr>
                    <w:tcW w:w="1134" w:type="dxa"/>
                    <w:shd w:val="clear" w:color="auto" w:fill="DBE5F1"/>
                    <w:vAlign w:val="center"/>
                  </w:tcPr>
                  <w:p w14:paraId="4F1A403B" w14:textId="5B0850B4">
                    <w:pPr>
                      <w:jc w:val="center"/>
                      <w:rPr>
                        <w:rFonts w:ascii="Calibri" w:eastAsia="Calibri" w:hAnsi="Calibri" w:cs="Vrinda"/>
                        <w:b/>
                        <w:color w:val="000000"/>
                        <w:sz w:val="18"/>
                        <w:szCs w:val="18"/>
                      </w:rPr>
                    </w:pPr>
                    <w:r>
                      <w:rPr>
                        <w:rFonts w:ascii="Calibri" w:eastAsia="Calibri" w:hAnsi="Calibri" w:cs="Vrinda"/>
                        <w:b/>
                        <w:color w:val="000000"/>
                        <w:sz w:val="18"/>
                        <w:szCs w:val="18"/>
                      </w:rPr>
                      <w:t>Patvirtintas planas, tūkst. Eur</w:t>
                    </w:r>
                  </w:p>
                </w:tc>
                <w:tc>
                  <w:tcPr>
                    <w:tcW w:w="1276" w:type="dxa"/>
                    <w:shd w:val="clear" w:color="auto" w:fill="DBE5F1"/>
                    <w:vAlign w:val="center"/>
                  </w:tcPr>
                  <w:p w14:paraId="4CA1CD94" w14:textId="77777777">
                    <w:pPr>
                      <w:jc w:val="center"/>
                      <w:rPr>
                        <w:rFonts w:ascii="Calibri" w:eastAsia="Calibri" w:hAnsi="Calibri" w:cs="Vrinda"/>
                        <w:b/>
                        <w:color w:val="000000"/>
                        <w:sz w:val="18"/>
                        <w:szCs w:val="18"/>
                      </w:rPr>
                    </w:pPr>
                    <w:r>
                      <w:rPr>
                        <w:rFonts w:ascii="Calibri" w:eastAsia="Calibri" w:hAnsi="Calibri" w:cs="Vrinda"/>
                        <w:b/>
                        <w:color w:val="000000"/>
                        <w:sz w:val="18"/>
                        <w:szCs w:val="18"/>
                      </w:rPr>
                      <w:t xml:space="preserve">Įvykdymas, asignavimų šaltinis, </w:t>
                    </w:r>
                  </w:p>
                  <w:p w14:paraId="3D1EEE21" w14:textId="682E2080">
                    <w:pPr>
                      <w:jc w:val="center"/>
                      <w:rPr>
                        <w:rFonts w:ascii="Calibri" w:eastAsia="Calibri" w:hAnsi="Calibri" w:cs="Vrinda"/>
                        <w:b/>
                        <w:color w:val="000000"/>
                        <w:sz w:val="18"/>
                        <w:szCs w:val="18"/>
                      </w:rPr>
                    </w:pPr>
                    <w:r>
                      <w:rPr>
                        <w:rFonts w:ascii="Calibri" w:eastAsia="Calibri" w:hAnsi="Calibri" w:cs="Vrinda"/>
                        <w:b/>
                        <w:color w:val="000000"/>
                        <w:sz w:val="18"/>
                        <w:szCs w:val="18"/>
                      </w:rPr>
                      <w:t>tūkst. Eur</w:t>
                    </w:r>
                  </w:p>
                </w:tc>
                <w:tc>
                  <w:tcPr>
                    <w:tcW w:w="1275" w:type="dxa"/>
                    <w:shd w:val="clear" w:color="auto" w:fill="DBE5F1"/>
                    <w:vAlign w:val="center"/>
                  </w:tcPr>
                  <w:p w14:paraId="76F873E3" w14:textId="77777777">
                    <w:pPr>
                      <w:jc w:val="center"/>
                      <w:rPr>
                        <w:rFonts w:ascii="Calibri" w:eastAsia="Calibri" w:hAnsi="Calibri" w:cs="Vrinda"/>
                        <w:b/>
                        <w:color w:val="000000"/>
                        <w:sz w:val="18"/>
                        <w:szCs w:val="18"/>
                      </w:rPr>
                    </w:pPr>
                  </w:p>
                </w:tc>
              </w:tr>
              <w:tr w14:paraId="2D39E524" w14:textId="77777777">
                <w:trPr>
                  <w:trHeight w:val="108"/>
                </w:trPr>
                <w:tc>
                  <w:tcPr>
                    <w:tcW w:w="1418" w:type="dxa"/>
                    <w:shd w:val="clear" w:color="auto" w:fill="DBE5F1"/>
                  </w:tcPr>
                  <w:p w14:paraId="17482241" w14:textId="77777777">
                    <w:pPr>
                      <w:jc w:val="center"/>
                      <w:rPr>
                        <w:rFonts w:ascii="Calibri" w:eastAsia="Calibri" w:hAnsi="Calibri" w:cs="Vrinda"/>
                        <w:color w:val="000000"/>
                        <w:sz w:val="18"/>
                        <w:szCs w:val="18"/>
                      </w:rPr>
                    </w:pPr>
                    <w:r>
                      <w:rPr>
                        <w:rFonts w:ascii="Calibri" w:eastAsia="Calibri" w:hAnsi="Calibri" w:cs="Vrinda"/>
                        <w:color w:val="000000"/>
                        <w:sz w:val="18"/>
                        <w:szCs w:val="18"/>
                      </w:rPr>
                      <w:t>1</w:t>
                    </w:r>
                  </w:p>
                </w:tc>
                <w:tc>
                  <w:tcPr>
                    <w:tcW w:w="1559" w:type="dxa"/>
                    <w:shd w:val="clear" w:color="auto" w:fill="DBE5F1"/>
                  </w:tcPr>
                  <w:p w14:paraId="4556DDE5" w14:textId="77777777">
                    <w:pPr>
                      <w:jc w:val="center"/>
                      <w:rPr>
                        <w:rFonts w:ascii="Calibri" w:eastAsia="Calibri" w:hAnsi="Calibri" w:cs="Vrinda"/>
                        <w:color w:val="000000"/>
                        <w:sz w:val="18"/>
                        <w:szCs w:val="18"/>
                      </w:rPr>
                    </w:pPr>
                    <w:r>
                      <w:rPr>
                        <w:rFonts w:ascii="Calibri" w:eastAsia="Calibri" w:hAnsi="Calibri" w:cs="Vrinda"/>
                        <w:color w:val="000000"/>
                        <w:sz w:val="18"/>
                        <w:szCs w:val="18"/>
                      </w:rPr>
                      <w:t>2</w:t>
                    </w:r>
                  </w:p>
                </w:tc>
                <w:tc>
                  <w:tcPr>
                    <w:tcW w:w="851" w:type="dxa"/>
                    <w:shd w:val="clear" w:color="auto" w:fill="DBE5F1"/>
                  </w:tcPr>
                  <w:p w14:paraId="308B8291" w14:textId="77777777">
                    <w:pPr>
                      <w:jc w:val="center"/>
                      <w:rPr>
                        <w:rFonts w:ascii="Calibri" w:eastAsia="Calibri" w:hAnsi="Calibri" w:cs="Vrinda"/>
                        <w:color w:val="000000"/>
                        <w:sz w:val="18"/>
                        <w:szCs w:val="18"/>
                      </w:rPr>
                    </w:pPr>
                    <w:r>
                      <w:rPr>
                        <w:rFonts w:ascii="Calibri" w:eastAsia="Calibri" w:hAnsi="Calibri" w:cs="Vrinda"/>
                        <w:color w:val="000000"/>
                        <w:sz w:val="18"/>
                        <w:szCs w:val="18"/>
                      </w:rPr>
                      <w:t>3</w:t>
                    </w:r>
                  </w:p>
                </w:tc>
                <w:tc>
                  <w:tcPr>
                    <w:tcW w:w="708" w:type="dxa"/>
                    <w:shd w:val="clear" w:color="auto" w:fill="DBE5F1"/>
                  </w:tcPr>
                  <w:p w14:paraId="731CCF7C" w14:textId="77777777">
                    <w:pPr>
                      <w:jc w:val="center"/>
                      <w:rPr>
                        <w:rFonts w:ascii="Calibri" w:eastAsia="Calibri" w:hAnsi="Calibri" w:cs="Vrinda"/>
                        <w:color w:val="000000"/>
                        <w:sz w:val="18"/>
                        <w:szCs w:val="18"/>
                      </w:rPr>
                    </w:pPr>
                    <w:r>
                      <w:rPr>
                        <w:rFonts w:ascii="Calibri" w:eastAsia="Calibri" w:hAnsi="Calibri" w:cs="Vrinda"/>
                        <w:color w:val="000000"/>
                        <w:sz w:val="18"/>
                        <w:szCs w:val="18"/>
                      </w:rPr>
                      <w:t>4</w:t>
                    </w:r>
                  </w:p>
                </w:tc>
                <w:tc>
                  <w:tcPr>
                    <w:tcW w:w="709" w:type="dxa"/>
                    <w:shd w:val="clear" w:color="auto" w:fill="DBE5F1"/>
                  </w:tcPr>
                  <w:p w14:paraId="3350CDF2" w14:textId="77777777">
                    <w:pPr>
                      <w:jc w:val="center"/>
                      <w:rPr>
                        <w:rFonts w:ascii="Calibri" w:eastAsia="Calibri" w:hAnsi="Calibri" w:cs="Vrinda"/>
                        <w:color w:val="000000"/>
                        <w:sz w:val="18"/>
                        <w:szCs w:val="18"/>
                      </w:rPr>
                    </w:pPr>
                    <w:r>
                      <w:rPr>
                        <w:rFonts w:ascii="Calibri" w:eastAsia="Calibri" w:hAnsi="Calibri" w:cs="Vrinda"/>
                        <w:color w:val="000000"/>
                        <w:sz w:val="18"/>
                        <w:szCs w:val="18"/>
                      </w:rPr>
                      <w:t>5</w:t>
                    </w:r>
                  </w:p>
                </w:tc>
                <w:tc>
                  <w:tcPr>
                    <w:tcW w:w="1276" w:type="dxa"/>
                    <w:shd w:val="clear" w:color="auto" w:fill="DBE5F1"/>
                  </w:tcPr>
                  <w:p w14:paraId="3DF9872B" w14:textId="77777777">
                    <w:pPr>
                      <w:jc w:val="center"/>
                      <w:rPr>
                        <w:rFonts w:ascii="Calibri" w:eastAsia="Calibri" w:hAnsi="Calibri" w:cs="Vrinda"/>
                        <w:color w:val="000000"/>
                        <w:sz w:val="18"/>
                        <w:szCs w:val="18"/>
                      </w:rPr>
                    </w:pPr>
                    <w:r>
                      <w:rPr>
                        <w:rFonts w:ascii="Calibri" w:eastAsia="Calibri" w:hAnsi="Calibri" w:cs="Vrinda"/>
                        <w:color w:val="000000"/>
                        <w:sz w:val="18"/>
                        <w:szCs w:val="18"/>
                      </w:rPr>
                      <w:t>6</w:t>
                    </w:r>
                  </w:p>
                </w:tc>
                <w:tc>
                  <w:tcPr>
                    <w:tcW w:w="1134" w:type="dxa"/>
                    <w:shd w:val="clear" w:color="auto" w:fill="DBE5F1"/>
                  </w:tcPr>
                  <w:p w14:paraId="28C356B0" w14:textId="77777777">
                    <w:pPr>
                      <w:jc w:val="center"/>
                      <w:rPr>
                        <w:rFonts w:ascii="Calibri" w:eastAsia="Calibri" w:hAnsi="Calibri" w:cs="Vrinda"/>
                        <w:color w:val="000000"/>
                        <w:sz w:val="18"/>
                        <w:szCs w:val="18"/>
                      </w:rPr>
                    </w:pPr>
                    <w:r>
                      <w:rPr>
                        <w:rFonts w:ascii="Calibri" w:eastAsia="Calibri" w:hAnsi="Calibri" w:cs="Vrinda"/>
                        <w:color w:val="000000"/>
                        <w:sz w:val="18"/>
                        <w:szCs w:val="18"/>
                      </w:rPr>
                      <w:t>7</w:t>
                    </w:r>
                  </w:p>
                </w:tc>
                <w:tc>
                  <w:tcPr>
                    <w:tcW w:w="1276" w:type="dxa"/>
                    <w:shd w:val="clear" w:color="auto" w:fill="DBE5F1"/>
                  </w:tcPr>
                  <w:p w14:paraId="68E15E26" w14:textId="77777777">
                    <w:pPr>
                      <w:jc w:val="center"/>
                      <w:rPr>
                        <w:rFonts w:ascii="Calibri" w:eastAsia="Calibri" w:hAnsi="Calibri" w:cs="Vrinda"/>
                        <w:color w:val="000000"/>
                        <w:sz w:val="18"/>
                        <w:szCs w:val="18"/>
                      </w:rPr>
                    </w:pPr>
                    <w:r>
                      <w:rPr>
                        <w:rFonts w:ascii="Calibri" w:eastAsia="Calibri" w:hAnsi="Calibri" w:cs="Vrinda"/>
                        <w:color w:val="000000"/>
                        <w:sz w:val="18"/>
                        <w:szCs w:val="18"/>
                      </w:rPr>
                      <w:t>8</w:t>
                    </w:r>
                  </w:p>
                </w:tc>
                <w:tc>
                  <w:tcPr>
                    <w:tcW w:w="1275" w:type="dxa"/>
                    <w:shd w:val="clear" w:color="auto" w:fill="DBE5F1"/>
                  </w:tcPr>
                  <w:p w14:paraId="12B10C84" w14:textId="68A2CDA8">
                    <w:pPr>
                      <w:jc w:val="center"/>
                      <w:rPr>
                        <w:rFonts w:ascii="Calibri" w:eastAsia="Calibri" w:hAnsi="Calibri" w:cs="Vrinda"/>
                        <w:color w:val="000000"/>
                        <w:sz w:val="18"/>
                        <w:szCs w:val="18"/>
                      </w:rPr>
                    </w:pPr>
                    <w:r>
                      <w:rPr>
                        <w:rFonts w:ascii="Calibri" w:eastAsia="Calibri" w:hAnsi="Calibri" w:cs="Vrinda"/>
                        <w:color w:val="000000"/>
                        <w:sz w:val="18"/>
                        <w:szCs w:val="18"/>
                      </w:rPr>
                      <w:t>9</w:t>
                    </w:r>
                  </w:p>
                </w:tc>
              </w:tr>
              <w:tr w14:paraId="41B29A3C" w14:textId="77777777">
                <w:trPr>
                  <w:trHeight w:val="108"/>
                </w:trPr>
                <w:tc>
                  <w:tcPr>
                    <w:tcW w:w="10206" w:type="dxa"/>
                    <w:gridSpan w:val="9"/>
                    <w:shd w:val="clear" w:color="auto" w:fill="auto"/>
                  </w:tcPr>
                  <w:p w14:paraId="211870F8" w14:textId="3B16CE27">
                    <w:pPr>
                      <w:rPr>
                        <w:rFonts w:ascii="Calibri" w:eastAsia="Calibri" w:hAnsi="Calibri" w:cs="Vrinda"/>
                        <w:color w:val="000000"/>
                        <w:sz w:val="18"/>
                        <w:szCs w:val="18"/>
                      </w:rPr>
                    </w:pPr>
                    <w:r>
                      <w:rPr>
                        <w:rFonts w:ascii="Calibri" w:eastAsia="Calibri" w:hAnsi="Calibri" w:cs="Vrinda"/>
                        <w:color w:val="000000"/>
                        <w:sz w:val="18"/>
                        <w:szCs w:val="18"/>
                      </w:rPr>
                      <w:t>1. Tikslas: skatinti ir plėtoti vietos savivaldą, užtikrinti efektyvų savarankiškųjų (Konstitucijos ir įstatymų nustatytų (priskirtų)) savivaldybės funkcijų vykdymą.</w:t>
                    </w:r>
                  </w:p>
                </w:tc>
              </w:tr>
              <w:tr w14:paraId="03F46608" w14:textId="77777777">
                <w:trPr>
                  <w:trHeight w:val="108"/>
                </w:trPr>
                <w:tc>
                  <w:tcPr>
                    <w:tcW w:w="10206" w:type="dxa"/>
                    <w:gridSpan w:val="9"/>
                    <w:shd w:val="clear" w:color="auto" w:fill="auto"/>
                  </w:tcPr>
                  <w:p w14:paraId="7BD3B5DA" w14:textId="5FB41A23">
                    <w:pPr>
                      <w:rPr>
                        <w:rFonts w:ascii="Calibri" w:eastAsia="Calibri" w:hAnsi="Calibri" w:cs="Vrinda"/>
                        <w:color w:val="000000"/>
                        <w:sz w:val="18"/>
                        <w:szCs w:val="18"/>
                      </w:rPr>
                    </w:pPr>
                    <w:r>
                      <w:rPr>
                        <w:rFonts w:ascii="Calibri" w:eastAsia="Calibri" w:hAnsi="Calibri" w:cs="Vrinda"/>
                        <w:color w:val="000000"/>
                        <w:sz w:val="18"/>
                        <w:szCs w:val="18"/>
                      </w:rPr>
                      <w:t>1.1. Uždavinys:</w:t>
                    </w:r>
                    <w:r>
                      <w:rPr>
                        <w:rFonts w:ascii="Calibri" w:hAnsi="Calibri" w:cs="Vrinda"/>
                      </w:rPr>
                      <w:t xml:space="preserve"> </w:t>
                    </w:r>
                    <w:r>
                      <w:rPr>
                        <w:rFonts w:ascii="Calibri" w:eastAsia="Calibri" w:hAnsi="Calibri" w:cs="Vrinda"/>
                        <w:color w:val="000000"/>
                        <w:sz w:val="18"/>
                        <w:szCs w:val="18"/>
                      </w:rPr>
                      <w:t>efektyviai įgyvendinti savivaldybės funkcijas.</w:t>
                    </w:r>
                  </w:p>
                </w:tc>
              </w:tr>
              <w:tr w14:paraId="2EF60DAE" w14:textId="77777777">
                <w:tc>
                  <w:tcPr>
                    <w:tcW w:w="1418" w:type="dxa"/>
                    <w:vMerge w:val="restart"/>
                  </w:tcPr>
                  <w:p w14:paraId="51FB01DE" w14:textId="77777777">
                    <w:pPr>
                      <w:rPr>
                        <w:rFonts w:ascii="Calibri" w:eastAsia="Calibri" w:hAnsi="Calibri" w:cs="Vrinda"/>
                        <w:bCs/>
                        <w:color w:val="808080"/>
                        <w:sz w:val="18"/>
                        <w:szCs w:val="18"/>
                      </w:rPr>
                    </w:pPr>
                    <w:r>
                      <w:rPr>
                        <w:rFonts w:ascii="Calibri" w:eastAsia="Calibri" w:hAnsi="Calibri" w:cs="Vrinda"/>
                        <w:bCs/>
                        <w:color w:val="808080"/>
                        <w:sz w:val="18"/>
                        <w:szCs w:val="18"/>
                      </w:rPr>
                      <w:t>Įgyvendinant šį uždavinį Kontrolės ir audito tarnyba prižiūri, ar teisėtai valdomas ir naudojamas savivaldybės turtas bei patikėjimo teise valdomas valstybės turtas, kaip vykdomas savivaldybės biudžetas ir naudojami kiti finansiniai ištekliai.</w:t>
                    </w:r>
                  </w:p>
                </w:tc>
                <w:tc>
                  <w:tcPr>
                    <w:tcW w:w="8788" w:type="dxa"/>
                    <w:gridSpan w:val="8"/>
                  </w:tcPr>
                  <w:p w14:paraId="2D65A19F" w14:textId="5383DF01">
                    <w:pPr>
                      <w:rPr>
                        <w:rFonts w:ascii="Calibri" w:eastAsia="Calibri" w:hAnsi="Calibri" w:cs="Vrinda"/>
                        <w:color w:val="808080"/>
                        <w:sz w:val="18"/>
                        <w:szCs w:val="18"/>
                      </w:rPr>
                    </w:pPr>
                    <w:r>
                      <w:rPr>
                        <w:rFonts w:ascii="Calibri" w:eastAsia="Calibri" w:hAnsi="Calibri" w:cs="Vrinda"/>
                        <w:color w:val="808080"/>
                        <w:sz w:val="18"/>
                        <w:szCs w:val="18"/>
                      </w:rPr>
                      <w:t>Produkto vertinimo kriterijai</w:t>
                    </w:r>
                  </w:p>
                </w:tc>
              </w:tr>
              <w:tr w14:paraId="783AB372" w14:textId="77777777">
                <w:trPr>
                  <w:trHeight w:val="1076"/>
                </w:trPr>
                <w:tc>
                  <w:tcPr>
                    <w:tcW w:w="1418" w:type="dxa"/>
                    <w:vMerge/>
                  </w:tcPr>
                  <w:p w14:paraId="3077998A" w14:textId="77777777">
                    <w:pPr>
                      <w:rPr>
                        <w:rFonts w:ascii="Calibri" w:eastAsia="Calibri" w:hAnsi="Calibri" w:cs="Vrinda"/>
                        <w:bCs/>
                        <w:color w:val="808080"/>
                        <w:sz w:val="18"/>
                        <w:szCs w:val="18"/>
                      </w:rPr>
                    </w:pPr>
                  </w:p>
                </w:tc>
                <w:tc>
                  <w:tcPr>
                    <w:tcW w:w="1559" w:type="dxa"/>
                  </w:tcPr>
                  <w:p w14:paraId="774A07FD" w14:textId="298C8E89">
                    <w:pPr>
                      <w:rPr>
                        <w:rFonts w:ascii="Calibri" w:eastAsia="Calibri" w:hAnsi="Calibri" w:cs="Vrinda"/>
                        <w:color w:val="808080"/>
                        <w:sz w:val="18"/>
                        <w:szCs w:val="18"/>
                      </w:rPr>
                    </w:pPr>
                    <w:r>
                      <w:rPr>
                        <w:rFonts w:ascii="Calibri" w:eastAsia="Calibri" w:hAnsi="Calibri" w:cs="Vrinda"/>
                        <w:color w:val="808080"/>
                        <w:sz w:val="18"/>
                        <w:szCs w:val="18"/>
                      </w:rPr>
                      <w:t>Kontrolės ir audito tarnybos atliktų finansinių auditų skaičius (subjektų skaičius, kuriuose atliktos audito procedūros)</w:t>
                    </w:r>
                  </w:p>
                </w:tc>
                <w:tc>
                  <w:tcPr>
                    <w:tcW w:w="851" w:type="dxa"/>
                  </w:tcPr>
                  <w:p w14:paraId="6E217256" w14:textId="77777777">
                    <w:pPr>
                      <w:jc w:val="center"/>
                      <w:rPr>
                        <w:rFonts w:ascii="Calibri" w:eastAsia="Calibri" w:hAnsi="Calibri" w:cs="Vrinda"/>
                        <w:color w:val="808080"/>
                        <w:sz w:val="18"/>
                        <w:szCs w:val="18"/>
                      </w:rPr>
                    </w:pPr>
                    <w:r>
                      <w:rPr>
                        <w:rFonts w:ascii="Calibri" w:eastAsia="Calibri" w:hAnsi="Calibri" w:cs="Vrinda"/>
                        <w:color w:val="808080"/>
                        <w:sz w:val="18"/>
                        <w:szCs w:val="18"/>
                      </w:rPr>
                      <w:t>1(12)</w:t>
                    </w:r>
                  </w:p>
                  <w:p w14:paraId="142C5025" w14:textId="77777777">
                    <w:pPr>
                      <w:jc w:val="center"/>
                      <w:rPr>
                        <w:rFonts w:ascii="Calibri" w:eastAsia="Calibri" w:hAnsi="Calibri" w:cs="Vrinda"/>
                        <w:color w:val="808080"/>
                        <w:sz w:val="18"/>
                        <w:szCs w:val="18"/>
                      </w:rPr>
                    </w:pPr>
                  </w:p>
                </w:tc>
                <w:tc>
                  <w:tcPr>
                    <w:tcW w:w="708" w:type="dxa"/>
                  </w:tcPr>
                  <w:p w14:paraId="030B5B82" w14:textId="77777777">
                    <w:pPr>
                      <w:jc w:val="center"/>
                      <w:rPr>
                        <w:rFonts w:ascii="Calibri" w:eastAsia="Calibri" w:hAnsi="Calibri" w:cs="Vrinda"/>
                        <w:color w:val="808080"/>
                        <w:sz w:val="18"/>
                        <w:szCs w:val="18"/>
                      </w:rPr>
                    </w:pPr>
                    <w:r>
                      <w:rPr>
                        <w:rFonts w:ascii="Calibri" w:eastAsia="Calibri" w:hAnsi="Calibri" w:cs="Vrinda"/>
                        <w:color w:val="808080"/>
                        <w:sz w:val="18"/>
                        <w:szCs w:val="18"/>
                      </w:rPr>
                      <w:t>1(14)</w:t>
                    </w:r>
                  </w:p>
                  <w:p w14:paraId="65C24950" w14:textId="77777777">
                    <w:pPr>
                      <w:jc w:val="center"/>
                      <w:rPr>
                        <w:rFonts w:ascii="Calibri" w:eastAsia="Calibri" w:hAnsi="Calibri" w:cs="Vrinda"/>
                        <w:color w:val="808080"/>
                        <w:sz w:val="18"/>
                        <w:szCs w:val="18"/>
                      </w:rPr>
                    </w:pPr>
                  </w:p>
                </w:tc>
                <w:tc>
                  <w:tcPr>
                    <w:tcW w:w="709" w:type="dxa"/>
                  </w:tcPr>
                  <w:p w14:paraId="69838004" w14:textId="6A0B023A">
                    <w:pPr>
                      <w:jc w:val="center"/>
                      <w:rPr>
                        <w:rFonts w:ascii="Calibri" w:eastAsia="Calibri" w:hAnsi="Calibri" w:cs="Vrinda"/>
                        <w:color w:val="808080"/>
                        <w:sz w:val="18"/>
                        <w:szCs w:val="18"/>
                      </w:rPr>
                    </w:pPr>
                    <w:r>
                      <w:rPr>
                        <w:rFonts w:ascii="Calibri" w:eastAsia="Calibri" w:hAnsi="Calibri" w:cs="Vrinda"/>
                        <w:color w:val="808080"/>
                        <w:sz w:val="18"/>
                        <w:szCs w:val="18"/>
                      </w:rPr>
                      <w:t>1(11)</w:t>
                    </w:r>
                  </w:p>
                  <w:p w14:paraId="74D31741" w14:textId="77777777">
                    <w:pPr>
                      <w:jc w:val="center"/>
                      <w:rPr>
                        <w:rFonts w:ascii="Calibri" w:eastAsia="Calibri" w:hAnsi="Calibri" w:cs="Vrinda"/>
                        <w:color w:val="808080"/>
                        <w:sz w:val="18"/>
                        <w:szCs w:val="18"/>
                      </w:rPr>
                    </w:pPr>
                  </w:p>
                </w:tc>
                <w:tc>
                  <w:tcPr>
                    <w:tcW w:w="1276" w:type="dxa"/>
                    <w:vMerge w:val="restart"/>
                  </w:tcPr>
                  <w:p w14:paraId="613017D7" w14:textId="77777777">
                    <w:pPr>
                      <w:rPr>
                        <w:rFonts w:ascii="Calibri" w:eastAsia="Calibri" w:hAnsi="Calibri" w:cs="Vrinda"/>
                        <w:color w:val="808080"/>
                        <w:sz w:val="18"/>
                        <w:szCs w:val="18"/>
                      </w:rPr>
                    </w:pPr>
                    <w:r>
                      <w:rPr>
                        <w:rFonts w:ascii="Calibri" w:eastAsia="Calibri" w:hAnsi="Calibri" w:cs="Vrinda"/>
                        <w:color w:val="808080"/>
                        <w:sz w:val="18"/>
                        <w:szCs w:val="18"/>
                      </w:rPr>
                      <w:t xml:space="preserve">Radviliškio rajono savivaldybės kontrolės ir audito tarnybos 2024-2026 metų strateginis veiklos planas </w:t>
                    </w:r>
                  </w:p>
                </w:tc>
                <w:tc>
                  <w:tcPr>
                    <w:tcW w:w="1134" w:type="dxa"/>
                  </w:tcPr>
                  <w:p w14:paraId="0D0F7D6F" w14:textId="655B3361">
                    <w:pPr>
                      <w:jc w:val="center"/>
                      <w:rPr>
                        <w:rFonts w:ascii="Calibri" w:eastAsia="Calibri" w:hAnsi="Calibri" w:cs="Vrinda"/>
                        <w:color w:val="808080"/>
                        <w:sz w:val="18"/>
                        <w:szCs w:val="18"/>
                      </w:rPr>
                    </w:pPr>
                    <w:r>
                      <w:rPr>
                        <w:rFonts w:ascii="Calibri" w:eastAsia="Calibri" w:hAnsi="Calibri" w:cs="Vrinda"/>
                        <w:color w:val="808080"/>
                        <w:sz w:val="18"/>
                        <w:szCs w:val="18"/>
                      </w:rPr>
                      <w:t>122,8</w:t>
                    </w:r>
                  </w:p>
                </w:tc>
                <w:tc>
                  <w:tcPr>
                    <w:tcW w:w="1276" w:type="dxa"/>
                  </w:tcPr>
                  <w:p w14:paraId="264BB523" w14:textId="289EA272">
                    <w:pPr>
                      <w:jc w:val="center"/>
                      <w:rPr>
                        <w:rFonts w:ascii="Calibri" w:eastAsia="Calibri" w:hAnsi="Calibri" w:cs="Vrinda"/>
                        <w:color w:val="808080"/>
                        <w:sz w:val="18"/>
                        <w:szCs w:val="18"/>
                      </w:rPr>
                    </w:pPr>
                    <w:r>
                      <w:rPr>
                        <w:rFonts w:ascii="Calibri" w:eastAsia="Calibri" w:hAnsi="Calibri" w:cs="Vrinda"/>
                        <w:color w:val="808080"/>
                        <w:sz w:val="18"/>
                        <w:szCs w:val="18"/>
                      </w:rPr>
                      <w:t>121,9</w:t>
                    </w:r>
                  </w:p>
                </w:tc>
                <w:tc>
                  <w:tcPr>
                    <w:tcW w:w="1275" w:type="dxa"/>
                  </w:tcPr>
                  <w:p w14:paraId="1DA258F0" w14:textId="2EFC2D1D">
                    <w:pPr>
                      <w:rPr>
                        <w:rFonts w:ascii="Calibri" w:eastAsia="Calibri" w:hAnsi="Calibri" w:cs="Vrinda"/>
                        <w:color w:val="808080"/>
                        <w:sz w:val="18"/>
                        <w:szCs w:val="18"/>
                      </w:rPr>
                    </w:pPr>
                    <w:r>
                      <w:rPr>
                        <w:rFonts w:ascii="Calibri" w:eastAsia="Calibri" w:hAnsi="Calibri" w:cs="Vrinda"/>
                        <w:color w:val="808080"/>
                        <w:sz w:val="18"/>
                        <w:szCs w:val="18"/>
                      </w:rPr>
                      <w:t>Radviliškio rajono savivaldybės kontrolės ir audito tarnyba</w:t>
                    </w:r>
                  </w:p>
                </w:tc>
              </w:tr>
              <w:tr w14:paraId="7E2D7A0B" w14:textId="77777777">
                <w:tc>
                  <w:tcPr>
                    <w:tcW w:w="1418" w:type="dxa"/>
                    <w:vMerge/>
                  </w:tcPr>
                  <w:p w14:paraId="7F030875" w14:textId="77777777">
                    <w:pPr>
                      <w:ind w:firstLine="567"/>
                      <w:rPr>
                        <w:rFonts w:ascii="Calibri" w:eastAsia="Calibri" w:hAnsi="Calibri" w:cs="Vrinda"/>
                        <w:bCs/>
                        <w:color w:val="808080"/>
                        <w:sz w:val="18"/>
                        <w:szCs w:val="18"/>
                      </w:rPr>
                    </w:pPr>
                  </w:p>
                </w:tc>
                <w:tc>
                  <w:tcPr>
                    <w:tcW w:w="1559" w:type="dxa"/>
                  </w:tcPr>
                  <w:p w14:paraId="32686E03" w14:textId="77777777">
                    <w:pPr>
                      <w:rPr>
                        <w:rFonts w:ascii="Calibri" w:eastAsia="Calibri" w:hAnsi="Calibri" w:cs="Vrinda"/>
                        <w:color w:val="808080"/>
                        <w:sz w:val="18"/>
                        <w:szCs w:val="18"/>
                      </w:rPr>
                    </w:pPr>
                    <w:r>
                      <w:rPr>
                        <w:rFonts w:ascii="Calibri" w:eastAsia="Calibri" w:hAnsi="Calibri" w:cs="Vrinda"/>
                        <w:color w:val="808080"/>
                        <w:sz w:val="18"/>
                        <w:szCs w:val="18"/>
                      </w:rPr>
                      <w:t>Kontrolės ir audito tarnybos atliktų veiklos arba atitikties auditų skaičius, kiti vertinimai</w:t>
                    </w:r>
                  </w:p>
                </w:tc>
                <w:tc>
                  <w:tcPr>
                    <w:tcW w:w="851" w:type="dxa"/>
                  </w:tcPr>
                  <w:p w14:paraId="6B512627" w14:textId="77777777">
                    <w:pPr>
                      <w:jc w:val="center"/>
                      <w:rPr>
                        <w:rFonts w:ascii="Calibri" w:eastAsia="Calibri" w:hAnsi="Calibri" w:cs="Vrinda"/>
                        <w:color w:val="808080"/>
                        <w:sz w:val="18"/>
                        <w:szCs w:val="18"/>
                      </w:rPr>
                    </w:pPr>
                    <w:r>
                      <w:rPr>
                        <w:rFonts w:ascii="Calibri" w:eastAsia="Calibri" w:hAnsi="Calibri" w:cs="Vrinda"/>
                        <w:color w:val="808080"/>
                        <w:sz w:val="18"/>
                        <w:szCs w:val="18"/>
                      </w:rPr>
                      <w:t>4</w:t>
                    </w:r>
                  </w:p>
                </w:tc>
                <w:tc>
                  <w:tcPr>
                    <w:tcW w:w="708" w:type="dxa"/>
                  </w:tcPr>
                  <w:p w14:paraId="2331A7CC" w14:textId="77777777">
                    <w:pPr>
                      <w:jc w:val="center"/>
                      <w:rPr>
                        <w:rFonts w:ascii="Calibri" w:eastAsia="Calibri" w:hAnsi="Calibri" w:cs="Vrinda"/>
                        <w:color w:val="808080"/>
                        <w:sz w:val="18"/>
                        <w:szCs w:val="18"/>
                      </w:rPr>
                    </w:pPr>
                    <w:r>
                      <w:rPr>
                        <w:rFonts w:ascii="Calibri" w:eastAsia="Calibri" w:hAnsi="Calibri" w:cs="Vrinda"/>
                        <w:color w:val="808080"/>
                        <w:sz w:val="18"/>
                        <w:szCs w:val="18"/>
                      </w:rPr>
                      <w:t>3</w:t>
                    </w:r>
                  </w:p>
                </w:tc>
                <w:tc>
                  <w:tcPr>
                    <w:tcW w:w="709" w:type="dxa"/>
                  </w:tcPr>
                  <w:p w14:paraId="42FEF9E0" w14:textId="77777777">
                    <w:pPr>
                      <w:jc w:val="center"/>
                      <w:rPr>
                        <w:rFonts w:ascii="Calibri" w:eastAsia="Calibri" w:hAnsi="Calibri" w:cs="Vrinda"/>
                        <w:color w:val="808080"/>
                        <w:sz w:val="18"/>
                        <w:szCs w:val="18"/>
                      </w:rPr>
                    </w:pPr>
                    <w:r>
                      <w:rPr>
                        <w:rFonts w:ascii="Calibri" w:eastAsia="Calibri" w:hAnsi="Calibri" w:cs="Vrinda"/>
                        <w:color w:val="808080"/>
                        <w:sz w:val="18"/>
                        <w:szCs w:val="18"/>
                      </w:rPr>
                      <w:t>3</w:t>
                    </w:r>
                  </w:p>
                </w:tc>
                <w:tc>
                  <w:tcPr>
                    <w:tcW w:w="1276" w:type="dxa"/>
                    <w:vMerge/>
                  </w:tcPr>
                  <w:p w14:paraId="4AC4EC21" w14:textId="77777777">
                    <w:pPr>
                      <w:ind w:firstLine="567"/>
                      <w:rPr>
                        <w:rFonts w:ascii="Calibri" w:eastAsia="Calibri" w:hAnsi="Calibri" w:cs="Vrinda"/>
                        <w:color w:val="808080"/>
                        <w:sz w:val="18"/>
                        <w:szCs w:val="18"/>
                      </w:rPr>
                    </w:pPr>
                  </w:p>
                </w:tc>
                <w:tc>
                  <w:tcPr>
                    <w:tcW w:w="1134" w:type="dxa"/>
                  </w:tcPr>
                  <w:p w14:paraId="7FA37B16" w14:textId="77777777">
                    <w:pPr>
                      <w:ind w:firstLine="567"/>
                      <w:rPr>
                        <w:rFonts w:ascii="Calibri" w:eastAsia="Calibri" w:hAnsi="Calibri" w:cs="Vrinda"/>
                        <w:color w:val="808080"/>
                        <w:sz w:val="18"/>
                        <w:szCs w:val="18"/>
                      </w:rPr>
                    </w:pPr>
                  </w:p>
                </w:tc>
                <w:tc>
                  <w:tcPr>
                    <w:tcW w:w="1276" w:type="dxa"/>
                  </w:tcPr>
                  <w:p w14:paraId="3DB5F7AC" w14:textId="77777777">
                    <w:pPr>
                      <w:ind w:firstLine="567"/>
                      <w:rPr>
                        <w:rFonts w:ascii="Calibri" w:eastAsia="Calibri" w:hAnsi="Calibri" w:cs="Vrinda"/>
                        <w:color w:val="808080"/>
                        <w:sz w:val="18"/>
                        <w:szCs w:val="18"/>
                      </w:rPr>
                    </w:pPr>
                  </w:p>
                </w:tc>
                <w:tc>
                  <w:tcPr>
                    <w:tcW w:w="1275" w:type="dxa"/>
                  </w:tcPr>
                  <w:p w14:paraId="498B4045" w14:textId="77777777">
                    <w:pPr>
                      <w:ind w:firstLine="567"/>
                      <w:rPr>
                        <w:rFonts w:ascii="Calibri" w:eastAsia="Calibri" w:hAnsi="Calibri" w:cs="Vrinda"/>
                        <w:color w:val="808080"/>
                        <w:sz w:val="18"/>
                        <w:szCs w:val="18"/>
                      </w:rPr>
                    </w:pPr>
                  </w:p>
                </w:tc>
              </w:tr>
              <w:tr w14:paraId="14D009AB" w14:textId="77777777">
                <w:tc>
                  <w:tcPr>
                    <w:tcW w:w="1418" w:type="dxa"/>
                    <w:vMerge/>
                  </w:tcPr>
                  <w:p w14:paraId="31AFF62D" w14:textId="77777777">
                    <w:pPr>
                      <w:ind w:firstLine="567"/>
                      <w:rPr>
                        <w:rFonts w:ascii="Calibri" w:eastAsia="Calibri" w:hAnsi="Calibri" w:cs="Vrinda"/>
                        <w:bCs/>
                        <w:color w:val="808080"/>
                        <w:sz w:val="18"/>
                        <w:szCs w:val="18"/>
                      </w:rPr>
                    </w:pPr>
                  </w:p>
                </w:tc>
                <w:tc>
                  <w:tcPr>
                    <w:tcW w:w="8788" w:type="dxa"/>
                    <w:gridSpan w:val="8"/>
                  </w:tcPr>
                  <w:p w14:paraId="1AFA710F" w14:textId="29BCB20A">
                    <w:pPr>
                      <w:jc w:val="both"/>
                      <w:rPr>
                        <w:rFonts w:ascii="Calibri" w:eastAsia="Calibri" w:hAnsi="Calibri" w:cs="Vrinda"/>
                        <w:color w:val="808080"/>
                        <w:sz w:val="18"/>
                        <w:szCs w:val="18"/>
                      </w:rPr>
                    </w:pPr>
                    <w:r>
                      <w:rPr>
                        <w:rFonts w:ascii="Calibri" w:eastAsia="Calibri" w:hAnsi="Calibri" w:cs="Vrinda"/>
                        <w:color w:val="808080"/>
                        <w:sz w:val="18"/>
                        <w:szCs w:val="18"/>
                      </w:rPr>
                      <w:t>Efekto vertinimo kriterijai</w:t>
                    </w:r>
                  </w:p>
                </w:tc>
              </w:tr>
              <w:tr w14:paraId="75ED2300" w14:textId="77777777">
                <w:tc>
                  <w:tcPr>
                    <w:tcW w:w="1418" w:type="dxa"/>
                    <w:vMerge/>
                  </w:tcPr>
                  <w:p w14:paraId="0C0FA7F6" w14:textId="77777777">
                    <w:pPr>
                      <w:ind w:firstLine="567"/>
                      <w:rPr>
                        <w:rFonts w:ascii="Calibri" w:eastAsia="Calibri" w:hAnsi="Calibri" w:cs="Vrinda"/>
                        <w:bCs/>
                        <w:color w:val="808080"/>
                        <w:sz w:val="18"/>
                        <w:szCs w:val="18"/>
                      </w:rPr>
                    </w:pPr>
                  </w:p>
                </w:tc>
                <w:tc>
                  <w:tcPr>
                    <w:tcW w:w="1559" w:type="dxa"/>
                  </w:tcPr>
                  <w:p w14:paraId="4FAB3CBE" w14:textId="77777777">
                    <w:pPr>
                      <w:rPr>
                        <w:rFonts w:ascii="Calibri" w:eastAsia="Calibri" w:hAnsi="Calibri" w:cs="Vrinda"/>
                        <w:color w:val="808080"/>
                        <w:sz w:val="18"/>
                        <w:szCs w:val="18"/>
                      </w:rPr>
                    </w:pPr>
                    <w:r>
                      <w:rPr>
                        <w:rFonts w:ascii="Calibri" w:eastAsia="Calibri" w:hAnsi="Calibri" w:cs="Vrinda"/>
                        <w:color w:val="808080"/>
                        <w:sz w:val="18"/>
                        <w:szCs w:val="18"/>
                      </w:rPr>
                      <w:t>Kontrolės ir audito tarnybos rekomendacijų įgyvendinimas, procentais</w:t>
                    </w:r>
                  </w:p>
                </w:tc>
                <w:tc>
                  <w:tcPr>
                    <w:tcW w:w="851" w:type="dxa"/>
                  </w:tcPr>
                  <w:p w14:paraId="77461D96" w14:textId="77777777">
                    <w:pPr>
                      <w:jc w:val="center"/>
                      <w:rPr>
                        <w:rFonts w:ascii="Calibri" w:eastAsia="Calibri" w:hAnsi="Calibri" w:cs="Vrinda"/>
                        <w:color w:val="808080"/>
                        <w:sz w:val="18"/>
                        <w:szCs w:val="18"/>
                      </w:rPr>
                    </w:pPr>
                    <w:r>
                      <w:rPr>
                        <w:rFonts w:ascii="Calibri" w:eastAsia="Calibri" w:hAnsi="Calibri" w:cs="Vrinda"/>
                        <w:color w:val="808080"/>
                        <w:sz w:val="18"/>
                        <w:szCs w:val="18"/>
                      </w:rPr>
                      <w:t>100</w:t>
                    </w:r>
                  </w:p>
                </w:tc>
                <w:tc>
                  <w:tcPr>
                    <w:tcW w:w="708" w:type="dxa"/>
                  </w:tcPr>
                  <w:p w14:paraId="57E9F828" w14:textId="77777777">
                    <w:pPr>
                      <w:jc w:val="center"/>
                      <w:rPr>
                        <w:rFonts w:ascii="Calibri" w:eastAsia="Calibri" w:hAnsi="Calibri" w:cs="Vrinda"/>
                        <w:color w:val="808080"/>
                        <w:sz w:val="18"/>
                        <w:szCs w:val="18"/>
                      </w:rPr>
                    </w:pPr>
                    <w:r>
                      <w:rPr>
                        <w:rFonts w:ascii="Calibri" w:eastAsia="Calibri" w:hAnsi="Calibri" w:cs="Vrinda"/>
                        <w:color w:val="808080"/>
                        <w:sz w:val="18"/>
                        <w:szCs w:val="18"/>
                      </w:rPr>
                      <w:t>95</w:t>
                    </w:r>
                  </w:p>
                </w:tc>
                <w:tc>
                  <w:tcPr>
                    <w:tcW w:w="709" w:type="dxa"/>
                  </w:tcPr>
                  <w:p w14:paraId="45E1E954" w14:textId="77777777">
                    <w:pPr>
                      <w:jc w:val="center"/>
                      <w:rPr>
                        <w:rFonts w:ascii="Calibri" w:eastAsia="Calibri" w:hAnsi="Calibri" w:cs="Vrinda"/>
                        <w:color w:val="808080"/>
                        <w:sz w:val="18"/>
                        <w:szCs w:val="18"/>
                      </w:rPr>
                    </w:pPr>
                    <w:r>
                      <w:rPr>
                        <w:rFonts w:ascii="Calibri" w:eastAsia="Calibri" w:hAnsi="Calibri" w:cs="Vrinda"/>
                        <w:color w:val="808080"/>
                        <w:sz w:val="18"/>
                        <w:szCs w:val="18"/>
                      </w:rPr>
                      <w:t>90</w:t>
                    </w:r>
                  </w:p>
                </w:tc>
                <w:tc>
                  <w:tcPr>
                    <w:tcW w:w="1276" w:type="dxa"/>
                  </w:tcPr>
                  <w:p w14:paraId="06C10A58" w14:textId="77777777">
                    <w:pPr>
                      <w:ind w:firstLine="567"/>
                      <w:rPr>
                        <w:rFonts w:ascii="Calibri" w:eastAsia="Calibri" w:hAnsi="Calibri" w:cs="Vrinda"/>
                        <w:color w:val="808080"/>
                        <w:sz w:val="18"/>
                        <w:szCs w:val="18"/>
                      </w:rPr>
                    </w:pPr>
                  </w:p>
                </w:tc>
                <w:tc>
                  <w:tcPr>
                    <w:tcW w:w="1134" w:type="dxa"/>
                  </w:tcPr>
                  <w:p w14:paraId="36B688BE" w14:textId="77777777">
                    <w:pPr>
                      <w:ind w:firstLine="567"/>
                      <w:rPr>
                        <w:rFonts w:ascii="Calibri" w:eastAsia="Calibri" w:hAnsi="Calibri" w:cs="Vrinda"/>
                        <w:color w:val="808080"/>
                        <w:sz w:val="18"/>
                        <w:szCs w:val="18"/>
                      </w:rPr>
                    </w:pPr>
                  </w:p>
                </w:tc>
                <w:tc>
                  <w:tcPr>
                    <w:tcW w:w="1276" w:type="dxa"/>
                  </w:tcPr>
                  <w:p w14:paraId="13A8B266" w14:textId="77777777">
                    <w:pPr>
                      <w:ind w:firstLine="567"/>
                      <w:rPr>
                        <w:rFonts w:ascii="Calibri" w:eastAsia="Calibri" w:hAnsi="Calibri" w:cs="Vrinda"/>
                        <w:color w:val="808080"/>
                        <w:sz w:val="18"/>
                        <w:szCs w:val="18"/>
                      </w:rPr>
                    </w:pPr>
                  </w:p>
                </w:tc>
                <w:tc>
                  <w:tcPr>
                    <w:tcW w:w="1275" w:type="dxa"/>
                  </w:tcPr>
                  <w:p w14:paraId="6612AFBF" w14:textId="77777777">
                    <w:pPr>
                      <w:ind w:firstLine="567"/>
                      <w:rPr>
                        <w:rFonts w:ascii="Calibri" w:eastAsia="Calibri" w:hAnsi="Calibri" w:cs="Vrinda"/>
                        <w:color w:val="808080"/>
                        <w:sz w:val="18"/>
                        <w:szCs w:val="18"/>
                      </w:rPr>
                    </w:pPr>
                  </w:p>
                </w:tc>
              </w:tr>
            </w:tbl>
            <w:p w14:paraId="02D71CCF" w14:textId="77777777">
              <w:pPr>
                <w:suppressAutoHyphens/>
                <w:ind w:firstLine="567"/>
                <w:jc w:val="center"/>
                <w:textAlignment w:val="baseline"/>
                <w:rPr>
                  <w:rFonts w:eastAsia="Calibri"/>
                  <w:b/>
                  <w:bCs/>
                  <w:szCs w:val="24"/>
                </w:rPr>
              </w:pPr>
            </w:p>
            <w:p w14:paraId="721243F5" w14:textId="4CB1EF4A">
              <w:pPr>
                <w:ind w:firstLine="851"/>
                <w:jc w:val="both"/>
                <w:rPr>
                  <w:b/>
                  <w:bCs/>
                  <w:szCs w:val="24"/>
                </w:rPr>
              </w:pPr>
              <w:r>
                <w:rPr>
                  <w:szCs w:val="24"/>
                  <w:lang w:eastAsia="lt-LT"/>
                </w:rPr>
                <w:t xml:space="preserve">Tarnybos vidaus administravimo, audito veikla buvo organizuojama ir kontroliuojama leidžiant Savivaldybės kontrolieriaus įsakymus ir vadovaujantis patvirtintu metų veiklos planu, pavedant atlikti auditą ir kitas užduotis. </w:t>
              </w:r>
              <w:r>
                <w:rPr>
                  <w:szCs w:val="24"/>
                </w:rPr>
                <w:t xml:space="preserve">Savivaldybės kontrolierius išleido 48 įsakymus, gavome 50, išsiuntėme 33 raštus. </w:t>
              </w:r>
              <w:r>
                <w:rPr>
                  <w:szCs w:val="24"/>
                  <w:lang w:eastAsia="lt-LT"/>
                </w:rPr>
                <w:t xml:space="preserve">Tarnybos vidaus tvarkos užtikrina, kad auditai būtų atliekami objektyviai ir nešališkai. Tarnybos auditų kokybės užtikrinimo sistemą sudaro auditų priežiūra ir peržiūra. </w:t>
              </w:r>
            </w:p>
            <w:p w14:paraId="67FD5A98" w14:textId="77777777">
              <w:pPr>
                <w:suppressAutoHyphens/>
                <w:ind w:firstLine="851"/>
                <w:jc w:val="center"/>
                <w:textAlignment w:val="baseline"/>
                <w:rPr>
                  <w:rFonts w:eastAsia="Calibri"/>
                  <w:b/>
                  <w:bCs/>
                  <w:szCs w:val="24"/>
                </w:rPr>
              </w:pPr>
            </w:p>
            <w:sdt>
              <w:sdtPr>
                <w:alias w:val="poskyris"/>
                <w:tag w:val="part_f97a633b429e4e4db80b4f1ebe076993"/>
                <w:lock w:val="sdtLocked"/>
                <w:richText/>
              </w:sdtPr>
              <w:sdtContent>
                <w:p w14:paraId="60DCA2E8" w14:textId="77777777">
                  <w:pPr>
                    <w:ind w:firstLine="851"/>
                    <w:rPr>
                      <w:b/>
                      <w:bCs/>
                      <w:szCs w:val="24"/>
                    </w:rPr>
                  </w:pPr>
                  <w:sdt>
                    <w:sdtPr>
                      <w:alias w:val="Pavadinimas"/>
                      <w:tag w:val="title_f97a633b429e4e4db80b4f1ebe076993"/>
                      <w:lock w:val="sdtLocked"/>
                      <w:richText/>
                    </w:sdtPr>
                    <w:sdtContent>
                      <w:r>
                        <w:rPr>
                          <w:b/>
                          <w:bCs/>
                          <w:szCs w:val="24"/>
                        </w:rPr>
                        <w:t>FINANSINIS AUDITAS</w:t>
                      </w:r>
                    </w:sdtContent>
                  </w:sdt>
                </w:p>
                <w:p w14:paraId="773EDFD5" w14:textId="703AD904">
                  <w:pPr>
                    <w:ind w:firstLine="851"/>
                    <w:jc w:val="both"/>
                    <w:rPr>
                      <w:szCs w:val="24"/>
                    </w:rPr>
                  </w:pPr>
                  <w:r>
                    <w:rPr>
                      <w:szCs w:val="24"/>
                    </w:rPr>
                    <w:t xml:space="preserve">Kiekvienais metais, vykdant Lietuvos Respublikos vietos savivaldos įstatyme priskirtus įgaliojimus, atliekame finansinį (teisėtumo) auditą dėl praėjusių metų Radviliškio rajono savivaldybės ataskaitų rinkinio bei savivaldybės biudžeto ir turto naudojimo. Audito procedūras atlikome 11 savivaldybei pavaldžių įstaigų: </w:t>
                  </w:r>
                  <w:r>
                    <w:rPr>
                      <w:szCs w:val="24"/>
                      <w:lang w:eastAsia="lt-LT"/>
                    </w:rPr>
                    <w:t>Radviliškio r. savivaldybės administracijoje,</w:t>
                  </w:r>
                  <w:r>
                    <w:rPr>
                      <w:szCs w:val="24"/>
                    </w:rPr>
                    <w:t xml:space="preserve"> Radviliškio Lizdeikos gimnazijoje, Radviliškio r. Šiaulėnų M. Šikšnio gimnazijoje, Radviliškio r. Šeduvos gimnazijoje, Radviliškio r. Baisogalos gimnazijoje, Radviliškio r. Baisogalos mokykloje-darželyje, Radviliškio r. savivaldybės švietimo ir sporto paslaugų centre, Radviliškio plaukimo baseine, Radviliškio rajono savivaldybės viešojoje bibliotekoje, Radviliškio r. Kutiškių daugiafunkciame centre, Radviliškio lopšelyje-darželyje „Eglutė“. </w:t>
                  </w:r>
                </w:p>
                <w:p w14:paraId="2CA4827D" w14:textId="421DF83F">
                  <w:pPr>
                    <w:ind w:firstLine="851"/>
                    <w:jc w:val="both"/>
                    <w:rPr>
                      <w:szCs w:val="24"/>
                    </w:rPr>
                  </w:pPr>
                </w:p>
              </w:sdtContent>
            </w:sdt>
            <w:sdt>
              <w:sdtPr>
                <w:alias w:val="poskyris"/>
                <w:tag w:val="part_d42f4c2150a74ce1b290b079b82dc7a8"/>
                <w:lock w:val="sdtLocked"/>
                <w:richText/>
              </w:sdtPr>
              <w:sdtContent>
                <w:p w14:paraId="3E2EC835" w14:textId="77777777">
                  <w:pPr>
                    <w:ind w:firstLine="851"/>
                    <w:jc w:val="both"/>
                    <w:rPr>
                      <w:b/>
                      <w:bCs/>
                      <w:szCs w:val="24"/>
                    </w:rPr>
                  </w:pPr>
                  <w:sdt>
                    <w:sdtPr>
                      <w:alias w:val="Pavadinimas"/>
                      <w:tag w:val="title_d42f4c2150a74ce1b290b079b82dc7a8"/>
                      <w:lock w:val="sdtLocked"/>
                      <w:richText/>
                    </w:sdtPr>
                    <w:sdtContent>
                      <w:r>
                        <w:rPr>
                          <w:b/>
                          <w:bCs/>
                          <w:szCs w:val="24"/>
                        </w:rPr>
                        <w:t>Audito rezultatai</w:t>
                      </w:r>
                    </w:sdtContent>
                  </w:sdt>
                </w:p>
                <w:p w14:paraId="52DF2D43" w14:textId="313B3DB4">
                  <w:pPr>
                    <w:tabs>
                      <w:tab w:val="left" w:pos="284"/>
                    </w:tabs>
                    <w:ind w:firstLine="851"/>
                    <w:jc w:val="both"/>
                    <w:rPr>
                      <w:szCs w:val="24"/>
                    </w:rPr>
                  </w:pPr>
                  <w:r>
                    <w:rPr>
                      <w:szCs w:val="24"/>
                    </w:rPr>
                    <w:t>11 metų iš eilės sąlygojame nuomonę dėl konsoliduotųjų finansinių ataskaitų rinkinio. O tai reiškia, kad nustatyti teisės aktų pažeidimai ir / ar be tam tikrų pastabų negalime pareikšti besąlyginės nuomonės, bei 5 metai iš eilės konsoliduotos biudžeto vykdymo ataskaitos sudarytos be reikšmingų trūkumų.</w:t>
                  </w:r>
                </w:p>
                <w:p w14:paraId="2E06846E" w14:textId="56FB09DD">
                  <w:pPr>
                    <w:ind w:firstLine="851"/>
                    <w:jc w:val="both"/>
                    <w:rPr>
                      <w:szCs w:val="24"/>
                    </w:rPr>
                  </w:pPr>
                  <w:r>
                    <w:rPr>
                      <w:szCs w:val="24"/>
                    </w:rPr>
                    <w:t>Audito metu d</w:t>
                  </w:r>
                  <w:r>
                    <w:rPr>
                      <w:color w:val="000000"/>
                      <w:szCs w:val="24"/>
                    </w:rPr>
                    <w:t xml:space="preserve">alies ilgalaikio turto vertės teisingumo negalėjome patvirtinti, nes nustatyti atvejai, kai simboline verte užregistruotas ilgalaikis turtas neįvertintas tikrąja verte, reikšmingi turto vertės ir grynojo turto pokyčiai laiku neužregistruoti apskaitoje, faktiškai veikloje naudojamas ilgalaikis materialus turtas neįvedamas į eksploataciją, neskaičiuojamas nusidėvėjimas, kultūros vertybių esminio pagerinimo ar kito ilgalaikio materialaus turto paprastojo remonto sąnaudos kaupiamos nebaigtos statybos ir išankstinių mokėjimų straipsnyje. Taip pat negalėjome patvirtinti ir dalies </w:t>
                  </w:r>
                  <w:r>
                    <w:rPr>
                      <w:szCs w:val="24"/>
                    </w:rPr>
                    <w:t xml:space="preserve">biologinio turto vertės teisingumo, nes užregistruotas turtas, teisės aktų nustatyta tvarka, nepriskiriamas biologiniam turtui. Taip pat nustatėme, kad vis dar apskaitoje neužregistruoti visi Savivaldybės rekreacinės paskirties želdynai – parkai, skverai, </w:t>
                  </w:r>
                  <w:r>
                    <w:rPr>
                      <w:color w:val="000000"/>
                      <w:szCs w:val="24"/>
                    </w:rPr>
                    <w:t>kurių želdinių visuma teikia gyventojams socialinę, ekonominę ir gamtosauginę naudą</w:t>
                  </w:r>
                  <w:r>
                    <w:rPr>
                      <w:szCs w:val="24"/>
                    </w:rPr>
                    <w:t xml:space="preserve">. Neapskaitytos finansinėje apskaitoje būsto nuomininkų skolos turėjo įtakos finansinių ataskaitų teisingumui. Nustatyti atvejai, kai </w:t>
                  </w:r>
                  <w:r>
                    <w:rPr>
                      <w:rFonts w:eastAsia="Calibri"/>
                      <w:szCs w:val="24"/>
                    </w:rPr>
                    <w:t>ilgalaikio materialiojo turto mainų pelnas apskaitoje neužregistruotas, k</w:t>
                  </w:r>
                  <w:r>
                    <w:rPr>
                      <w:szCs w:val="24"/>
                    </w:rPr>
                    <w:t xml:space="preserve">laidingai priskirtos Finansavimo sumoms iš kitų šaltinių, </w:t>
                  </w:r>
                  <w:r>
                    <w:rPr>
                      <w:rFonts w:eastAsia="Calibri"/>
                      <w:szCs w:val="24"/>
                    </w:rPr>
                    <w:t xml:space="preserve">klaidingai grupuojamos sąnaudų sumos, nustatyta </w:t>
                  </w:r>
                  <w:r>
                    <w:rPr>
                      <w:szCs w:val="24"/>
                    </w:rPr>
                    <w:t>kontrolės procedūrų stoka konsolidavimo procese.</w:t>
                  </w:r>
                </w:p>
                <w:p w14:paraId="74298BD5" w14:textId="2889F652">
                  <w:pPr>
                    <w:ind w:firstLine="851"/>
                    <w:jc w:val="both"/>
                    <w:rPr>
                      <w:szCs w:val="24"/>
                    </w:rPr>
                  </w:pPr>
                  <w:r>
                    <w:rPr>
                      <w:szCs w:val="24"/>
                    </w:rPr>
                    <w:t>Įvertinę Radviliškio rajono savivaldybės biudžeto ataskaitų rinkinio teisingumą, reikšmingų Savivaldybės biudžeto vykdymo ataskaitose nukrypimų nenustatėme, tačiau teikėme pastebėjimus dėl biudžeto tikslinimo ir išlaidų priskyrimo ekonominės klasifikacijos straipsniams. Savivaldybėje nebuvo aiškaus veiklos ataskaitų sudarymo tiesinio reglamentavimo, dėl to įstaigos teikė labai skirtingas veiklos ataskaitas, nebuvo sukurta vidaus kontrolės sistema, kuri leistų tinkamai apibendrinti subjektų pateiktų metų veiklos ataskaitų duomenis.</w:t>
                  </w:r>
                </w:p>
                <w:p w14:paraId="220DD7E8" w14:textId="5565A112">
                  <w:pPr>
                    <w:ind w:firstLine="851"/>
                    <w:jc w:val="both"/>
                    <w:rPr>
                      <w:szCs w:val="24"/>
                    </w:rPr>
                  </w:pPr>
                  <w:r>
                    <w:rPr>
                      <w:szCs w:val="24"/>
                    </w:rPr>
                    <w:t xml:space="preserve">Vertinant  Savivaldybės biudžeto lėšų ir turto valdymą nustatyta, kad neužtikrinami vietos savivaldos veiklos viešumo ir skaidrumo principai. Nereglamentavus savivaldybės biudžeto lėšų skyrimo procesų, nesupažindinus bendruomenės su lėšų gavimo galimybėmis, jos skiriamos ne viešojo sektoriaus subjektams. Nepakankamai gera vidaus kontrolės sistema neužtikrina rizikos pasireiškimo galimybės.</w:t>
                  </w:r>
                </w:p>
                <w:p w14:paraId="4B0F1ABC" w14:textId="55D6C979">
                  <w:pPr>
                    <w:ind w:firstLine="851"/>
                    <w:jc w:val="both"/>
                    <w:rPr>
                      <w:strike/>
                      <w:szCs w:val="24"/>
                    </w:rPr>
                  </w:pPr>
                  <w:r>
                    <w:rPr>
                      <w:szCs w:val="24"/>
                    </w:rPr>
                    <w:t>Tinkamai nekoordinuojami veiksmai, kad laiku būtų likviduotas veikloje nebenaudojamas patikėjimo teise valdomas valstybės ilgalaikis turtas. Dviejų audituotų įstaigų sukurta vidaus kontrolės sistema neužtikrino tinkamo viešųjų pirkimų organizavimo įsigyjant prekes ar paslaugas. Dėl netinkamos apskaitos politikos, ilgalaikio materialiojo turto nuomos pajamos registruojamos ne turto valdytojo apskaitoje, o Savivaldybės iždo apskaitoje.</w:t>
                  </w:r>
                </w:p>
                <w:p w14:paraId="69BF6301" w14:textId="02FC5470">
                  <w:pPr>
                    <w:tabs>
                      <w:tab w:val="left" w:pos="284"/>
                      <w:tab w:val="left" w:pos="851"/>
                      <w:tab w:val="left" w:pos="1134"/>
                    </w:tabs>
                    <w:ind w:firstLine="851"/>
                    <w:jc w:val="both"/>
                    <w:rPr>
                      <w:szCs w:val="24"/>
                    </w:rPr>
                  </w:pPr>
                  <w:r>
                    <w:rPr>
                      <w:rFonts w:ascii="Wingdings" w:hAnsi="Wingdings"/>
                      <w:szCs w:val="24"/>
                    </w:rPr>
                    <w:t></w:t>
                    <w:tab/>
                  </w:r>
                  <w:r>
                    <w:rPr>
                      <w:szCs w:val="24"/>
                    </w:rPr>
                    <w:t>Pateikta 15 rekomendacijų.</w:t>
                  </w:r>
                </w:p>
                <w:p w14:paraId="133C719A" w14:textId="77777777">
                  <w:pPr>
                    <w:tabs>
                      <w:tab w:val="left" w:pos="284"/>
                    </w:tabs>
                    <w:ind w:firstLine="851"/>
                    <w:jc w:val="both"/>
                    <w:rPr>
                      <w:szCs w:val="24"/>
                    </w:rPr>
                  </w:pPr>
                </w:p>
              </w:sdtContent>
            </w:sdt>
            <w:sdt>
              <w:sdtPr>
                <w:alias w:val="poskyris"/>
                <w:tag w:val="part_fe15f22fbbfd4154b7cf3a25d3fa25fe"/>
                <w:lock w:val="sdtLocked"/>
                <w:richText/>
              </w:sdtPr>
              <w:sdtContent>
                <w:p w14:paraId="7D487531" w14:textId="5266950F">
                  <w:pPr>
                    <w:ind w:firstLine="851"/>
                    <w:rPr>
                      <w:b/>
                      <w:bCs/>
                      <w:szCs w:val="24"/>
                    </w:rPr>
                  </w:pPr>
                  <w:sdt>
                    <w:sdtPr>
                      <w:alias w:val="Pavadinimas"/>
                      <w:tag w:val="title_fe15f22fbbfd4154b7cf3a25d3fa25fe"/>
                      <w:lock w:val="sdtLocked"/>
                      <w:richText/>
                    </w:sdtPr>
                    <w:sdtContent>
                      <w:r>
                        <w:rPr>
                          <w:b/>
                          <w:bCs/>
                          <w:szCs w:val="24"/>
                        </w:rPr>
                        <w:t>ATITIKTIES AUDITAI</w:t>
                      </w:r>
                    </w:sdtContent>
                  </w:sdt>
                </w:p>
                <w:p w14:paraId="1F697A3B" w14:textId="66C7D666">
                  <w:pPr>
                    <w:shd w:val="clear" w:color="auto" w:fill="FFFFFF"/>
                    <w:tabs>
                      <w:tab w:val="left" w:pos="993"/>
                    </w:tabs>
                    <w:ind w:firstLine="851"/>
                    <w:jc w:val="both"/>
                    <w:rPr>
                      <w:szCs w:val="24"/>
                    </w:rPr>
                  </w:pPr>
                  <w:r>
                    <w:rPr>
                      <w:szCs w:val="24"/>
                    </w:rPr>
                    <w:t>Atliktas tarnybos veiklos plane numatytas Radviliškio rajono savivaldybėje dirbančių mokytojų, pagalbos mokiniui specialistų ir kitų ugdymo procese dalyvaujančių asmenų kelionių į darbą ir atgal iš darbo išlaidų dalinio kompensavimo auditas, kurio tikslas įvertinti ar Radviliškio rajono savivaldybėje dirbančių mokytojų, pagalbos mokiniui specialistų ir kitų ugdymo procese dalyvaujančių asmenų kelionių į darbą ir atgal iš darbo išlaidos kompensuojamos tinkamai ir teisėtai. Audituota 21 biudžetinė savivaldybės įstaiga, kurių darbuotojai pasinaudojo teise gauti kelionės į darbą ir atgal iš darbo išlaidų dalinę kompensaciją.</w:t>
                  </w:r>
                </w:p>
                <w:p w14:paraId="2C82EF91" w14:textId="77777777">
                  <w:pPr>
                    <w:ind w:firstLine="851"/>
                    <w:jc w:val="both"/>
                    <w:rPr>
                      <w:szCs w:val="24"/>
                    </w:rPr>
                  </w:pPr>
                </w:p>
              </w:sdtContent>
            </w:sdt>
            <w:sdt>
              <w:sdtPr>
                <w:alias w:val="poskyris"/>
                <w:tag w:val="part_bee87d3182304b1d89111a395e71df62"/>
                <w:lock w:val="sdtLocked"/>
                <w:richText/>
              </w:sdtPr>
              <w:sdtContent>
                <w:p w14:paraId="269696A4" w14:textId="77777777">
                  <w:pPr>
                    <w:ind w:firstLine="851"/>
                    <w:jc w:val="both"/>
                    <w:rPr>
                      <w:b/>
                      <w:bCs/>
                      <w:szCs w:val="24"/>
                    </w:rPr>
                  </w:pPr>
                  <w:sdt>
                    <w:sdtPr>
                      <w:alias w:val="Pavadinimas"/>
                      <w:tag w:val="title_bee87d3182304b1d89111a395e71df62"/>
                      <w:lock w:val="sdtLocked"/>
                      <w:richText/>
                    </w:sdtPr>
                    <w:sdtContent>
                      <w:r>
                        <w:rPr>
                          <w:b/>
                          <w:bCs/>
                          <w:szCs w:val="24"/>
                        </w:rPr>
                        <w:t>Audito rezultatai</w:t>
                      </w:r>
                    </w:sdtContent>
                  </w:sdt>
                </w:p>
                <w:p w14:paraId="1C6048CA" w14:textId="47EDF171">
                  <w:pPr>
                    <w:ind w:right="141" w:firstLine="851"/>
                    <w:jc w:val="both"/>
                    <w:rPr>
                      <w:szCs w:val="24"/>
                      <w:lang w:eastAsia="lt-LT"/>
                    </w:rPr>
                  </w:pPr>
                  <w:r>
                    <w:rPr>
                      <w:szCs w:val="24"/>
                      <w:lang w:eastAsia="lt-LT"/>
                    </w:rPr>
                    <w:t>Audito metu nustatytas, kad netinkamas dėmesys skiriamas savivaldybės strateginiam planavimui. Strateginiuose planuose laiku ir tinkamai nenumatyti uždaviniai ir priemonės problemai spręsti. Bendrojo ir ikimokyklinio ugdymo mokyklų, neformaliojo vaikų švietimo įstaigų mokytojų, pagalbos mokiniui specialistų ir kitų ugdymo procese dalyvaujančių asmenų kelionių į darbą ir atgal iš darbo dalinio kompensavimo tvarkos aprašas netenkina Teisėkūros įstatyme numatytų aiškumo, sistemiškumo principų</w:t>
                  </w:r>
                  <w:r>
                    <w:rPr>
                      <w:szCs w:val="24"/>
                    </w:rPr>
                    <w:t xml:space="preserve">, nustatyti atvejai, kai </w:t>
                  </w:r>
                  <w:r>
                    <w:rPr>
                      <w:szCs w:val="24"/>
                      <w:lang w:eastAsia="lt-LT"/>
                    </w:rPr>
                    <w:t>išlaidos buvo kompensuojamos ne visais atvejais tinkamai ir teisėtai.</w:t>
                  </w:r>
                </w:p>
                <w:p w14:paraId="650E2776" w14:textId="557AF284">
                  <w:pPr>
                    <w:tabs>
                      <w:tab w:val="left" w:pos="284"/>
                      <w:tab w:val="left" w:pos="851"/>
                      <w:tab w:val="left" w:pos="1134"/>
                    </w:tabs>
                    <w:ind w:firstLine="851"/>
                    <w:jc w:val="both"/>
                    <w:rPr>
                      <w:szCs w:val="24"/>
                    </w:rPr>
                  </w:pPr>
                  <w:r>
                    <w:rPr>
                      <w:rFonts w:ascii="Wingdings" w:hAnsi="Wingdings"/>
                      <w:szCs w:val="24"/>
                    </w:rPr>
                    <w:t></w:t>
                    <w:tab/>
                  </w:r>
                  <w:r>
                    <w:rPr>
                      <w:szCs w:val="24"/>
                    </w:rPr>
                    <w:t>Pateiktos 3 rekomendacijos.</w:t>
                  </w:r>
                </w:p>
                <w:p w14:paraId="73373D1A" w14:textId="77777777">
                  <w:pPr>
                    <w:suppressAutoHyphens/>
                    <w:ind w:firstLine="851"/>
                    <w:jc w:val="both"/>
                    <w:textAlignment w:val="baseline"/>
                    <w:rPr>
                      <w:rFonts w:eastAsia="Calibri"/>
                      <w:b/>
                      <w:bCs/>
                      <w:szCs w:val="24"/>
                    </w:rPr>
                  </w:pPr>
                </w:p>
                <w:p w14:paraId="6166BA2D" w14:textId="5C09A1D6">
                  <w:pPr>
                    <w:ind w:firstLine="851"/>
                    <w:jc w:val="both"/>
                    <w:rPr>
                      <w:color w:val="000000"/>
                      <w:szCs w:val="24"/>
                    </w:rPr>
                  </w:pPr>
                  <w:r>
                    <w:rPr>
                      <w:color w:val="000000"/>
                      <w:szCs w:val="24"/>
                    </w:rPr>
                    <w:t>Savivaldybės kontrolės ir audito tarnyba gavo iš Lietuvos Respublikos specialiųjų tyrimų tarnybos Šiaulių valdybos raštą bei kartu su raštu pateiktus dokumentus, bei atliko papildomas audito procedūras dėl išmokų skirtų 2019-2023 metų Radviliškio rajono savivaldybės tarybos nariams su jų kaip tarybos narių veikla susijusioms išlaidoms apmokėti, naudojimo tikslingumo, pagrįstumo ir teisėtumo.</w:t>
                  </w:r>
                </w:p>
                <w:p w14:paraId="1F6EDAB7" w14:textId="77777777">
                  <w:pPr>
                    <w:suppressAutoHyphens/>
                    <w:ind w:firstLine="851"/>
                    <w:textAlignment w:val="baseline"/>
                    <w:rPr>
                      <w:rFonts w:eastAsia="Calibri"/>
                      <w:b/>
                      <w:bCs/>
                      <w:szCs w:val="24"/>
                    </w:rPr>
                  </w:pPr>
                </w:p>
                <w:p w14:paraId="6FC653E8" w14:textId="7FEAAA7A">
                  <w:pPr>
                    <w:shd w:val="clear" w:color="auto" w:fill="FFFFFF"/>
                    <w:tabs>
                      <w:tab w:val="left" w:pos="993"/>
                    </w:tabs>
                    <w:ind w:firstLine="851"/>
                    <w:jc w:val="both"/>
                    <w:rPr>
                      <w:szCs w:val="24"/>
                    </w:rPr>
                  </w:pPr>
                  <w:r>
                    <w:rPr>
                      <w:szCs w:val="24"/>
                    </w:rPr>
                    <w:t xml:space="preserve">Pradėtas atitikties auditas „Radviliškio rajono savivaldybės vietinė rinkliava (išskyrus rinkliavą už komunalinių atliekų surinkimą)“, kuris buvo numatytas atlikti tarnybos metų veiklos plane. Audito tikslas –  įvertinti Radviliškio rajono savivaldybės vietinių rinkliavų (išskyrus rinkliavą už komunalinių atliekų surinkimą) administravimo atitikimą teisės aktams. Lietuvos Respublikos rinkliavų įstatymas reglamentuoja vietinių rinkliavų nustatymą, rinkimą ir kontrolę. Tinkamas rinkliavų surinkimas priklauso nuo aiškios nustatytos tvarkos, teisėto ir skaidraus leidimų išdavimo bei veiksmingos kontrolės. Vietinės rinkliavos mokamos į savivaldybės biudžetą ir yra savivaldybės biudžeto pajamų dalis. Vietinių rinkliavų rinkimą kontroliuoja savivaldybės, nustačiusios vietinę rinkliavą, kontrolės ir audito tarnyba.</w:t>
                  </w:r>
                </w:p>
                <w:p w14:paraId="68FD0158" w14:textId="77777777">
                  <w:pPr>
                    <w:shd w:val="clear" w:color="auto" w:fill="FFFFFF"/>
                    <w:tabs>
                      <w:tab w:val="left" w:pos="993"/>
                    </w:tabs>
                    <w:ind w:firstLine="851"/>
                    <w:jc w:val="both"/>
                    <w:rPr>
                      <w:szCs w:val="24"/>
                    </w:rPr>
                  </w:pPr>
                </w:p>
                <w:p w14:paraId="3D900A54" w14:textId="77777777">
                  <w:pPr>
                    <w:ind w:firstLine="851"/>
                    <w:rPr>
                      <w:b/>
                      <w:bCs/>
                      <w:szCs w:val="24"/>
                    </w:rPr>
                  </w:pPr>
                </w:p>
                <w:p w14:paraId="5F6EC7D7" w14:textId="77777777">
                  <w:pPr>
                    <w:ind w:firstLine="851"/>
                    <w:rPr>
                      <w:b/>
                      <w:bCs/>
                      <w:szCs w:val="24"/>
                    </w:rPr>
                  </w:pPr>
                </w:p>
              </w:sdtContent>
            </w:sdt>
            <w:sdt>
              <w:sdtPr>
                <w:alias w:val="poskyris"/>
                <w:tag w:val="part_5642917042f34dbeb431d36e459a1dfe"/>
                <w:lock w:val="sdtLocked"/>
                <w:richText/>
              </w:sdtPr>
              <w:sdtContent>
                <w:p w14:paraId="4C2B38E6" w14:textId="59E91F9E">
                  <w:pPr>
                    <w:ind w:firstLine="851"/>
                    <w:rPr>
                      <w:b/>
                      <w:bCs/>
                      <w:szCs w:val="24"/>
                    </w:rPr>
                  </w:pPr>
                  <w:sdt>
                    <w:sdtPr>
                      <w:alias w:val="Pavadinimas"/>
                      <w:tag w:val="title_5642917042f34dbeb431d36e459a1dfe"/>
                      <w:lock w:val="sdtLocked"/>
                      <w:richText/>
                    </w:sdtPr>
                    <w:sdtContent>
                      <w:r>
                        <w:rPr>
                          <w:b/>
                          <w:bCs/>
                          <w:szCs w:val="24"/>
                        </w:rPr>
                        <w:t>IŠVADOS</w:t>
                      </w:r>
                    </w:sdtContent>
                  </w:sdt>
                </w:p>
                <w:p w14:paraId="38A2FD8C" w14:textId="4A040403">
                  <w:pPr>
                    <w:shd w:val="clear" w:color="auto" w:fill="FFFFFF"/>
                    <w:tabs>
                      <w:tab w:val="left" w:pos="993"/>
                    </w:tabs>
                    <w:ind w:firstLine="851"/>
                    <w:jc w:val="both"/>
                    <w:rPr>
                      <w:szCs w:val="24"/>
                    </w:rPr>
                  </w:pPr>
                  <w:r>
                    <w:rPr>
                      <w:szCs w:val="24"/>
                    </w:rPr>
                    <w:t xml:space="preserve">Radviliškio rajono savivaldybė kreipėsi į Radviliškio rajono savivaldybės kontrolės ir audito tarnybą su prašymu atlikti Radviliškio rajono savivaldybės skolinimosi galimybių vertinimą prisiimti įsipareigojimus pagal finansinės nuomos (lizingo) sutartis. Tarnyba įvertinusi skolinimosi galimybes, teisės aktų nustatyta tvarka, pateikė išvadą Savivaldybės tarybai. </w:t>
                  </w:r>
                </w:p>
                <w:p w14:paraId="2F653D65" w14:textId="77777777">
                  <w:pPr>
                    <w:ind w:firstLine="851"/>
                    <w:rPr>
                      <w:b/>
                      <w:bCs/>
                      <w:szCs w:val="24"/>
                    </w:rPr>
                  </w:pPr>
                </w:p>
              </w:sdtContent>
            </w:sdt>
            <w:sdt>
              <w:sdtPr>
                <w:alias w:val="poskyris"/>
                <w:tag w:val="part_10f3a5785365465a9b1aa063d8cba295"/>
                <w:lock w:val="sdtLocked"/>
                <w:richText/>
              </w:sdtPr>
              <w:sdtContent>
                <w:p w14:paraId="0717D715" w14:textId="28ED370A">
                  <w:pPr>
                    <w:ind w:firstLine="851"/>
                    <w:rPr>
                      <w:b/>
                      <w:bCs/>
                      <w:szCs w:val="24"/>
                    </w:rPr>
                  </w:pPr>
                  <w:sdt>
                    <w:sdtPr>
                      <w:alias w:val="Pavadinimas"/>
                      <w:tag w:val="title_10f3a5785365465a9b1aa063d8cba295"/>
                      <w:lock w:val="sdtLocked"/>
                      <w:richText/>
                    </w:sdtPr>
                    <w:sdtContent>
                      <w:r>
                        <w:rPr>
                          <w:b/>
                          <w:bCs/>
                          <w:szCs w:val="24"/>
                        </w:rPr>
                        <w:t>REKOMENDACIJOS</w:t>
                      </w:r>
                    </w:sdtContent>
                  </w:sdt>
                </w:p>
                <w:p w14:paraId="1C1C5A1B" w14:textId="07CCC46F">
                  <w:pPr>
                    <w:shd w:val="clear" w:color="auto" w:fill="FFFFFF"/>
                    <w:tabs>
                      <w:tab w:val="left" w:pos="993"/>
                    </w:tabs>
                    <w:ind w:firstLine="851"/>
                    <w:jc w:val="both"/>
                    <w:rPr>
                      <w:szCs w:val="24"/>
                    </w:rPr>
                  </w:pPr>
                  <w:r>
                    <w:rPr>
                      <w:szCs w:val="24"/>
                    </w:rPr>
                    <w:t>Audituojamam subjektui pateikėme rekomendacijas, padedančias tobulinti veiklą, sutaupyti lėšų, sumažinti išlaidas, gerinti veiklos kokybę, stiprinti valdymo, administracinius ir organizacinius procesus, efektyviau ir racionaliau valdyti turtą, teisingai jį apskaityti ir inventorizuoti. Tinkamas teiktų rekomendacijų įgyvendinimas didina pridėtinę auditų vertę, stiprina išorės auditų įtaką Savivaldybei, skatina audituojamo subjekto darbuotojų teigiamą požiūrį į kontrolės priemones, kurios stiprina audituojamo subjekto finansų valdymą, tinkamą turto naudojimą, teisingų ataskaitų parengimą. Atsižvelgiant į pateiktas rekomendacijas 2024 metais:</w:t>
                  </w:r>
                </w:p>
                <w:p w14:paraId="54EE0861" w14:textId="52F4862F">
                  <w:pPr>
                    <w:tabs>
                      <w:tab w:val="left" w:pos="284"/>
                      <w:tab w:val="left" w:pos="851"/>
                      <w:tab w:val="left" w:pos="1134"/>
                    </w:tabs>
                    <w:ind w:firstLine="851"/>
                    <w:jc w:val="both"/>
                    <w:rPr>
                      <w:szCs w:val="24"/>
                    </w:rPr>
                  </w:pPr>
                  <w:r>
                    <w:rPr>
                      <w:rFonts w:ascii="Wingdings" w:hAnsi="Wingdings"/>
                      <w:szCs w:val="24"/>
                    </w:rPr>
                    <w:t></w:t>
                    <w:tab/>
                  </w:r>
                  <w:r>
                    <w:rPr>
                      <w:szCs w:val="24"/>
                    </w:rPr>
                    <w:t>Dėl tarnybinių automobilių panaudojimo</w:t>
                  </w:r>
                </w:p>
                <w:p w14:paraId="4127D6D5" w14:textId="357156A0">
                  <w:pPr>
                    <w:shd w:val="clear" w:color="auto" w:fill="FFFFFF"/>
                    <w:tabs>
                      <w:tab w:val="left" w:pos="993"/>
                    </w:tabs>
                    <w:ind w:firstLine="913"/>
                    <w:jc w:val="both"/>
                    <w:rPr>
                      <w:szCs w:val="24"/>
                    </w:rPr>
                  </w:pPr>
                  <w:r>
                    <w:rPr>
                      <w:szCs w:val="24"/>
                    </w:rPr>
                    <w:t xml:space="preserve">Siekiant užtikrinti tinkamą tarnybinių lengvųjų automobilių naudojimo reguliavimą, 10 įstaigose parengtos neprieštaraujančios aukštesnės galios teisės aktams tvarkos ar taisyklės. Siekiant sustiprinti tarnybinio transporto išlaidų vidaus kontrolės procedūras, nustatytas tarnybinių lengvųjų automobilių išlaikymo, nuomos, nuomos pagal veiklos nuomos sutartis išlaidų dydis (asignavimų darbo užmokesčiui procentais). Siekiant sustiprinti tarnybinio transporto išlaikymo išlaidų kontrolę, bei sumažinti tarnybinių lengvųjų automobilių išlaikymo išlaidas 3 įstaigose patvirtinti konkretūs automobilių ridos limitai, įdiegta 7 įstaigose, kuriuose nebuvo  visose automobiliuose įdiegta tarnybinių lengvųjų automobilių stebėjimo ir kontrolės telemetrinė sistema, sumažintas perteklinių automobilių skaičius. Gražinti į savivaldybės biudžetą neteisėtai panaudoti asignavimai – 1,3 tūkst. Eur. </w:t>
                  </w:r>
                </w:p>
                <w:p w14:paraId="63EAF0FC" w14:textId="729994F3">
                  <w:pPr>
                    <w:tabs>
                      <w:tab w:val="left" w:pos="284"/>
                      <w:tab w:val="left" w:pos="851"/>
                      <w:tab w:val="left" w:pos="1134"/>
                    </w:tabs>
                    <w:ind w:firstLine="851"/>
                    <w:jc w:val="both"/>
                    <w:rPr>
                      <w:szCs w:val="24"/>
                    </w:rPr>
                  </w:pPr>
                  <w:r>
                    <w:rPr>
                      <w:rFonts w:ascii="Wingdings" w:hAnsi="Wingdings"/>
                      <w:szCs w:val="24"/>
                    </w:rPr>
                    <w:t></w:t>
                    <w:tab/>
                  </w:r>
                  <w:r>
                    <w:rPr>
                      <w:szCs w:val="24"/>
                    </w:rPr>
                    <w:t>Dėl ataskaitų sudarymo ir finansinės apskaitos</w:t>
                  </w:r>
                </w:p>
                <w:p w14:paraId="71EDD651" w14:textId="4BE21E2A">
                  <w:pPr>
                    <w:shd w:val="clear" w:color="auto" w:fill="FFFFFF"/>
                    <w:tabs>
                      <w:tab w:val="left" w:pos="993"/>
                    </w:tabs>
                    <w:ind w:firstLine="851"/>
                    <w:jc w:val="both"/>
                    <w:rPr>
                      <w:szCs w:val="24"/>
                    </w:rPr>
                  </w:pPr>
                  <w:r>
                    <w:rPr>
                      <w:szCs w:val="24"/>
                    </w:rPr>
                    <w:t>Inžinerinių statinių, melioracijos griovių ir jų statinių remonto, biologinio turto, kultūros vertybių esminio pagerinimo ir kito ilgalaikio turto, ilgalaikio materialiojo turto mašinos ir įrenginiai, infrastruktūros statiniai ir kitų statinių apskaita pakoreguota. Patikslintas Apskaitos vadovas, atsižvelgiant į Viešojo sektoriaus subjektų buhalterinių sąskaitų likučių perkėlimo tvarkos aprašo nuostatas. Paskirti atsakingi asmenis už grupės konsoliduotų ataskaitų rinkinio tvirtinimą ir stebėjimą. Siekiant, mažinti įsiskolinimo Savivaldybei už valstybinės žemės nuomą sumas, nustatytos vidaus kontrolės priemonės, kad laiku būtų nustatytos beviltiškos skolos, savalaikiai atlikti rezultatyvūs išieškojimo veiksmai.</w:t>
                  </w:r>
                </w:p>
                <w:p w14:paraId="6F40D15C" w14:textId="1A4F1ED4">
                  <w:pPr>
                    <w:tabs>
                      <w:tab w:val="left" w:pos="284"/>
                      <w:tab w:val="left" w:pos="851"/>
                      <w:tab w:val="left" w:pos="1134"/>
                    </w:tabs>
                    <w:ind w:firstLine="851"/>
                    <w:jc w:val="both"/>
                    <w:rPr>
                      <w:szCs w:val="24"/>
                    </w:rPr>
                  </w:pPr>
                  <w:r>
                    <w:rPr>
                      <w:rFonts w:ascii="Wingdings" w:hAnsi="Wingdings"/>
                      <w:szCs w:val="24"/>
                    </w:rPr>
                    <w:t></w:t>
                    <w:tab/>
                  </w:r>
                  <w:r>
                    <w:rPr>
                      <w:szCs w:val="24"/>
                    </w:rPr>
                    <w:t>Dėl kelionių į darbą ir atgal iš darbo išlaidų dalinio kompensavimo</w:t>
                  </w:r>
                </w:p>
                <w:p w14:paraId="4865DBCF" w14:textId="766085C5">
                  <w:pPr>
                    <w:shd w:val="clear" w:color="auto" w:fill="FFFFFF"/>
                    <w:tabs>
                      <w:tab w:val="left" w:pos="993"/>
                    </w:tabs>
                    <w:ind w:firstLine="851"/>
                    <w:jc w:val="both"/>
                    <w:rPr>
                      <w:szCs w:val="24"/>
                    </w:rPr>
                  </w:pPr>
                  <w:r>
                    <w:rPr>
                      <w:szCs w:val="24"/>
                    </w:rPr>
                    <w:t>Pakeista kelionės į darbą ir atgal iš darbo kompensavimo tvarka atitinkanti aiškumo, sistemiškumo principams. Grąžinti į savivaldybės biudžetą neteisėtai panaudoti asignavimai – 3,4 tūkst. Eur.</w:t>
                  </w:r>
                </w:p>
                <w:p w14:paraId="7E2BEF7D" w14:textId="77777777">
                  <w:pPr>
                    <w:shd w:val="clear" w:color="auto" w:fill="FFFFFF"/>
                    <w:tabs>
                      <w:tab w:val="left" w:pos="993"/>
                    </w:tabs>
                    <w:jc w:val="both"/>
                    <w:rPr>
                      <w:szCs w:val="24"/>
                    </w:rPr>
                  </w:pPr>
                </w:p>
              </w:sdtContent>
            </w:sdt>
          </w:sdtContent>
        </w:sdt>
        <w:sdt>
          <w:sdtPr>
            <w:alias w:val="skyrius"/>
            <w:tag w:val="part_a81b29440abf4473ad392e00f042420c"/>
            <w:lock w:val="sdtLocked"/>
            <w:richText/>
          </w:sdtPr>
          <w:sdtContent>
            <w:p w14:paraId="15CE66F6" w14:textId="34D53AA3">
              <w:pPr>
                <w:suppressAutoHyphens/>
                <w:jc w:val="center"/>
                <w:textAlignment w:val="baseline"/>
                <w:rPr>
                  <w:rFonts w:eastAsia="Calibri"/>
                  <w:b/>
                  <w:bCs/>
                  <w:strike/>
                  <w:szCs w:val="24"/>
                </w:rPr>
              </w:pPr>
              <w:sdt>
                <w:sdtPr>
                  <w:alias w:val="Numeris"/>
                  <w:tag w:val="nr_a81b29440abf4473ad392e00f042420c"/>
                  <w:lock w:val="sdtLocked"/>
                  <w:richText/>
                </w:sdtPr>
                <w:sdtContent>
                  <w:r>
                    <w:rPr>
                      <w:rFonts w:eastAsia="Calibri"/>
                      <w:b/>
                      <w:bCs/>
                      <w:szCs w:val="24"/>
                    </w:rPr>
                    <w:t>IV</w:t>
                  </w:r>
                </w:sdtContent>
              </w:sdt>
              <w:r>
                <w:rPr>
                  <w:rFonts w:eastAsia="Calibri"/>
                  <w:b/>
                  <w:bCs/>
                  <w:szCs w:val="24"/>
                </w:rPr>
                <w:t xml:space="preserve"> SKYRIUS</w:t>
              </w:r>
            </w:p>
            <w:p w14:paraId="2A50B001" w14:textId="77777777">
              <w:pPr>
                <w:suppressAutoHyphens/>
                <w:jc w:val="center"/>
                <w:textAlignment w:val="baseline"/>
                <w:rPr>
                  <w:rFonts w:eastAsia="Calibri"/>
                  <w:b/>
                  <w:bCs/>
                  <w:szCs w:val="24"/>
                </w:rPr>
              </w:pPr>
              <w:sdt>
                <w:sdtPr>
                  <w:alias w:val="Pavadinimas"/>
                  <w:tag w:val="title_a81b29440abf4473ad392e00f042420c"/>
                  <w:lock w:val="sdtLocked"/>
                  <w:richText/>
                </w:sdtPr>
                <w:sdtContent>
                  <w:r>
                    <w:rPr>
                      <w:rFonts w:eastAsia="Calibri"/>
                      <w:b/>
                      <w:bCs/>
                      <w:szCs w:val="24"/>
                    </w:rPr>
                    <w:t xml:space="preserve">ĮSTAIGAI SKIRTŲ ASIGNAVIMŲ PANAUDOJIMAS </w:t>
                  </w:r>
                </w:sdtContent>
              </w:sdt>
            </w:p>
            <w:p w14:paraId="747CD886" w14:textId="77777777">
              <w:pPr>
                <w:suppressAutoHyphens/>
                <w:ind w:firstLine="567"/>
                <w:jc w:val="center"/>
                <w:textAlignment w:val="baseline"/>
                <w:rPr>
                  <w:rFonts w:eastAsia="Calibri"/>
                  <w:b/>
                  <w:bCs/>
                  <w:szCs w:val="24"/>
                </w:rPr>
              </w:pPr>
            </w:p>
            <w:p w14:paraId="10F54C5C" w14:textId="40F5FA1C">
              <w:pPr>
                <w:tabs>
                  <w:tab w:val="left" w:pos="142"/>
                  <w:tab w:val="left" w:pos="284"/>
                  <w:tab w:val="left" w:pos="567"/>
                </w:tabs>
                <w:ind w:firstLine="851"/>
                <w:jc w:val="both"/>
                <w:rPr>
                  <w:szCs w:val="24"/>
                </w:rPr>
              </w:pPr>
              <w:r>
                <w:rPr>
                  <w:szCs w:val="24"/>
                </w:rPr>
                <w:t xml:space="preserve">Kiekvienais metais Savivaldybės taryba nustato asignavimų dydį tarnybai. </w:t>
              </w:r>
              <w:r>
                <w:rPr>
                  <w:szCs w:val="24"/>
                  <w:lang w:eastAsia="lt-LT"/>
                </w:rPr>
                <w:t>2022 metais buvo skirta 90,9 tūkst. eurų</w:t>
              </w:r>
              <w:r>
                <w:rPr>
                  <w:szCs w:val="24"/>
                </w:rPr>
                <w:t xml:space="preserve"> Savivaldybės biudžeto asignavimų, 2023 metais –  96,5 tūkst. eurų, 2024 metais 122,8 tūkst.</w:t>
              </w:r>
              <w:r>
                <w:rPr>
                  <w:szCs w:val="24"/>
                  <w:lang w:val="en-US"/>
                </w:rPr>
                <w:t xml:space="preserve"> eurų </w:t>
              </w:r>
              <w:r>
                <w:rPr>
                  <w:szCs w:val="24"/>
                </w:rPr>
                <w:t xml:space="preserve">iš kurių – 114,4 tūkst. eurų darbo užmokesčiui. Nepanaudota 0,8 tūkst. eurų skirtų asignavimų. </w:t>
              </w:r>
              <w:r>
                <w:rPr>
                  <w:szCs w:val="24"/>
                  <w:lang w:eastAsia="lt-LT"/>
                </w:rPr>
                <w:t xml:space="preserve">95,1 proc. asignavimų panaudota darbo užmokesčiui ir soc. draudimui, 0,1 proc. – komandiruotėms, 0,8 proc. – kvalifikacijos kėlimui, 0,04 proc. – apmokėjimui už komunalines paslaugas, 3,1 proc. –  informacinių technologijų prekėms ir paslaugoms, 0,6 proc. – kitoms prekėms ir paslaugoms, 0,2 proc. – darbdavio socialinė paramai. </w:t>
              </w:r>
              <w:r>
                <w:rPr>
                  <w:szCs w:val="24"/>
                </w:rPr>
                <w:t xml:space="preserve">Savivaldybės tarybos paskirti asignavimai buvo naudojami pagal patvirtintą sąmatą. Tarnybos lėšų apskaitą tvarko Radviliškio savivaldybės administracijos Centralizuotos buhalterinės apskaitos skyrius pagal patvirtintą Buhalterinės apskaitos paslaugų teikimo sutartį. </w:t>
              </w:r>
            </w:p>
            <w:p w14:paraId="0368F903" w14:textId="77777777">
              <w:pPr>
                <w:ind w:firstLine="567"/>
                <w:jc w:val="both"/>
                <w:rPr>
                  <w:szCs w:val="24"/>
                  <w:lang w:eastAsia="lt-LT"/>
                </w:rPr>
              </w:pPr>
            </w:p>
          </w:sdtContent>
        </w:sdt>
        <w:sdt>
          <w:sdtPr>
            <w:alias w:val="skyrius"/>
            <w:tag w:val="part_d093107a392647d2b47c800b2d8ed446"/>
            <w:lock w:val="sdtLocked"/>
            <w:richText/>
          </w:sdtPr>
          <w:sdtContent>
            <w:p w14:paraId="774B9961" w14:textId="77777777">
              <w:pPr>
                <w:tabs>
                  <w:tab w:val="center" w:pos="4819"/>
                  <w:tab w:val="left" w:pos="6237"/>
                  <w:tab w:val="right" w:pos="9638"/>
                </w:tabs>
                <w:jc w:val="center"/>
                <w:rPr>
                  <w:b/>
                  <w:bCs/>
                  <w:szCs w:val="24"/>
                </w:rPr>
              </w:pPr>
              <w:sdt>
                <w:sdtPr>
                  <w:alias w:val="Numeris"/>
                  <w:tag w:val="nr_d093107a392647d2b47c800b2d8ed446"/>
                  <w:lock w:val="sdtLocked"/>
                  <w:richText/>
                </w:sdtPr>
                <w:sdtContent>
                  <w:r>
                    <w:rPr>
                      <w:b/>
                      <w:bCs/>
                      <w:szCs w:val="24"/>
                    </w:rPr>
                    <w:t>V</w:t>
                  </w:r>
                </w:sdtContent>
              </w:sdt>
              <w:r>
                <w:rPr>
                  <w:b/>
                  <w:bCs/>
                  <w:szCs w:val="24"/>
                </w:rPr>
                <w:t xml:space="preserve"> SKYRIUS</w:t>
              </w:r>
            </w:p>
            <w:p w14:paraId="2A4808CA" w14:textId="77777777">
              <w:pPr>
                <w:tabs>
                  <w:tab w:val="center" w:pos="4819"/>
                  <w:tab w:val="left" w:pos="6237"/>
                  <w:tab w:val="right" w:pos="9638"/>
                </w:tabs>
                <w:jc w:val="center"/>
                <w:rPr>
                  <w:b/>
                  <w:bCs/>
                  <w:szCs w:val="24"/>
                </w:rPr>
              </w:pPr>
              <w:sdt>
                <w:sdtPr>
                  <w:alias w:val="Pavadinimas"/>
                  <w:tag w:val="title_d093107a392647d2b47c800b2d8ed446"/>
                  <w:lock w:val="sdtLocked"/>
                  <w:richText/>
                </w:sdtPr>
                <w:sdtContent>
                  <w:r>
                    <w:rPr>
                      <w:b/>
                      <w:bCs/>
                      <w:szCs w:val="24"/>
                    </w:rPr>
                    <w:t>PERSPEKTYVOS</w:t>
                  </w:r>
                </w:sdtContent>
              </w:sdt>
            </w:p>
            <w:p w14:paraId="2885EC40" w14:textId="77777777">
              <w:pPr>
                <w:tabs>
                  <w:tab w:val="center" w:pos="4819"/>
                  <w:tab w:val="left" w:pos="6237"/>
                  <w:tab w:val="right" w:pos="9638"/>
                </w:tabs>
                <w:ind w:firstLine="567"/>
                <w:jc w:val="center"/>
                <w:rPr>
                  <w:b/>
                  <w:bCs/>
                  <w:szCs w:val="24"/>
                </w:rPr>
              </w:pPr>
            </w:p>
            <w:p w14:paraId="07E764FE" w14:textId="717719B4">
              <w:pPr>
                <w:tabs>
                  <w:tab w:val="left" w:pos="567"/>
                </w:tabs>
                <w:ind w:firstLine="851"/>
                <w:jc w:val="both"/>
                <w:rPr>
                  <w:szCs w:val="24"/>
                </w:rPr>
              </w:pPr>
              <w:r>
                <w:rPr>
                  <w:szCs w:val="24"/>
                </w:rPr>
                <w:t>Tarptautinius audito standartus atitinkantis auditas ne tik įpareigoja išlaikyti aukštą audito kokybę, bet ir skatina didinti audito poveikį, vykdyti efektyvią, į rezultatus orientuotą veiklą, kelti profesinę kvalifikaciją. Domėjimasis gerąja praktika ir jos pritaikymas darbe, žinių tobulinimas padeda siekti, kad tarnybos veikla atitiktų aukščiausius kokybės standartus ir kurtų didesnę naudą visuomenei. Todėl tarnybos artimiausio laikotarpio veiklos tobulinimo kryptys išlieka, siekiant efektyvaus audito atlikimo, – plėtoti bendradarbiavimą su Valstybės kontrole, siekiant audito kokybės, – tobulinti darbuotojų kvalifikaciją audito standartų taikymo srityje, siekiant audito veiksmingumo, – skatinti audito rekomendacijų įgyvendinimą.</w:t>
              </w:r>
            </w:p>
            <w:p w14:paraId="531A1EB7" w14:textId="77777777">
              <w:pPr>
                <w:tabs>
                  <w:tab w:val="left" w:pos="567"/>
                </w:tabs>
                <w:ind w:firstLine="851"/>
                <w:jc w:val="both"/>
                <w:rPr>
                  <w:szCs w:val="24"/>
                </w:rPr>
              </w:pPr>
            </w:p>
            <w:p w14:paraId="2C194665" w14:textId="77777777">
              <w:pPr>
                <w:tabs>
                  <w:tab w:val="center" w:pos="4819"/>
                  <w:tab w:val="left" w:pos="6237"/>
                  <w:tab w:val="right" w:pos="9638"/>
                </w:tabs>
                <w:ind w:firstLine="567"/>
                <w:jc w:val="center"/>
                <w:rPr>
                  <w:color w:val="808080"/>
                  <w:szCs w:val="24"/>
                </w:rPr>
              </w:pPr>
            </w:p>
            <w:p w14:paraId="60AE6A74" w14:textId="77777777">
              <w:pPr>
                <w:tabs>
                  <w:tab w:val="center" w:pos="4819"/>
                  <w:tab w:val="left" w:pos="6237"/>
                  <w:tab w:val="right" w:pos="9638"/>
                </w:tabs>
                <w:ind w:firstLine="567"/>
                <w:rPr>
                  <w:color w:val="808080"/>
                  <w:szCs w:val="24"/>
                </w:rPr>
              </w:pPr>
            </w:p>
            <w:p w14:paraId="39703D6A" w14:textId="6264663D">
              <w:pPr>
                <w:suppressAutoHyphens/>
                <w:ind w:firstLine="567"/>
                <w:jc w:val="center"/>
                <w:textAlignment w:val="baseline"/>
                <w:rPr>
                  <w:color w:val="808080"/>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851" w:right="708" w:bottom="1701" w:left="993" w:header="567" w:footer="567" w:gutter="0"/>
      <w:pgNumType w:start="1"/>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0AF6D0" w14:textId="77777777">
      <w:pPr>
        <w:rPr>
          <w:sz w:val="20"/>
        </w:rPr>
      </w:pPr>
      <w:r>
        <w:rPr>
          <w:sz w:val="20"/>
        </w:rPr>
        <w:separator/>
      </w:r>
    </w:p>
  </w:endnote>
  <w:endnote w:type="continuationSeparator" w:id="0">
    <w:p w14:paraId="336516DF" w14:textId="77777777">
      <w:pPr>
        <w:rPr>
          <w:sz w:val="20"/>
        </w:rPr>
      </w:pPr>
      <w:r>
        <w:rPr>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B45EF"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49D2D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F6ECA7"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E382A6" w14:textId="77777777">
      <w:pPr>
        <w:rPr>
          <w:sz w:val="20"/>
        </w:rPr>
      </w:pPr>
      <w:r>
        <w:rPr>
          <w:sz w:val="20"/>
        </w:rPr>
        <w:separator/>
      </w:r>
    </w:p>
  </w:footnote>
  <w:footnote w:type="continuationSeparator" w:id="0">
    <w:p w14:paraId="407A751A" w14:textId="77777777">
      <w:pPr>
        <w:rPr>
          <w:sz w:val="20"/>
        </w:rPr>
      </w:pPr>
      <w:r>
        <w:rPr>
          <w:sz w:val="20"/>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EB7B30"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F7C8B"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1940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0F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FA334DC"/>
  <w15:docId w15:val="{424F4D59-2A85-412B-8E62-D51928C1C10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64514450">
      <w:bodyDiv w:val="1"/>
      <w:marLeft w:val="0"/>
      <w:marRight w:val="0"/>
      <w:marTop w:val="0"/>
      <w:marBottom w:val="0"/>
      <w:divBdr>
        <w:top w:val="none" w:sz="0" w:space="0" w:color="auto"/>
        <w:left w:val="none" w:sz="0" w:space="0" w:color="auto"/>
        <w:bottom w:val="none" w:sz="0" w:space="0" w:color="auto"/>
        <w:right w:val="none" w:sz="0" w:space="0" w:color="auto"/>
      </w:divBdr>
    </w:div>
    <w:div w:id="974528411">
      <w:bodyDiv w:val="1"/>
      <w:marLeft w:val="0"/>
      <w:marRight w:val="0"/>
      <w:marTop w:val="0"/>
      <w:marBottom w:val="0"/>
      <w:divBdr>
        <w:top w:val="none" w:sz="0" w:space="0" w:color="auto"/>
        <w:left w:val="none" w:sz="0" w:space="0" w:color="auto"/>
        <w:bottom w:val="none" w:sz="0" w:space="0" w:color="auto"/>
        <w:right w:val="none" w:sz="0" w:space="0" w:color="auto"/>
      </w:divBdr>
    </w:div>
    <w:div w:id="1247156745">
      <w:bodyDiv w:val="1"/>
      <w:marLeft w:val="0"/>
      <w:marRight w:val="0"/>
      <w:marTop w:val="0"/>
      <w:marBottom w:val="0"/>
      <w:divBdr>
        <w:top w:val="none" w:sz="0" w:space="0" w:color="auto"/>
        <w:left w:val="none" w:sz="0" w:space="0" w:color="auto"/>
        <w:bottom w:val="none" w:sz="0" w:space="0" w:color="auto"/>
        <w:right w:val="none" w:sz="0" w:space="0" w:color="auto"/>
      </w:divBdr>
    </w:div>
    <w:div w:id="1252086908">
      <w:bodyDiv w:val="1"/>
      <w:marLeft w:val="0"/>
      <w:marRight w:val="0"/>
      <w:marTop w:val="0"/>
      <w:marBottom w:val="0"/>
      <w:divBdr>
        <w:top w:val="none" w:sz="0" w:space="0" w:color="auto"/>
        <w:left w:val="none" w:sz="0" w:space="0" w:color="auto"/>
        <w:bottom w:val="none" w:sz="0" w:space="0" w:color="auto"/>
        <w:right w:val="none" w:sz="0" w:space="0" w:color="auto"/>
      </w:divBdr>
    </w:div>
    <w:div w:id="1730877174">
      <w:marLeft w:val="225"/>
      <w:marRight w:val="225"/>
      <w:marTop w:val="0"/>
      <w:marBottom w:val="0"/>
      <w:divBdr>
        <w:top w:val="none" w:sz="0" w:space="0" w:color="auto"/>
        <w:left w:val="none" w:sz="0" w:space="0" w:color="auto"/>
        <w:bottom w:val="none" w:sz="0" w:space="0" w:color="auto"/>
        <w:right w:val="none" w:sz="0" w:space="0" w:color="auto"/>
      </w:divBdr>
      <w:divsChild>
        <w:div w:id="1730877195">
          <w:marLeft w:val="0"/>
          <w:marRight w:val="0"/>
          <w:marTop w:val="0"/>
          <w:marBottom w:val="0"/>
          <w:divBdr>
            <w:top w:val="none" w:sz="0" w:space="0" w:color="auto"/>
            <w:left w:val="none" w:sz="0" w:space="0" w:color="auto"/>
            <w:bottom w:val="none" w:sz="0" w:space="0" w:color="auto"/>
            <w:right w:val="none" w:sz="0" w:space="0" w:color="auto"/>
          </w:divBdr>
        </w:div>
      </w:divsChild>
    </w:div>
    <w:div w:id="1730877191">
      <w:marLeft w:val="225"/>
      <w:marRight w:val="225"/>
      <w:marTop w:val="0"/>
      <w:marBottom w:val="0"/>
      <w:divBdr>
        <w:top w:val="none" w:sz="0" w:space="0" w:color="auto"/>
        <w:left w:val="none" w:sz="0" w:space="0" w:color="auto"/>
        <w:bottom w:val="none" w:sz="0" w:space="0" w:color="auto"/>
        <w:right w:val="none" w:sz="0" w:space="0" w:color="auto"/>
      </w:divBdr>
      <w:divsChild>
        <w:div w:id="1730877184">
          <w:marLeft w:val="0"/>
          <w:marRight w:val="0"/>
          <w:marTop w:val="0"/>
          <w:marBottom w:val="0"/>
          <w:divBdr>
            <w:top w:val="none" w:sz="0" w:space="0" w:color="auto"/>
            <w:left w:val="none" w:sz="0" w:space="0" w:color="auto"/>
            <w:bottom w:val="none" w:sz="0" w:space="0" w:color="auto"/>
            <w:right w:val="none" w:sz="0" w:space="0" w:color="auto"/>
          </w:divBdr>
        </w:div>
      </w:divsChild>
    </w:div>
    <w:div w:id="1730877198">
      <w:marLeft w:val="0"/>
      <w:marRight w:val="0"/>
      <w:marTop w:val="0"/>
      <w:marBottom w:val="0"/>
      <w:divBdr>
        <w:top w:val="none" w:sz="0" w:space="0" w:color="auto"/>
        <w:left w:val="none" w:sz="0" w:space="0" w:color="auto"/>
        <w:bottom w:val="none" w:sz="0" w:space="0" w:color="auto"/>
        <w:right w:val="none" w:sz="0" w:space="0" w:color="auto"/>
      </w:divBdr>
    </w:div>
    <w:div w:id="1730877199">
      <w:marLeft w:val="0"/>
      <w:marRight w:val="0"/>
      <w:marTop w:val="0"/>
      <w:marBottom w:val="0"/>
      <w:divBdr>
        <w:top w:val="none" w:sz="0" w:space="0" w:color="auto"/>
        <w:left w:val="none" w:sz="0" w:space="0" w:color="auto"/>
        <w:bottom w:val="none" w:sz="0" w:space="0" w:color="auto"/>
        <w:right w:val="none" w:sz="0" w:space="0" w:color="auto"/>
      </w:divBdr>
      <w:divsChild>
        <w:div w:id="1730877168">
          <w:marLeft w:val="0"/>
          <w:marRight w:val="0"/>
          <w:marTop w:val="0"/>
          <w:marBottom w:val="0"/>
          <w:divBdr>
            <w:top w:val="none" w:sz="0" w:space="0" w:color="auto"/>
            <w:left w:val="none" w:sz="0" w:space="0" w:color="auto"/>
            <w:bottom w:val="none" w:sz="0" w:space="0" w:color="auto"/>
            <w:right w:val="none" w:sz="0" w:space="0" w:color="auto"/>
          </w:divBdr>
        </w:div>
        <w:div w:id="1730877169">
          <w:marLeft w:val="0"/>
          <w:marRight w:val="0"/>
          <w:marTop w:val="0"/>
          <w:marBottom w:val="0"/>
          <w:divBdr>
            <w:top w:val="none" w:sz="0" w:space="0" w:color="auto"/>
            <w:left w:val="none" w:sz="0" w:space="0" w:color="auto"/>
            <w:bottom w:val="none" w:sz="0" w:space="0" w:color="auto"/>
            <w:right w:val="none" w:sz="0" w:space="0" w:color="auto"/>
          </w:divBdr>
        </w:div>
        <w:div w:id="1730877171">
          <w:marLeft w:val="0"/>
          <w:marRight w:val="0"/>
          <w:marTop w:val="0"/>
          <w:marBottom w:val="0"/>
          <w:divBdr>
            <w:top w:val="none" w:sz="0" w:space="0" w:color="auto"/>
            <w:left w:val="none" w:sz="0" w:space="0" w:color="auto"/>
            <w:bottom w:val="none" w:sz="0" w:space="0" w:color="auto"/>
            <w:right w:val="none" w:sz="0" w:space="0" w:color="auto"/>
          </w:divBdr>
        </w:div>
        <w:div w:id="1730877173">
          <w:marLeft w:val="0"/>
          <w:marRight w:val="0"/>
          <w:marTop w:val="0"/>
          <w:marBottom w:val="0"/>
          <w:divBdr>
            <w:top w:val="none" w:sz="0" w:space="0" w:color="auto"/>
            <w:left w:val="none" w:sz="0" w:space="0" w:color="auto"/>
            <w:bottom w:val="none" w:sz="0" w:space="0" w:color="auto"/>
            <w:right w:val="none" w:sz="0" w:space="0" w:color="auto"/>
          </w:divBdr>
        </w:div>
        <w:div w:id="1730877175">
          <w:marLeft w:val="0"/>
          <w:marRight w:val="0"/>
          <w:marTop w:val="0"/>
          <w:marBottom w:val="0"/>
          <w:divBdr>
            <w:top w:val="none" w:sz="0" w:space="0" w:color="auto"/>
            <w:left w:val="none" w:sz="0" w:space="0" w:color="auto"/>
            <w:bottom w:val="none" w:sz="0" w:space="0" w:color="auto"/>
            <w:right w:val="none" w:sz="0" w:space="0" w:color="auto"/>
          </w:divBdr>
        </w:div>
        <w:div w:id="1730877176">
          <w:marLeft w:val="0"/>
          <w:marRight w:val="0"/>
          <w:marTop w:val="0"/>
          <w:marBottom w:val="0"/>
          <w:divBdr>
            <w:top w:val="none" w:sz="0" w:space="0" w:color="auto"/>
            <w:left w:val="none" w:sz="0" w:space="0" w:color="auto"/>
            <w:bottom w:val="none" w:sz="0" w:space="0" w:color="auto"/>
            <w:right w:val="none" w:sz="0" w:space="0" w:color="auto"/>
          </w:divBdr>
        </w:div>
        <w:div w:id="1730877177">
          <w:marLeft w:val="0"/>
          <w:marRight w:val="0"/>
          <w:marTop w:val="0"/>
          <w:marBottom w:val="0"/>
          <w:divBdr>
            <w:top w:val="none" w:sz="0" w:space="0" w:color="auto"/>
            <w:left w:val="none" w:sz="0" w:space="0" w:color="auto"/>
            <w:bottom w:val="none" w:sz="0" w:space="0" w:color="auto"/>
            <w:right w:val="none" w:sz="0" w:space="0" w:color="auto"/>
          </w:divBdr>
        </w:div>
        <w:div w:id="1730877178">
          <w:marLeft w:val="0"/>
          <w:marRight w:val="0"/>
          <w:marTop w:val="0"/>
          <w:marBottom w:val="0"/>
          <w:divBdr>
            <w:top w:val="none" w:sz="0" w:space="0" w:color="auto"/>
            <w:left w:val="none" w:sz="0" w:space="0" w:color="auto"/>
            <w:bottom w:val="none" w:sz="0" w:space="0" w:color="auto"/>
            <w:right w:val="none" w:sz="0" w:space="0" w:color="auto"/>
          </w:divBdr>
        </w:div>
        <w:div w:id="1730877179">
          <w:marLeft w:val="0"/>
          <w:marRight w:val="0"/>
          <w:marTop w:val="0"/>
          <w:marBottom w:val="0"/>
          <w:divBdr>
            <w:top w:val="none" w:sz="0" w:space="0" w:color="auto"/>
            <w:left w:val="none" w:sz="0" w:space="0" w:color="auto"/>
            <w:bottom w:val="none" w:sz="0" w:space="0" w:color="auto"/>
            <w:right w:val="none" w:sz="0" w:space="0" w:color="auto"/>
          </w:divBdr>
        </w:div>
        <w:div w:id="1730877180">
          <w:marLeft w:val="0"/>
          <w:marRight w:val="0"/>
          <w:marTop w:val="0"/>
          <w:marBottom w:val="0"/>
          <w:divBdr>
            <w:top w:val="none" w:sz="0" w:space="0" w:color="auto"/>
            <w:left w:val="none" w:sz="0" w:space="0" w:color="auto"/>
            <w:bottom w:val="none" w:sz="0" w:space="0" w:color="auto"/>
            <w:right w:val="none" w:sz="0" w:space="0" w:color="auto"/>
          </w:divBdr>
        </w:div>
        <w:div w:id="1730877181">
          <w:marLeft w:val="0"/>
          <w:marRight w:val="0"/>
          <w:marTop w:val="0"/>
          <w:marBottom w:val="0"/>
          <w:divBdr>
            <w:top w:val="none" w:sz="0" w:space="0" w:color="auto"/>
            <w:left w:val="none" w:sz="0" w:space="0" w:color="auto"/>
            <w:bottom w:val="none" w:sz="0" w:space="0" w:color="auto"/>
            <w:right w:val="none" w:sz="0" w:space="0" w:color="auto"/>
          </w:divBdr>
        </w:div>
        <w:div w:id="1730877182">
          <w:marLeft w:val="0"/>
          <w:marRight w:val="0"/>
          <w:marTop w:val="0"/>
          <w:marBottom w:val="0"/>
          <w:divBdr>
            <w:top w:val="none" w:sz="0" w:space="0" w:color="auto"/>
            <w:left w:val="none" w:sz="0" w:space="0" w:color="auto"/>
            <w:bottom w:val="none" w:sz="0" w:space="0" w:color="auto"/>
            <w:right w:val="none" w:sz="0" w:space="0" w:color="auto"/>
          </w:divBdr>
        </w:div>
        <w:div w:id="1730877183">
          <w:marLeft w:val="0"/>
          <w:marRight w:val="0"/>
          <w:marTop w:val="0"/>
          <w:marBottom w:val="0"/>
          <w:divBdr>
            <w:top w:val="none" w:sz="0" w:space="0" w:color="auto"/>
            <w:left w:val="none" w:sz="0" w:space="0" w:color="auto"/>
            <w:bottom w:val="none" w:sz="0" w:space="0" w:color="auto"/>
            <w:right w:val="none" w:sz="0" w:space="0" w:color="auto"/>
          </w:divBdr>
        </w:div>
        <w:div w:id="1730877185">
          <w:marLeft w:val="0"/>
          <w:marRight w:val="0"/>
          <w:marTop w:val="0"/>
          <w:marBottom w:val="0"/>
          <w:divBdr>
            <w:top w:val="none" w:sz="0" w:space="0" w:color="auto"/>
            <w:left w:val="none" w:sz="0" w:space="0" w:color="auto"/>
            <w:bottom w:val="none" w:sz="0" w:space="0" w:color="auto"/>
            <w:right w:val="none" w:sz="0" w:space="0" w:color="auto"/>
          </w:divBdr>
        </w:div>
        <w:div w:id="1730877186">
          <w:marLeft w:val="0"/>
          <w:marRight w:val="0"/>
          <w:marTop w:val="0"/>
          <w:marBottom w:val="0"/>
          <w:divBdr>
            <w:top w:val="none" w:sz="0" w:space="0" w:color="auto"/>
            <w:left w:val="none" w:sz="0" w:space="0" w:color="auto"/>
            <w:bottom w:val="none" w:sz="0" w:space="0" w:color="auto"/>
            <w:right w:val="none" w:sz="0" w:space="0" w:color="auto"/>
          </w:divBdr>
        </w:div>
        <w:div w:id="1730877187">
          <w:marLeft w:val="0"/>
          <w:marRight w:val="0"/>
          <w:marTop w:val="0"/>
          <w:marBottom w:val="0"/>
          <w:divBdr>
            <w:top w:val="none" w:sz="0" w:space="0" w:color="auto"/>
            <w:left w:val="none" w:sz="0" w:space="0" w:color="auto"/>
            <w:bottom w:val="none" w:sz="0" w:space="0" w:color="auto"/>
            <w:right w:val="none" w:sz="0" w:space="0" w:color="auto"/>
          </w:divBdr>
        </w:div>
        <w:div w:id="1730877188">
          <w:marLeft w:val="0"/>
          <w:marRight w:val="0"/>
          <w:marTop w:val="0"/>
          <w:marBottom w:val="0"/>
          <w:divBdr>
            <w:top w:val="none" w:sz="0" w:space="0" w:color="auto"/>
            <w:left w:val="none" w:sz="0" w:space="0" w:color="auto"/>
            <w:bottom w:val="none" w:sz="0" w:space="0" w:color="auto"/>
            <w:right w:val="none" w:sz="0" w:space="0" w:color="auto"/>
          </w:divBdr>
        </w:div>
        <w:div w:id="1730877189">
          <w:marLeft w:val="0"/>
          <w:marRight w:val="0"/>
          <w:marTop w:val="0"/>
          <w:marBottom w:val="0"/>
          <w:divBdr>
            <w:top w:val="none" w:sz="0" w:space="0" w:color="auto"/>
            <w:left w:val="none" w:sz="0" w:space="0" w:color="auto"/>
            <w:bottom w:val="none" w:sz="0" w:space="0" w:color="auto"/>
            <w:right w:val="none" w:sz="0" w:space="0" w:color="auto"/>
          </w:divBdr>
        </w:div>
        <w:div w:id="1730877190">
          <w:marLeft w:val="0"/>
          <w:marRight w:val="0"/>
          <w:marTop w:val="0"/>
          <w:marBottom w:val="0"/>
          <w:divBdr>
            <w:top w:val="none" w:sz="0" w:space="0" w:color="auto"/>
            <w:left w:val="none" w:sz="0" w:space="0" w:color="auto"/>
            <w:bottom w:val="none" w:sz="0" w:space="0" w:color="auto"/>
            <w:right w:val="none" w:sz="0" w:space="0" w:color="auto"/>
          </w:divBdr>
        </w:div>
        <w:div w:id="1730877192">
          <w:marLeft w:val="0"/>
          <w:marRight w:val="0"/>
          <w:marTop w:val="0"/>
          <w:marBottom w:val="0"/>
          <w:divBdr>
            <w:top w:val="none" w:sz="0" w:space="0" w:color="auto"/>
            <w:left w:val="none" w:sz="0" w:space="0" w:color="auto"/>
            <w:bottom w:val="none" w:sz="0" w:space="0" w:color="auto"/>
            <w:right w:val="none" w:sz="0" w:space="0" w:color="auto"/>
          </w:divBdr>
        </w:div>
        <w:div w:id="1730877193">
          <w:marLeft w:val="0"/>
          <w:marRight w:val="0"/>
          <w:marTop w:val="0"/>
          <w:marBottom w:val="0"/>
          <w:divBdr>
            <w:top w:val="none" w:sz="0" w:space="0" w:color="auto"/>
            <w:left w:val="none" w:sz="0" w:space="0" w:color="auto"/>
            <w:bottom w:val="none" w:sz="0" w:space="0" w:color="auto"/>
            <w:right w:val="none" w:sz="0" w:space="0" w:color="auto"/>
          </w:divBdr>
        </w:div>
        <w:div w:id="1730877194">
          <w:marLeft w:val="0"/>
          <w:marRight w:val="0"/>
          <w:marTop w:val="0"/>
          <w:marBottom w:val="0"/>
          <w:divBdr>
            <w:top w:val="none" w:sz="0" w:space="0" w:color="auto"/>
            <w:left w:val="none" w:sz="0" w:space="0" w:color="auto"/>
            <w:bottom w:val="none" w:sz="0" w:space="0" w:color="auto"/>
            <w:right w:val="none" w:sz="0" w:space="0" w:color="auto"/>
          </w:divBdr>
        </w:div>
        <w:div w:id="1730877196">
          <w:marLeft w:val="0"/>
          <w:marRight w:val="0"/>
          <w:marTop w:val="0"/>
          <w:marBottom w:val="0"/>
          <w:divBdr>
            <w:top w:val="none" w:sz="0" w:space="0" w:color="auto"/>
            <w:left w:val="none" w:sz="0" w:space="0" w:color="auto"/>
            <w:bottom w:val="none" w:sz="0" w:space="0" w:color="auto"/>
            <w:right w:val="none" w:sz="0" w:space="0" w:color="auto"/>
          </w:divBdr>
        </w:div>
        <w:div w:id="1730877197">
          <w:marLeft w:val="0"/>
          <w:marRight w:val="0"/>
          <w:marTop w:val="0"/>
          <w:marBottom w:val="0"/>
          <w:divBdr>
            <w:top w:val="none" w:sz="0" w:space="0" w:color="auto"/>
            <w:left w:val="none" w:sz="0" w:space="0" w:color="auto"/>
            <w:bottom w:val="none" w:sz="0" w:space="0" w:color="auto"/>
            <w:right w:val="none" w:sz="0" w:space="0" w:color="auto"/>
          </w:divBdr>
        </w:div>
        <w:div w:id="1730877201">
          <w:marLeft w:val="0"/>
          <w:marRight w:val="0"/>
          <w:marTop w:val="0"/>
          <w:marBottom w:val="0"/>
          <w:divBdr>
            <w:top w:val="none" w:sz="0" w:space="0" w:color="auto"/>
            <w:left w:val="none" w:sz="0" w:space="0" w:color="auto"/>
            <w:bottom w:val="none" w:sz="0" w:space="0" w:color="auto"/>
            <w:right w:val="none" w:sz="0" w:space="0" w:color="auto"/>
          </w:divBdr>
        </w:div>
        <w:div w:id="1730877202">
          <w:marLeft w:val="0"/>
          <w:marRight w:val="0"/>
          <w:marTop w:val="0"/>
          <w:marBottom w:val="0"/>
          <w:divBdr>
            <w:top w:val="none" w:sz="0" w:space="0" w:color="auto"/>
            <w:left w:val="none" w:sz="0" w:space="0" w:color="auto"/>
            <w:bottom w:val="none" w:sz="0" w:space="0" w:color="auto"/>
            <w:right w:val="none" w:sz="0" w:space="0" w:color="auto"/>
          </w:divBdr>
        </w:div>
        <w:div w:id="1730877203">
          <w:marLeft w:val="0"/>
          <w:marRight w:val="0"/>
          <w:marTop w:val="0"/>
          <w:marBottom w:val="0"/>
          <w:divBdr>
            <w:top w:val="none" w:sz="0" w:space="0" w:color="auto"/>
            <w:left w:val="none" w:sz="0" w:space="0" w:color="auto"/>
            <w:bottom w:val="none" w:sz="0" w:space="0" w:color="auto"/>
            <w:right w:val="none" w:sz="0" w:space="0" w:color="auto"/>
          </w:divBdr>
        </w:div>
        <w:div w:id="1730877205">
          <w:marLeft w:val="0"/>
          <w:marRight w:val="0"/>
          <w:marTop w:val="0"/>
          <w:marBottom w:val="0"/>
          <w:divBdr>
            <w:top w:val="none" w:sz="0" w:space="0" w:color="auto"/>
            <w:left w:val="none" w:sz="0" w:space="0" w:color="auto"/>
            <w:bottom w:val="none" w:sz="0" w:space="0" w:color="auto"/>
            <w:right w:val="none" w:sz="0" w:space="0" w:color="auto"/>
          </w:divBdr>
        </w:div>
        <w:div w:id="1730877206">
          <w:marLeft w:val="0"/>
          <w:marRight w:val="0"/>
          <w:marTop w:val="0"/>
          <w:marBottom w:val="0"/>
          <w:divBdr>
            <w:top w:val="none" w:sz="0" w:space="0" w:color="auto"/>
            <w:left w:val="none" w:sz="0" w:space="0" w:color="auto"/>
            <w:bottom w:val="none" w:sz="0" w:space="0" w:color="auto"/>
            <w:right w:val="none" w:sz="0" w:space="0" w:color="auto"/>
          </w:divBdr>
        </w:div>
        <w:div w:id="1730877209">
          <w:marLeft w:val="0"/>
          <w:marRight w:val="0"/>
          <w:marTop w:val="0"/>
          <w:marBottom w:val="0"/>
          <w:divBdr>
            <w:top w:val="none" w:sz="0" w:space="0" w:color="auto"/>
            <w:left w:val="none" w:sz="0" w:space="0" w:color="auto"/>
            <w:bottom w:val="none" w:sz="0" w:space="0" w:color="auto"/>
            <w:right w:val="none" w:sz="0" w:space="0" w:color="auto"/>
          </w:divBdr>
        </w:div>
        <w:div w:id="1730877211">
          <w:marLeft w:val="0"/>
          <w:marRight w:val="0"/>
          <w:marTop w:val="0"/>
          <w:marBottom w:val="0"/>
          <w:divBdr>
            <w:top w:val="none" w:sz="0" w:space="0" w:color="auto"/>
            <w:left w:val="none" w:sz="0" w:space="0" w:color="auto"/>
            <w:bottom w:val="none" w:sz="0" w:space="0" w:color="auto"/>
            <w:right w:val="none" w:sz="0" w:space="0" w:color="auto"/>
          </w:divBdr>
        </w:div>
        <w:div w:id="1730877212">
          <w:marLeft w:val="0"/>
          <w:marRight w:val="0"/>
          <w:marTop w:val="0"/>
          <w:marBottom w:val="0"/>
          <w:divBdr>
            <w:top w:val="none" w:sz="0" w:space="0" w:color="auto"/>
            <w:left w:val="none" w:sz="0" w:space="0" w:color="auto"/>
            <w:bottom w:val="none" w:sz="0" w:space="0" w:color="auto"/>
            <w:right w:val="none" w:sz="0" w:space="0" w:color="auto"/>
          </w:divBdr>
        </w:div>
      </w:divsChild>
    </w:div>
    <w:div w:id="1730877200">
      <w:marLeft w:val="225"/>
      <w:marRight w:val="225"/>
      <w:marTop w:val="0"/>
      <w:marBottom w:val="0"/>
      <w:divBdr>
        <w:top w:val="none" w:sz="0" w:space="0" w:color="auto"/>
        <w:left w:val="none" w:sz="0" w:space="0" w:color="auto"/>
        <w:bottom w:val="none" w:sz="0" w:space="0" w:color="auto"/>
        <w:right w:val="none" w:sz="0" w:space="0" w:color="auto"/>
      </w:divBdr>
      <w:divsChild>
        <w:div w:id="1730877214">
          <w:marLeft w:val="0"/>
          <w:marRight w:val="0"/>
          <w:marTop w:val="0"/>
          <w:marBottom w:val="0"/>
          <w:divBdr>
            <w:top w:val="none" w:sz="0" w:space="0" w:color="auto"/>
            <w:left w:val="none" w:sz="0" w:space="0" w:color="auto"/>
            <w:bottom w:val="none" w:sz="0" w:space="0" w:color="auto"/>
            <w:right w:val="none" w:sz="0" w:space="0" w:color="auto"/>
          </w:divBdr>
        </w:div>
      </w:divsChild>
    </w:div>
    <w:div w:id="1730877207">
      <w:marLeft w:val="0"/>
      <w:marRight w:val="0"/>
      <w:marTop w:val="0"/>
      <w:marBottom w:val="0"/>
      <w:divBdr>
        <w:top w:val="none" w:sz="0" w:space="0" w:color="auto"/>
        <w:left w:val="none" w:sz="0" w:space="0" w:color="auto"/>
        <w:bottom w:val="none" w:sz="0" w:space="0" w:color="auto"/>
        <w:right w:val="none" w:sz="0" w:space="0" w:color="auto"/>
      </w:divBdr>
      <w:divsChild>
        <w:div w:id="1730877170">
          <w:marLeft w:val="0"/>
          <w:marRight w:val="0"/>
          <w:marTop w:val="0"/>
          <w:marBottom w:val="0"/>
          <w:divBdr>
            <w:top w:val="none" w:sz="0" w:space="0" w:color="auto"/>
            <w:left w:val="none" w:sz="0" w:space="0" w:color="auto"/>
            <w:bottom w:val="none" w:sz="0" w:space="0" w:color="auto"/>
            <w:right w:val="none" w:sz="0" w:space="0" w:color="auto"/>
          </w:divBdr>
        </w:div>
      </w:divsChild>
    </w:div>
    <w:div w:id="1730877208">
      <w:marLeft w:val="225"/>
      <w:marRight w:val="225"/>
      <w:marTop w:val="0"/>
      <w:marBottom w:val="0"/>
      <w:divBdr>
        <w:top w:val="none" w:sz="0" w:space="0" w:color="auto"/>
        <w:left w:val="none" w:sz="0" w:space="0" w:color="auto"/>
        <w:bottom w:val="none" w:sz="0" w:space="0" w:color="auto"/>
        <w:right w:val="none" w:sz="0" w:space="0" w:color="auto"/>
      </w:divBdr>
      <w:divsChild>
        <w:div w:id="1730877204">
          <w:marLeft w:val="0"/>
          <w:marRight w:val="0"/>
          <w:marTop w:val="0"/>
          <w:marBottom w:val="0"/>
          <w:divBdr>
            <w:top w:val="none" w:sz="0" w:space="0" w:color="auto"/>
            <w:left w:val="none" w:sz="0" w:space="0" w:color="auto"/>
            <w:bottom w:val="none" w:sz="0" w:space="0" w:color="auto"/>
            <w:right w:val="none" w:sz="0" w:space="0" w:color="auto"/>
          </w:divBdr>
        </w:div>
      </w:divsChild>
    </w:div>
    <w:div w:id="1730877210">
      <w:marLeft w:val="0"/>
      <w:marRight w:val="0"/>
      <w:marTop w:val="0"/>
      <w:marBottom w:val="0"/>
      <w:divBdr>
        <w:top w:val="none" w:sz="0" w:space="0" w:color="auto"/>
        <w:left w:val="none" w:sz="0" w:space="0" w:color="auto"/>
        <w:bottom w:val="none" w:sz="0" w:space="0" w:color="auto"/>
        <w:right w:val="none" w:sz="0" w:space="0" w:color="auto"/>
      </w:divBdr>
    </w:div>
    <w:div w:id="1730877213">
      <w:marLeft w:val="225"/>
      <w:marRight w:val="225"/>
      <w:marTop w:val="0"/>
      <w:marBottom w:val="0"/>
      <w:divBdr>
        <w:top w:val="none" w:sz="0" w:space="0" w:color="auto"/>
        <w:left w:val="none" w:sz="0" w:space="0" w:color="auto"/>
        <w:bottom w:val="none" w:sz="0" w:space="0" w:color="auto"/>
        <w:right w:val="none" w:sz="0" w:space="0" w:color="auto"/>
      </w:divBdr>
      <w:divsChild>
        <w:div w:id="1730877172">
          <w:marLeft w:val="0"/>
          <w:marRight w:val="0"/>
          <w:marTop w:val="0"/>
          <w:marBottom w:val="0"/>
          <w:divBdr>
            <w:top w:val="none" w:sz="0" w:space="0" w:color="auto"/>
            <w:left w:val="none" w:sz="0" w:space="0" w:color="auto"/>
            <w:bottom w:val="none" w:sz="0" w:space="0" w:color="auto"/>
            <w:right w:val="none" w:sz="0" w:space="0" w:color="auto"/>
          </w:divBdr>
        </w:div>
      </w:divsChild>
    </w:div>
    <w:div w:id="1730877215">
      <w:marLeft w:val="0"/>
      <w:marRight w:val="0"/>
      <w:marTop w:val="0"/>
      <w:marBottom w:val="0"/>
      <w:divBdr>
        <w:top w:val="none" w:sz="0" w:space="0" w:color="auto"/>
        <w:left w:val="none" w:sz="0" w:space="0" w:color="auto"/>
        <w:bottom w:val="none" w:sz="0" w:space="0" w:color="auto"/>
        <w:right w:val="none" w:sz="0" w:space="0" w:color="auto"/>
      </w:divBdr>
    </w:div>
    <w:div w:id="1730877216">
      <w:marLeft w:val="0"/>
      <w:marRight w:val="0"/>
      <w:marTop w:val="0"/>
      <w:marBottom w:val="0"/>
      <w:divBdr>
        <w:top w:val="none" w:sz="0" w:space="0" w:color="auto"/>
        <w:left w:val="none" w:sz="0" w:space="0" w:color="auto"/>
        <w:bottom w:val="none" w:sz="0" w:space="0" w:color="auto"/>
        <w:right w:val="none" w:sz="0" w:space="0" w:color="auto"/>
      </w:divBdr>
    </w:div>
    <w:div w:id="1740783806">
      <w:bodyDiv w:val="1"/>
      <w:marLeft w:val="0"/>
      <w:marRight w:val="0"/>
      <w:marTop w:val="0"/>
      <w:marBottom w:val="0"/>
      <w:divBdr>
        <w:top w:val="none" w:sz="0" w:space="0" w:color="auto"/>
        <w:left w:val="none" w:sz="0" w:space="0" w:color="auto"/>
        <w:bottom w:val="none" w:sz="0" w:space="0" w:color="auto"/>
        <w:right w:val="none" w:sz="0" w:space="0" w:color="auto"/>
      </w:divBdr>
    </w:div>
    <w:div w:id="1757550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2b7351e701f456fb22cd11f35cacad7" PartId="0a4cd237f2c244958cd3f2cbc3830494">
    <Part Type="preambule" DocPartId="084a0cfd6cdb4bf281215bdcea534073" PartId="782f26d13e0c4ea5af1e093e871f7f6a"/>
    <Part Type="pastraipa" DocPartId="3c76b0e672074f11be6688dd7780677f" PartId="be8b38723cf1404983c5fb9d55aafc04"/>
    <Part Type="skyrius" Nr="1" Title="BENDROJI INFORMACIJA APIE ĮSTAIGĄ" DocPartId="d25bea169ae84ebabfbc22a427cabe4d" PartId="856aa93c1ac84a8996c0dde494c7b897"/>
    <Part Type="skyrius" Nr="2" Title="ŽMOGIŠKŲJŲ IŠTEKLIŲ VALDYMAS" DocPartId="b82ba94884cf4f71a51f87ede8b2dfe3" PartId="fa984e63d6fd4c76ad43d033afdddda3"/>
    <Part Type="skyrius" Nr="3" Title="STRATEGINIŲ IR METŲ VEIKLOS TIKSLŲ ĮGYVENDINIMAS" DocPartId="f84a5f955be0434a9e38d3562f8fa555" PartId="bec44a14b0c34ce39df601ab0a32f683">
      <Part Type="poskyris" Title="FINANSINIS AUDITAS" DocPartId="591c00be6973478e988d5608b5d4ed3c" PartId="f97a633b429e4e4db80b4f1ebe076993"/>
      <Part Type="poskyris" Title="Audito rezultatai" DocPartId="e90fb194b7e647d1a2d645c4ab652560" PartId="d42f4c2150a74ce1b290b079b82dc7a8"/>
      <Part Type="poskyris" Title="ATITIKTIES AUDITAI" DocPartId="4293345ae376475b885ab7f649a555da" PartId="fe15f22fbbfd4154b7cf3a25d3fa25fe"/>
      <Part Type="poskyris" Title="Audito rezultatai" DocPartId="80193a6991fb403899c41feea0c08769" PartId="bee87d3182304b1d89111a395e71df62"/>
      <Part Type="poskyris" Title="IŠVADOS" DocPartId="03ab2e873992477dab682a349de822c1" PartId="5642917042f34dbeb431d36e459a1dfe"/>
      <Part Type="poskyris" Title="REKOMENDACIJOS" DocPartId="e1326bdf4de346eca81b08c8382bfceb" PartId="10f3a5785365465a9b1aa063d8cba295"/>
    </Part>
    <Part Type="skyrius" Nr="4" Title="ĮSTAIGAI SKIRTŲ ASIGNAVIMŲ PANAUDOJIMAS" DocPartId="c4c2b0887d6547b4af92a0218d458de2" PartId="a81b29440abf4473ad392e00f042420c"/>
    <Part Type="skyrius" Nr="5" Title="PERSPEKTYVOS" DocPartId="b29d903d5785478e808add7a1a6eb6c7" PartId="d093107a392647d2b47c800b2d8ed446"/>
  </Part>
</Parts>
</file>

<file path=customXml/itemProps1.xml><?xml version="1.0" encoding="utf-8"?>
<ds:datastoreItem xmlns:ds="http://schemas.openxmlformats.org/officeDocument/2006/customXml" ds:itemID="{E711C6E0-9CE9-4B5F-8D41-091B5595B992}">
  <ds:schemaRefs>
    <ds:schemaRef ds:uri="http://schemas.openxmlformats.org/officeDocument/2006/bibliography"/>
  </ds:schemaRefs>
</ds:datastoreItem>
</file>

<file path=customXml/itemProps2.xml><?xml version="1.0" encoding="utf-8"?>
<ds:datastoreItem xmlns:ds="http://schemas.openxmlformats.org/officeDocument/2006/customXml" ds:itemID="{09526C50-6F52-4284-96CA-E743AE7922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2079</Words>
  <Characters>15722</Characters>
  <Application>Microsoft Office Word</Application>
  <DocSecurity>4</DocSecurity>
  <Lines>365</Lines>
  <Paragraphs>105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VILKAVIŠKIO RAJONO SAVIVALDYBĖS BIUDŽETINIŲ, VIEŠŲJŲ ĮSTAIGŲ, KONTROLIUOJAMŲ ĮMONIŲ IR ORGANIZACIJŲ VADOVŲ ATASKAITŲ RENGIMO TVARKOS APRAŠO IR ATASKAITŲ PATEIKIMO GRAFIKO PATVIRTINIMO</vt:lpstr>
      <vt:lpstr>DĖL VILKAVIŠKIO RAJONO SAVIVALDYBĖS BIUDŽETINIŲ, VIEŠŲJŲ ĮSTAIGŲ, KONTROLIUOJAMŲ ĮMONIŲ IR ORGANIZACIJŲ VADOVŲ ATASKAITŲ RENGIMO TVARKOS APRAŠO IR ATASKAITŲ PATEIKIMO GRAFIKO PATVIRTINIMO</vt:lpstr>
    </vt:vector>
  </TitlesOfParts>
  <Manager>2016-01-29</Manager>
  <Company>Hewlett-Packard Company</Company>
  <LinksUpToDate>false</LinksUpToDate>
  <CharactersWithSpaces>17696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2025-04-14T10:53:00Z</dcterms:created>
  <dc:creator>VILKAVIŠKIO RAJONO SAVIVALDYBĖS TARYBA</dc:creator>
  <lastModifiedBy>adlibuser</lastModifiedBy>
  <lastPrinted>2025-02-25T09:44:00Z</lastPrinted>
  <dcterms:modified xsi:type="dcterms:W3CDTF">2025-04-14T10:53:00Z</dcterms:modified>
  <revision>2</revision>
  <dc:subject>B-TS-269</dc:subject>
  <dc:title>DĖL VILKAVIŠKIO RAJONO SAVIVALDYBĖS BIUDŽETINIŲ, VIEŠŲJŲ ĮSTAIGŲ, KONTROLIUOJAMŲ ĮMONIŲ IR ORGANIZACIJŲ VADOVŲ ATASKAITŲ RENGIMO TVARKOS APRAŠO IR ATASKAITŲ PATEIKIMO GRAFIKO PATVIRTINIMO</dc:title>
</coreProperties>
</file>