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ec0d2c78674a4a9f62cd71b65e999e"/>
        <w:lock w:val="sdtLocked"/>
        <w:richText/>
      </w:sdtPr>
      <w:sdtContent>
        <w:p>
          <w:pPr>
            <w:tabs>
              <w:tab w:val="center" w:pos="4819"/>
              <w:tab w:val="right" w:pos="9638"/>
            </w:tabs>
            <w:rPr>
              <w:szCs w:val="24"/>
              <w:lang w:eastAsia="lt-LT"/>
            </w:rPr>
          </w:pPr>
        </w:p>
      </w:sdtContent>
    </w:sdt>
    <w:sdt>
      <w:sdtPr>
        <w:alias w:val="patvirtinta"/>
        <w:tag w:val="part_4c6b09bfff084e53bf35f7574eb319ac"/>
        <w:lock w:val="sdtLocked"/>
        <w:richText/>
      </w:sdtPr>
      <w:sdtContent>
        <w:p>
          <w:pPr>
            <w:ind w:left="5954"/>
            <w:rPr>
              <w:szCs w:val="24"/>
              <w:lang w:eastAsia="lt-LT"/>
            </w:rPr>
          </w:pPr>
          <w:r>
            <w:rPr>
              <w:szCs w:val="24"/>
              <w:lang w:eastAsia="lt-LT"/>
            </w:rPr>
            <w:t>PATVIRTINTA</w:t>
          </w:r>
        </w:p>
        <w:p>
          <w:pPr>
            <w:ind w:left="5954"/>
            <w:jc w:val="both"/>
            <w:rPr>
              <w:szCs w:val="24"/>
              <w:lang w:eastAsia="lt-LT"/>
            </w:rPr>
          </w:pPr>
          <w:r>
            <w:rPr>
              <w:szCs w:val="24"/>
              <w:lang w:eastAsia="lt-LT"/>
            </w:rPr>
            <w:t xml:space="preserve">Šiaulių miesto savivaldybės tarybos </w:t>
          </w:r>
        </w:p>
        <w:p>
          <w:pPr>
            <w:ind w:left="5954"/>
            <w:jc w:val="both"/>
            <w:rPr>
              <w:szCs w:val="24"/>
              <w:lang w:eastAsia="lt-LT"/>
            </w:rPr>
          </w:pPr>
          <w:r>
            <w:rPr>
              <w:szCs w:val="24"/>
              <w:lang w:eastAsia="lt-LT"/>
            </w:rPr>
            <w:t xml:space="preserve">2024 m.           d. sprendimu Nr. T-</w:t>
          </w:r>
        </w:p>
        <w:p>
          <w:pPr>
            <w:ind w:left="5184" w:right="-284" w:firstLine="1296"/>
            <w:jc w:val="both"/>
            <w:rPr>
              <w:szCs w:val="24"/>
              <w:lang w:eastAsia="lt-LT"/>
            </w:rPr>
          </w:pPr>
        </w:p>
        <w:p>
          <w:pPr>
            <w:ind w:left="5184" w:right="-284" w:firstLine="1296"/>
            <w:jc w:val="both"/>
            <w:rPr>
              <w:szCs w:val="24"/>
              <w:lang w:eastAsia="lt-LT"/>
            </w:rPr>
          </w:pPr>
        </w:p>
        <w:p>
          <w:pPr>
            <w:jc w:val="center"/>
            <w:rPr>
              <w:b/>
              <w:color w:val="000000"/>
              <w:szCs w:val="24"/>
              <w:lang w:eastAsia="lt-LT"/>
            </w:rPr>
          </w:pPr>
          <w:sdt>
            <w:sdtPr>
              <w:alias w:val="Pavadinimas"/>
              <w:tag w:val="title_4c6b09bfff084e53bf35f7574eb319ac"/>
              <w:lock w:val="sdtLocked"/>
              <w:richText/>
            </w:sdtPr>
            <w:sdtContent>
              <w:r>
                <w:rPr>
                  <w:b/>
                  <w:szCs w:val="24"/>
                  <w:lang w:eastAsia="lt-LT"/>
                </w:rPr>
                <w:t xml:space="preserve">PEDAGOGŲ PRITRAUKIMO Į ŠIAULIŲ MIESTO ŠVIETIMO ĮSTAIGAS, PERKVALIFIKAVIMO IR KVALIFIKACIJOS TOBULINIMO 2024–2026 METAIS </w:t>
              </w:r>
              <w:r>
                <w:rPr>
                  <w:b/>
                  <w:color w:val="000000"/>
                  <w:szCs w:val="24"/>
                  <w:lang w:eastAsia="lt-LT"/>
                </w:rPr>
                <w:t>PROGRAMA</w:t>
              </w:r>
            </w:sdtContent>
          </w:sdt>
        </w:p>
        <w:p/>
        <w:sdt>
          <w:sdtPr>
            <w:alias w:val="skyrius"/>
            <w:tag w:val="part_8261156a529347be9f76e6ba79d6f8f5"/>
            <w:lock w:val="sdtLocked"/>
            <w:richText/>
          </w:sdtPr>
          <w:sdtContent>
            <w:p>
              <w:pPr>
                <w:tabs>
                  <w:tab w:val="left" w:pos="3119"/>
                </w:tabs>
                <w:jc w:val="center"/>
                <w:rPr>
                  <w:b/>
                  <w:smallCaps/>
                  <w:szCs w:val="24"/>
                  <w:lang w:eastAsia="lt-LT"/>
                </w:rPr>
              </w:pPr>
              <w:sdt>
                <w:sdtPr>
                  <w:alias w:val="Numeris"/>
                  <w:tag w:val="nr_8261156a529347be9f76e6ba79d6f8f5"/>
                  <w:lock w:val="sdtLocked"/>
                  <w:richText/>
                </w:sdtPr>
                <w:sdtContent>
                  <w:r>
                    <w:rPr>
                      <w:b/>
                      <w:smallCaps/>
                      <w:szCs w:val="24"/>
                      <w:lang w:eastAsia="lt-LT"/>
                    </w:rPr>
                    <w:t>I</w:t>
                  </w:r>
                </w:sdtContent>
              </w:sdt>
              <w:r>
                <w:rPr>
                  <w:b/>
                  <w:smallCaps/>
                  <w:szCs w:val="24"/>
                  <w:lang w:eastAsia="lt-LT"/>
                </w:rPr>
                <w:t xml:space="preserve"> SKYRIUS</w:t>
              </w:r>
            </w:p>
            <w:p>
              <w:pPr>
                <w:tabs>
                  <w:tab w:val="left" w:pos="3119"/>
                </w:tabs>
                <w:jc w:val="center"/>
                <w:rPr>
                  <w:szCs w:val="24"/>
                  <w:lang w:eastAsia="lt-LT"/>
                </w:rPr>
              </w:pPr>
              <w:sdt>
                <w:sdtPr>
                  <w:alias w:val="Pavadinimas"/>
                  <w:tag w:val="title_8261156a529347be9f76e6ba79d6f8f5"/>
                  <w:lock w:val="sdtLocked"/>
                  <w:richText/>
                </w:sdtPr>
                <w:sdtContent>
                  <w:r>
                    <w:rPr>
                      <w:b/>
                      <w:smallCaps/>
                      <w:szCs w:val="24"/>
                      <w:lang w:eastAsia="lt-LT"/>
                    </w:rPr>
                    <w:t>BENDROSIOS NUOSTATOS</w:t>
                  </w:r>
                </w:sdtContent>
              </w:sdt>
            </w:p>
            <w:p>
              <w:pPr>
                <w:ind w:firstLine="374"/>
                <w:jc w:val="both"/>
                <w:rPr>
                  <w:szCs w:val="24"/>
                  <w:lang w:eastAsia="lt-LT"/>
                </w:rPr>
              </w:pPr>
            </w:p>
            <w:sdt>
              <w:sdtPr>
                <w:alias w:val="1 p."/>
                <w:tag w:val="part_bde7286e80c248b7a8141dbed3efacd0"/>
                <w:lock w:val="sdtLocked"/>
                <w:richText/>
              </w:sdtPr>
              <w:sdtContent>
                <w:p>
                  <w:pPr>
                    <w:tabs>
                      <w:tab w:val="left" w:pos="993"/>
                      <w:tab w:val="left" w:pos="1134"/>
                    </w:tabs>
                    <w:ind w:firstLine="851"/>
                    <w:jc w:val="both"/>
                    <w:rPr>
                      <w:szCs w:val="24"/>
                      <w:lang w:eastAsia="lt-LT"/>
                    </w:rPr>
                  </w:pPr>
                  <w:sdt>
                    <w:sdtPr>
                      <w:alias w:val="Numeris"/>
                      <w:tag w:val="nr_bde7286e80c248b7a8141dbed3efacd0"/>
                      <w:lock w:val="sdtLocked"/>
                      <w:richText/>
                    </w:sdtPr>
                    <w:sdtContent>
                      <w:r>
                        <w:rPr>
                          <w:szCs w:val="24"/>
                          <w:lang w:eastAsia="lt-LT"/>
                        </w:rPr>
                        <w:t>1</w:t>
                      </w:r>
                    </w:sdtContent>
                  </w:sdt>
                  <w:r>
                    <w:rPr>
                      <w:szCs w:val="24"/>
                      <w:lang w:eastAsia="lt-LT"/>
                    </w:rPr>
                    <w:t>. Pedagogų pritraukimo į Šiaulių miesto švietimo įstaigas, perkvalifikavimo ir kvalifikacijos tobulinimo 2024–2026</w:t>
                  </w:r>
                  <w:r>
                    <w:rPr>
                      <w:b/>
                      <w:bCs/>
                      <w:szCs w:val="24"/>
                      <w:lang w:eastAsia="lt-LT"/>
                    </w:rPr>
                    <w:t xml:space="preserve"> </w:t>
                  </w:r>
                  <w:r>
                    <w:rPr>
                      <w:szCs w:val="24"/>
                      <w:lang w:eastAsia="lt-LT"/>
                    </w:rPr>
                    <w:t>programos (toliau – Programa) paskirtis – rengti pedagogus, pritraukti juos į švietimo įstaigas, perkvalifikuoti esamus švietimo sistemoje pedagogus, nustatyti trūkstamų specialybių mokytojų, pagalbos mokiniui specialistų (toliau – Asmuo) poreikį, numatyti pritraukimo į Šiaulių miesto savivaldybės (toliau – savivaldybė) švietimo įstaigas finansavimo sąlygas asmenims, ketinantiems dirbti pedagoginį darbą.</w:t>
                  </w:r>
                </w:p>
              </w:sdtContent>
            </w:sdt>
            <w:sdt>
              <w:sdtPr>
                <w:alias w:val="2 p."/>
                <w:tag w:val="part_612a97984b914000b7a6165918b53ee1"/>
                <w:lock w:val="sdtLocked"/>
                <w:richText/>
              </w:sdtPr>
              <w:sdtContent>
                <w:p>
                  <w:pPr>
                    <w:tabs>
                      <w:tab w:val="left" w:pos="993"/>
                      <w:tab w:val="left" w:pos="1134"/>
                    </w:tabs>
                    <w:ind w:firstLine="851"/>
                    <w:jc w:val="both"/>
                    <w:rPr>
                      <w:szCs w:val="24"/>
                      <w:lang w:eastAsia="lt-LT"/>
                    </w:rPr>
                  </w:pPr>
                  <w:sdt>
                    <w:sdtPr>
                      <w:alias w:val="Numeris"/>
                      <w:tag w:val="nr_612a97984b914000b7a6165918b53ee1"/>
                      <w:lock w:val="sdtLocked"/>
                      <w:richText/>
                    </w:sdtPr>
                    <w:sdtContent>
                      <w:r>
                        <w:rPr>
                          <w:szCs w:val="24"/>
                          <w:lang w:eastAsia="lt-LT"/>
                        </w:rPr>
                        <w:t>2</w:t>
                      </w:r>
                    </w:sdtContent>
                  </w:sdt>
                  <w:r>
                    <w:rPr>
                      <w:szCs w:val="24"/>
                      <w:lang w:eastAsia="lt-LT"/>
                    </w:rPr>
                    <w:t>. Programos įgyvendinimo kryptys:</w:t>
                  </w:r>
                </w:p>
                <w:sdt>
                  <w:sdtPr>
                    <w:alias w:val="2.1 pp."/>
                    <w:tag w:val="part_d5b4c252cfd74a5db1ef28974d17458a"/>
                    <w:lock w:val="sdtLocked"/>
                    <w:richText/>
                  </w:sdtPr>
                  <w:sdtContent>
                    <w:p>
                      <w:pPr>
                        <w:tabs>
                          <w:tab w:val="left" w:pos="993"/>
                          <w:tab w:val="left" w:pos="1134"/>
                        </w:tabs>
                        <w:ind w:firstLine="851"/>
                        <w:jc w:val="both"/>
                        <w:rPr>
                          <w:szCs w:val="24"/>
                          <w:lang w:eastAsia="lt-LT"/>
                        </w:rPr>
                      </w:pPr>
                      <w:sdt>
                        <w:sdtPr>
                          <w:alias w:val="Numeris"/>
                          <w:tag w:val="nr_d5b4c252cfd74a5db1ef28974d17458a"/>
                          <w:lock w:val="sdtLocked"/>
                          <w:richText/>
                        </w:sdtPr>
                        <w:sdtContent>
                          <w:r>
                            <w:rPr>
                              <w:szCs w:val="24"/>
                              <w:lang w:eastAsia="lt-LT"/>
                            </w:rPr>
                            <w:t>2.1</w:t>
                          </w:r>
                        </w:sdtContent>
                      </w:sdt>
                      <w:r>
                        <w:rPr>
                          <w:szCs w:val="24"/>
                          <w:lang w:eastAsia="lt-LT"/>
                        </w:rPr>
                        <w:t>. mokinių orientavimas į pedagogo profesiją;</w:t>
                      </w:r>
                    </w:p>
                  </w:sdtContent>
                </w:sdt>
                <w:sdt>
                  <w:sdtPr>
                    <w:alias w:val="2.2 pp."/>
                    <w:tag w:val="part_4bd90d72c0d64062bc3d4235f3d0964c"/>
                    <w:lock w:val="sdtLocked"/>
                    <w:richText/>
                  </w:sdtPr>
                  <w:sdtContent>
                    <w:p>
                      <w:pPr>
                        <w:tabs>
                          <w:tab w:val="left" w:pos="993"/>
                          <w:tab w:val="left" w:pos="1134"/>
                        </w:tabs>
                        <w:ind w:firstLine="851"/>
                        <w:jc w:val="both"/>
                        <w:rPr>
                          <w:szCs w:val="24"/>
                          <w:lang w:eastAsia="lt-LT"/>
                        </w:rPr>
                      </w:pPr>
                      <w:sdt>
                        <w:sdtPr>
                          <w:alias w:val="Numeris"/>
                          <w:tag w:val="nr_4bd90d72c0d64062bc3d4235f3d0964c"/>
                          <w:lock w:val="sdtLocked"/>
                          <w:richText/>
                        </w:sdtPr>
                        <w:sdtContent>
                          <w:r>
                            <w:rPr>
                              <w:szCs w:val="24"/>
                              <w:lang w:eastAsia="lt-LT"/>
                            </w:rPr>
                            <w:t>2.2</w:t>
                          </w:r>
                        </w:sdtContent>
                      </w:sdt>
                      <w:r>
                        <w:rPr>
                          <w:szCs w:val="24"/>
                          <w:lang w:eastAsia="lt-LT"/>
                        </w:rPr>
                        <w:t>. pedagogų rengimas, perkvalifikavimas ir (ar) papildomo mokomojo dalyko specializacijos įgijimas;</w:t>
                      </w:r>
                    </w:p>
                  </w:sdtContent>
                </w:sdt>
                <w:sdt>
                  <w:sdtPr>
                    <w:alias w:val="2.3 pp."/>
                    <w:tag w:val="part_38a132ad34ef48cdb4ebd7d94dd4daf3"/>
                    <w:lock w:val="sdtLocked"/>
                    <w:richText/>
                  </w:sdtPr>
                  <w:sdtContent>
                    <w:p>
                      <w:pPr>
                        <w:tabs>
                          <w:tab w:val="left" w:pos="993"/>
                          <w:tab w:val="left" w:pos="1134"/>
                        </w:tabs>
                        <w:ind w:firstLine="851"/>
                        <w:jc w:val="both"/>
                        <w:rPr>
                          <w:szCs w:val="24"/>
                          <w:lang w:eastAsia="lt-LT"/>
                        </w:rPr>
                      </w:pPr>
                      <w:sdt>
                        <w:sdtPr>
                          <w:alias w:val="Numeris"/>
                          <w:tag w:val="nr_38a132ad34ef48cdb4ebd7d94dd4daf3"/>
                          <w:lock w:val="sdtLocked"/>
                          <w:richText/>
                        </w:sdtPr>
                        <w:sdtContent>
                          <w:r>
                            <w:rPr>
                              <w:szCs w:val="24"/>
                              <w:lang w:eastAsia="lt-LT"/>
                            </w:rPr>
                            <w:t>2.3</w:t>
                          </w:r>
                        </w:sdtContent>
                      </w:sdt>
                      <w:r>
                        <w:rPr>
                          <w:szCs w:val="24"/>
                          <w:lang w:eastAsia="lt-LT"/>
                        </w:rPr>
                        <w:t xml:space="preserve">. savivaldybėje gyvenančių kitų profesijų asmenų, pageidaujančių įgyti pedagogo profesiją, perkvalifikavimas, pedagoginės kvalifikacijos įgijimas ir (ar) studijų dalinis finansavimas; </w:t>
                      </w:r>
                    </w:p>
                  </w:sdtContent>
                </w:sdt>
                <w:sdt>
                  <w:sdtPr>
                    <w:alias w:val="2.4 pp."/>
                    <w:tag w:val="part_54b431cbe1d7410d8a7b1ecbd5d66d58"/>
                    <w:lock w:val="sdtLocked"/>
                    <w:richText/>
                  </w:sdtPr>
                  <w:sdtContent>
                    <w:p>
                      <w:pPr>
                        <w:tabs>
                          <w:tab w:val="left" w:pos="993"/>
                          <w:tab w:val="left" w:pos="1134"/>
                        </w:tabs>
                        <w:ind w:firstLine="851"/>
                        <w:jc w:val="both"/>
                        <w:rPr>
                          <w:strike/>
                          <w:szCs w:val="24"/>
                          <w:lang w:eastAsia="lt-LT"/>
                        </w:rPr>
                      </w:pPr>
                      <w:sdt>
                        <w:sdtPr>
                          <w:alias w:val="Numeris"/>
                          <w:tag w:val="nr_54b431cbe1d7410d8a7b1ecbd5d66d58"/>
                          <w:lock w:val="sdtLocked"/>
                          <w:richText/>
                        </w:sdtPr>
                        <w:sdtContent>
                          <w:r>
                            <w:rPr>
                              <w:szCs w:val="24"/>
                              <w:lang w:eastAsia="lt-LT"/>
                            </w:rPr>
                            <w:t>2.4</w:t>
                          </w:r>
                        </w:sdtContent>
                      </w:sdt>
                      <w:r>
                        <w:rPr>
                          <w:szCs w:val="24"/>
                          <w:lang w:eastAsia="lt-LT"/>
                        </w:rPr>
                        <w:t>. studijų paramos skyrimas;</w:t>
                      </w:r>
                    </w:p>
                  </w:sdtContent>
                </w:sdt>
                <w:sdt>
                  <w:sdtPr>
                    <w:alias w:val="2.5 pp."/>
                    <w:tag w:val="part_2f6d5d9d15c54d9baaeffe7a0a54bf68"/>
                    <w:lock w:val="sdtLocked"/>
                    <w:richText/>
                  </w:sdtPr>
                  <w:sdtContent>
                    <w:p>
                      <w:pPr>
                        <w:tabs>
                          <w:tab w:val="left" w:pos="993"/>
                          <w:tab w:val="left" w:pos="1134"/>
                        </w:tabs>
                        <w:ind w:firstLine="851"/>
                        <w:jc w:val="both"/>
                        <w:rPr>
                          <w:szCs w:val="24"/>
                          <w:lang w:eastAsia="lt-LT"/>
                        </w:rPr>
                      </w:pPr>
                      <w:sdt>
                        <w:sdtPr>
                          <w:alias w:val="Numeris"/>
                          <w:tag w:val="nr_2f6d5d9d15c54d9baaeffe7a0a54bf68"/>
                          <w:lock w:val="sdtLocked"/>
                          <w:richText/>
                        </w:sdtPr>
                        <w:sdtContent>
                          <w:r>
                            <w:rPr>
                              <w:szCs w:val="24"/>
                              <w:lang w:eastAsia="lt-LT"/>
                            </w:rPr>
                            <w:t>2.5</w:t>
                          </w:r>
                        </w:sdtContent>
                      </w:sdt>
                      <w:r>
                        <w:rPr>
                          <w:szCs w:val="24"/>
                          <w:lang w:eastAsia="lt-LT"/>
                        </w:rPr>
                        <w:t>. pedagogų mentorystės skatinimas;</w:t>
                      </w:r>
                    </w:p>
                  </w:sdtContent>
                </w:sdt>
                <w:sdt>
                  <w:sdtPr>
                    <w:alias w:val="2.6 pp."/>
                    <w:tag w:val="part_217a5bdf920a431bbcb6b4ec274421af"/>
                    <w:lock w:val="sdtLocked"/>
                    <w:richText/>
                  </w:sdtPr>
                  <w:sdtContent>
                    <w:p>
                      <w:pPr>
                        <w:tabs>
                          <w:tab w:val="left" w:pos="993"/>
                          <w:tab w:val="left" w:pos="1134"/>
                        </w:tabs>
                        <w:ind w:firstLine="851"/>
                        <w:jc w:val="both"/>
                        <w:rPr>
                          <w:szCs w:val="24"/>
                          <w:lang w:eastAsia="lt-LT"/>
                        </w:rPr>
                      </w:pPr>
                      <w:sdt>
                        <w:sdtPr>
                          <w:alias w:val="Numeris"/>
                          <w:tag w:val="nr_217a5bdf920a431bbcb6b4ec274421af"/>
                          <w:lock w:val="sdtLocked"/>
                          <w:richText/>
                        </w:sdtPr>
                        <w:sdtContent>
                          <w:r>
                            <w:rPr>
                              <w:szCs w:val="24"/>
                              <w:lang w:eastAsia="lt-LT"/>
                            </w:rPr>
                            <w:t>2.6</w:t>
                          </w:r>
                        </w:sdtContent>
                      </w:sdt>
                      <w:r>
                        <w:rPr>
                          <w:szCs w:val="24"/>
                          <w:lang w:eastAsia="lt-LT"/>
                        </w:rPr>
                        <w:t>. finansinės paramos teikimas naujai priimtiems pedagogams;</w:t>
                      </w:r>
                    </w:p>
                  </w:sdtContent>
                </w:sdt>
                <w:sdt>
                  <w:sdtPr>
                    <w:alias w:val="2.7 pp."/>
                    <w:tag w:val="part_d0787eeeefe342fa8e91b8338c96b378"/>
                    <w:lock w:val="sdtLocked"/>
                    <w:richText/>
                  </w:sdtPr>
                  <w:sdtContent>
                    <w:p>
                      <w:pPr>
                        <w:ind w:firstLine="851"/>
                        <w:jc w:val="both"/>
                        <w:rPr>
                          <w:szCs w:val="24"/>
                          <w:lang w:eastAsia="lt-LT"/>
                        </w:rPr>
                      </w:pPr>
                      <w:sdt>
                        <w:sdtPr>
                          <w:alias w:val="Numeris"/>
                          <w:tag w:val="nr_d0787eeeefe342fa8e91b8338c96b378"/>
                          <w:lock w:val="sdtLocked"/>
                          <w:richText/>
                        </w:sdtPr>
                        <w:sdtContent>
                          <w:r>
                            <w:rPr>
                              <w:szCs w:val="24"/>
                              <w:lang w:eastAsia="lt-LT"/>
                            </w:rPr>
                            <w:t>2.7</w:t>
                          </w:r>
                        </w:sdtContent>
                      </w:sdt>
                      <w:r>
                        <w:rPr>
                          <w:szCs w:val="24"/>
                          <w:lang w:eastAsia="lt-LT"/>
                        </w:rPr>
                        <w:t>. teigiamos viešosios nuomonės apie pedagogo profesiją formavimas.</w:t>
                      </w:r>
                    </w:p>
                  </w:sdtContent>
                </w:sdt>
              </w:sdtContent>
            </w:sdt>
            <w:sdt>
              <w:sdtPr>
                <w:alias w:val="3 p."/>
                <w:tag w:val="part_9c405080d7494db6be934422de80cfb9"/>
                <w:lock w:val="sdtLocked"/>
                <w:richText/>
              </w:sdtPr>
              <w:sdtContent>
                <w:p>
                  <w:pPr>
                    <w:tabs>
                      <w:tab w:val="left" w:pos="993"/>
                      <w:tab w:val="left" w:pos="1134"/>
                    </w:tabs>
                    <w:ind w:firstLine="851"/>
                    <w:jc w:val="both"/>
                    <w:rPr>
                      <w:szCs w:val="24"/>
                      <w:lang w:eastAsia="lt-LT"/>
                    </w:rPr>
                  </w:pPr>
                  <w:sdt>
                    <w:sdtPr>
                      <w:alias w:val="Numeris"/>
                      <w:tag w:val="nr_9c405080d7494db6be934422de80cfb9"/>
                      <w:lock w:val="sdtLocked"/>
                      <w:richText/>
                    </w:sdtPr>
                    <w:sdtContent>
                      <w:r>
                        <w:rPr>
                          <w:szCs w:val="24"/>
                          <w:lang w:eastAsia="lt-LT"/>
                        </w:rPr>
                        <w:t>3</w:t>
                      </w:r>
                    </w:sdtContent>
                  </w:sdt>
                  <w:r>
                    <w:rPr>
                      <w:szCs w:val="24"/>
                      <w:lang w:eastAsia="lt-LT"/>
                    </w:rPr>
                    <w:t>. Programa parengta vadovaujantis Aštuonioliktosios Lietuvos Respublikos Vyriausybės programa, Valstybinės švietimo 2013–2022 metų strategijos nuostatomis,</w:t>
                  </w:r>
                  <w:r>
                    <w:rPr>
                      <w:color w:val="FF0000"/>
                      <w:szCs w:val="24"/>
                      <w:lang w:eastAsia="lt-LT"/>
                    </w:rPr>
                    <w:t xml:space="preserve"> </w:t>
                  </w:r>
                  <w:r>
                    <w:rPr>
                      <w:szCs w:val="24"/>
                      <w:lang w:eastAsia="lt-LT"/>
                    </w:rPr>
                    <w:t xml:space="preserve">Geros mokyklos koncepcija, Šiaulių miesto savivaldybės 2024–2026 metų strateginio veiklos plano </w:t>
                  </w:r>
                  <w:r>
                    <w:rPr>
                      <w:color w:val="000000"/>
                      <w:szCs w:val="24"/>
                      <w:lang w:eastAsia="lt-LT"/>
                    </w:rPr>
                    <w:t xml:space="preserve">Švietimo prieinamumo ir kokybės užtikrinimo </w:t>
                  </w:r>
                  <w:r>
                    <w:rPr>
                      <w:szCs w:val="24"/>
                      <w:lang w:eastAsia="lt-LT"/>
                    </w:rPr>
                    <w:t>programos (kodas 08) „</w:t>
                  </w:r>
                  <w:r>
                    <w:rPr>
                      <w:color w:val="000000"/>
                      <w:szCs w:val="24"/>
                      <w:lang w:eastAsia="lt-LT"/>
                    </w:rPr>
                    <w:t>Plėtoti inovatyvią švietimo sistemą, ugdančią aktyvią ir kūrybingą asmenybę</w:t>
                  </w:r>
                  <w:r>
                    <w:rPr>
                      <w:szCs w:val="24"/>
                      <w:lang w:eastAsia="lt-LT"/>
                    </w:rPr>
                    <w:t xml:space="preserve">“ uždaviniu „Gerinti švietimo prieinamumą ir pristatyti švietimo veiklą“ (kodas 08.01.01), atsižvelgta į valstybinius švietimo būklės ir savivaldybės švietimo stebėsenos rezultatus ir </w:t>
                  </w:r>
                  <w:r>
                    <w:rPr>
                      <w:color w:val="000000"/>
                      <w:szCs w:val="24"/>
                      <w:lang w:eastAsia="lt-LT"/>
                    </w:rPr>
                    <w:t>įvertinus mokytojų ir pagalbos mokiniui specialistų poreikį savivaldybės neformaliojo vaikų švietimo, bendrojo ir ikimokyklinio ugdymo įstaigose (toliau – švietimo įstaigos).</w:t>
                  </w:r>
                  <w:r>
                    <w:rPr>
                      <w:szCs w:val="24"/>
                      <w:lang w:eastAsia="lt-LT"/>
                    </w:rPr>
                    <w:t xml:space="preserve"> Apraše numatytomis priemonėmis siekiama prisidėti prie idėjos Lietuvai „Mokytojas – prestižinė profesija iki 2025 metų“ įgyvendinimo savivaldybėje. </w:t>
                  </w:r>
                </w:p>
                <w:p>
                  <w:pPr>
                    <w:ind w:left="568"/>
                    <w:jc w:val="both"/>
                    <w:rPr>
                      <w:szCs w:val="24"/>
                      <w:lang w:eastAsia="lt-LT"/>
                    </w:rPr>
                  </w:pPr>
                </w:p>
              </w:sdtContent>
            </w:sdt>
          </w:sdtContent>
        </w:sdt>
        <w:sdt>
          <w:sdtPr>
            <w:alias w:val="skyrius"/>
            <w:tag w:val="part_edfd29280374472b88d9a61d658b6e08"/>
            <w:lock w:val="sdtLocked"/>
            <w:richText/>
          </w:sdtPr>
          <w:sdtContent>
            <w:p>
              <w:pPr>
                <w:jc w:val="center"/>
                <w:rPr>
                  <w:b/>
                  <w:smallCaps/>
                  <w:szCs w:val="24"/>
                  <w:lang w:eastAsia="lt-LT"/>
                </w:rPr>
              </w:pPr>
              <w:sdt>
                <w:sdtPr>
                  <w:alias w:val="Numeris"/>
                  <w:tag w:val="nr_edfd29280374472b88d9a61d658b6e08"/>
                  <w:lock w:val="sdtLocked"/>
                  <w:richText/>
                </w:sdtPr>
                <w:sdtContent>
                  <w:r>
                    <w:rPr>
                      <w:b/>
                      <w:smallCaps/>
                      <w:szCs w:val="24"/>
                      <w:lang w:eastAsia="lt-LT"/>
                    </w:rPr>
                    <w:t>II</w:t>
                  </w:r>
                </w:sdtContent>
              </w:sdt>
              <w:r>
                <w:rPr>
                  <w:b/>
                  <w:smallCaps/>
                  <w:szCs w:val="24"/>
                  <w:lang w:eastAsia="lt-LT"/>
                </w:rPr>
                <w:t xml:space="preserve"> SKYRIUS</w:t>
              </w:r>
            </w:p>
            <w:p>
              <w:pPr>
                <w:jc w:val="center"/>
                <w:rPr>
                  <w:szCs w:val="24"/>
                  <w:lang w:eastAsia="lt-LT"/>
                </w:rPr>
              </w:pPr>
              <w:sdt>
                <w:sdtPr>
                  <w:alias w:val="Pavadinimas"/>
                  <w:tag w:val="title_edfd29280374472b88d9a61d658b6e08"/>
                  <w:lock w:val="sdtLocked"/>
                  <w:richText/>
                </w:sdtPr>
                <w:sdtContent>
                  <w:r>
                    <w:rPr>
                      <w:b/>
                      <w:smallCaps/>
                      <w:szCs w:val="24"/>
                      <w:lang w:eastAsia="lt-LT"/>
                    </w:rPr>
                    <w:t>SITUACIJOS ANALIZĖ LIETUVOJE IR ŠIAULIŲ MIESTE</w:t>
                  </w:r>
                </w:sdtContent>
              </w:sdt>
            </w:p>
            <w:p>
              <w:pPr>
                <w:ind w:firstLine="374"/>
                <w:jc w:val="center"/>
                <w:rPr>
                  <w:szCs w:val="24"/>
                  <w:lang w:eastAsia="lt-LT"/>
                </w:rPr>
              </w:pPr>
            </w:p>
            <w:sdt>
              <w:sdtPr>
                <w:alias w:val="4 p."/>
                <w:tag w:val="part_c598956bd4a94e069da121aa3bcd752d"/>
                <w:lock w:val="sdtLocked"/>
                <w:richText/>
              </w:sdtPr>
              <w:sdtContent>
                <w:p>
                  <w:pPr>
                    <w:tabs>
                      <w:tab w:val="left" w:pos="851"/>
                    </w:tabs>
                    <w:ind w:firstLine="851"/>
                    <w:jc w:val="both"/>
                    <w:rPr>
                      <w:szCs w:val="24"/>
                      <w:lang w:eastAsia="lt-LT"/>
                    </w:rPr>
                  </w:pPr>
                  <w:sdt>
                    <w:sdtPr>
                      <w:alias w:val="Numeris"/>
                      <w:tag w:val="nr_c598956bd4a94e069da121aa3bcd752d"/>
                      <w:lock w:val="sdtLocked"/>
                      <w:richText/>
                    </w:sdtPr>
                    <w:sdtContent>
                      <w:r>
                        <w:rPr>
                          <w:szCs w:val="24"/>
                          <w:lang w:eastAsia="lt-LT"/>
                        </w:rPr>
                        <w:t>4</w:t>
                      </w:r>
                    </w:sdtContent>
                  </w:sdt>
                  <w:r>
                    <w:rPr>
                      <w:szCs w:val="24"/>
                      <w:lang w:eastAsia="lt-LT"/>
                    </w:rPr>
                    <w:t xml:space="preserve">. Aštuonioliktajai Lietuvos Respublikos Vyriausybei (toliau – Vyriausybė) svarbu, kad mokytojo profesija taptų perspektyvi ir jauni žmonės matytų prasmę rinktis mokytojo kelią. Vyriausybės programoje akcentuojama patraukli mokytojo darbo vieta, galimybė pedagogams įgyti kompetencijas dėstyti antrą dalyką, sąlygos kiekvienam Lietuvos gyventojui mokytis visą gyvenimą. </w:t>
                  </w:r>
                </w:p>
                <w:p>
                  <w:pPr>
                    <w:tabs>
                      <w:tab w:val="left" w:pos="851"/>
                    </w:tabs>
                    <w:ind w:firstLine="851"/>
                    <w:jc w:val="both"/>
                    <w:rPr>
                      <w:szCs w:val="24"/>
                      <w:lang w:eastAsia="lt-LT"/>
                    </w:rPr>
                  </w:pPr>
                  <w:r>
                    <w:rPr>
                      <w:szCs w:val="24"/>
                      <w:lang w:eastAsia="lt-LT"/>
                    </w:rPr>
                    <w:t>Valstybinės švietimo 2013–2022 metų strategijos (toliau – Strategija</w:t>
                  </w:r>
                  <w:r>
                    <w:rPr>
                      <w:color w:val="000000"/>
                      <w:szCs w:val="24"/>
                      <w:lang w:eastAsia="lt-LT"/>
                    </w:rPr>
                    <w:t xml:space="preserve">) tiksluose ir švietimo kaitos kryptyse (uždaviniuose) </w:t>
                  </w:r>
                  <w:r>
                    <w:rPr>
                      <w:szCs w:val="24"/>
                      <w:lang w:eastAsia="lt-LT"/>
                    </w:rPr>
                    <w:t>pažymima, kad parama jaunam, pradedančiam veiklą mokytojui yra svarbi sukuriant palankias sąlygas karjerai. Pirmasis Strategijos tikslas – pasiekti tokį pedagoginių bendruomenių lygį, kai jų daugumą sudaro nuolat tobulėjantys, rezultatyviai dirbantys profesionalūs mokytojai. Šiam Strategijos tikslui pasiekti veiklos kryptyse (uždaviniuose) numatyta motyvuoti gabius jaunus žmones rinktis karjerą formaliojo ir neformaliojo švietimo įstaigose, stiprinti motyvaciją suteikiant galimybių mokytojams nuolat tobulinti kvalifikaciją plečiant kultūrinį akiratį, didinant šiuolaikinių technologijų išmanymą, orientuojantis į kūrybiškumo, pilietiškumo, lyderystės, verslumo ugdymą ir atrandant įvairesnį pedagoginių funkcijų spektrą.</w:t>
                  </w:r>
                </w:p>
                <w:p>
                  <w:pPr>
                    <w:tabs>
                      <w:tab w:val="left" w:pos="851"/>
                      <w:tab w:val="left" w:pos="993"/>
                    </w:tabs>
                    <w:ind w:firstLine="851"/>
                    <w:jc w:val="both"/>
                    <w:rPr>
                      <w:szCs w:val="24"/>
                      <w:lang w:eastAsia="lt-LT"/>
                    </w:rPr>
                  </w:pPr>
                  <w:r>
                    <w:rPr>
                      <w:szCs w:val="24"/>
                      <w:lang w:eastAsia="lt-LT"/>
                    </w:rPr>
                    <w:t>Lietuvos Respublikos švietimo, mokslo ir sporto ministerijos analizėje „Lietuva. Švietimas šalyje ir regionuose 2022. Įtraukusis ugdymas“ Šiaulių miesto savivaldybei rekomenduota ir toliau kryptingai vykdyti kompleksines priemones, skirtas įtraukiajam ugdymui įgyvendinti: padidinti švietimo pagalbos specialistų skaičių ir specialiųjų ugdymosi poreikių turinčių mokinių įtrauktį bendrosiose klasėse. Siekiant geresnių ugdymo rezultatų, rekomenduojama daugiau dėmesio skirti gabių mokinių ugdymui, skatinti juos dalyvauti olimpiadose ir konkursuose, neformaliojo švietimo veiklose; atkreipti dėmesį į šiek tiek sumažėjusią aukštos kvalifikacijos mokytojų dalį. Mažinant ugdymo rezultatų skirtumus tarp švietimo įstaigų, vaikinų ir merginų, rekomenduota geriau tenkinti individualius mokinių mokymosi poreikius. Būtina gerinti vidurinio ugdymo programos mokinių užsienio kalbos, gamtos mokslų, geografijos ir informacinių technologijų mokymosi pasiekimus.</w:t>
                  </w:r>
                </w:p>
              </w:sdtContent>
            </w:sdt>
            <w:sdt>
              <w:sdtPr>
                <w:alias w:val="5 p."/>
                <w:tag w:val="part_cd7bec0c93174f77a16db7608f955565"/>
                <w:lock w:val="sdtLocked"/>
                <w:richText/>
              </w:sdtPr>
              <w:sdtContent>
                <w:p>
                  <w:pPr>
                    <w:ind w:firstLine="851"/>
                    <w:jc w:val="both"/>
                    <w:rPr>
                      <w:szCs w:val="24"/>
                      <w:lang w:eastAsia="lt-LT"/>
                    </w:rPr>
                  </w:pPr>
                  <w:sdt>
                    <w:sdtPr>
                      <w:alias w:val="Numeris"/>
                      <w:tag w:val="nr_cd7bec0c93174f77a16db7608f955565"/>
                      <w:lock w:val="sdtLocked"/>
                      <w:richText/>
                    </w:sdtPr>
                    <w:sdtContent>
                      <w:r>
                        <w:rPr>
                          <w:szCs w:val="24"/>
                          <w:lang w:eastAsia="lt-LT"/>
                        </w:rPr>
                        <w:t>5</w:t>
                      </w:r>
                    </w:sdtContent>
                  </w:sdt>
                  <w:r>
                    <w:rPr>
                      <w:szCs w:val="24"/>
                      <w:lang w:eastAsia="lt-LT"/>
                    </w:rPr>
                    <w:t>. Geros mokyklos koncepcijoje teigiama, kad mokykla įdomi ir įvairiapusė tiek, kiek įvairūs joje dirbantys žmonės: įvairaus amžiaus, moterys ir vyrai, skirtingų kompetencijų ir gyvenimo patirties. Vienas iš geros mokyklos požymių – subalansuotas kartų kaitumas, užtikrinantis jaunatviško iniciatyvumo ir kūrybiškumo bei gilių dalyko žinių ir gyvenimiškos išminties pusiausvyrą. Savivaldybės švietimo įstaigos susiduria su mokytojų amžėjimo</w:t>
                  </w:r>
                  <w:r>
                    <w:rPr>
                      <w:color w:val="FF0000"/>
                      <w:szCs w:val="24"/>
                      <w:lang w:eastAsia="lt-LT"/>
                    </w:rPr>
                    <w:t xml:space="preserve"> </w:t>
                  </w:r>
                  <w:r>
                    <w:rPr>
                      <w:szCs w:val="24"/>
                      <w:lang w:eastAsia="lt-LT"/>
                    </w:rPr>
                    <w:t>problema – didėja vyresnio amžiaus ir didesnę pedagoginio darbo patirtį turinčių pedagoginių darbuotojų skaičius, į švietimo įstaigas ateina dirbti mažai jaunų specialistų. Per pastaruosius</w:t>
                  </w:r>
                  <w:r>
                    <w:rPr>
                      <w:b/>
                      <w:szCs w:val="24"/>
                      <w:lang w:eastAsia="lt-LT"/>
                    </w:rPr>
                    <w:t xml:space="preserve"> </w:t>
                  </w:r>
                  <w:r>
                    <w:rPr>
                      <w:bCs/>
                      <w:szCs w:val="24"/>
                      <w:lang w:eastAsia="lt-LT"/>
                    </w:rPr>
                    <w:t xml:space="preserve">šešerius </w:t>
                  </w:r>
                  <w:r>
                    <w:rPr>
                      <w:szCs w:val="24"/>
                      <w:lang w:eastAsia="lt-LT"/>
                    </w:rPr>
                    <w:t>metus švietimo įstaigose pradėjo dirbti daugiau aukštąsias mokyklas baigusių jaunų pedagoginių darbuotojų (2018 m. – 3 (chemijos, prancūzų kalbos mokytojai ir logopedas), 2019 m. – 2 (lietuvių kalbos ir literatūros mokytojas ir psichologas), 2020 m. – 7 (2 pradinio ugdymo, po 1 tikybos, anglų kalbos, istorijos, matematikos ir neformaliojo vaikų švietimo mokytoją), 2021 m. nebuvo jaunų pedagoginių darbuotojų, 2022 m. – 7 (3 specialieji pedagogai, po 1 priešmokyklinio ugdymo pedagogą, pradinio ugdymo, specialiosios klasės ir istorijos mokytoją), 2023 m. – 12 (po 2 trenerius, muzikos, pradinio ugdymo, neformaliojo vaikų švietimo mokytojus, po 1 psichologą, specialųjį pedagogą, anglų kalbos, fizikos, matematikos mokytoją).</w:t>
                  </w:r>
                </w:p>
                <w:p>
                  <w:pPr>
                    <w:tabs>
                      <w:tab w:val="left" w:pos="851"/>
                      <w:tab w:val="left" w:pos="993"/>
                    </w:tabs>
                    <w:ind w:firstLine="851"/>
                    <w:jc w:val="both"/>
                    <w:rPr>
                      <w:szCs w:val="24"/>
                      <w:lang w:eastAsia="lt-LT"/>
                    </w:rPr>
                  </w:pPr>
                  <w:r>
                    <w:rPr>
                      <w:szCs w:val="24"/>
                      <w:lang w:eastAsia="lt-LT"/>
                    </w:rPr>
                    <w:t>2021–2024 m. m. Lietuvos mokyklų mokytojų kartu su priešmokyklinio ugdymo mokytojais amžiaus vidurkis – 50,5 metų, o Šiaulių miesto – 51,06 metai. Savivaldybės bendrojo ugdymo mokyklų (toliau – BUM) pedagogų pasiskirstymas pagal amžiaus grupes 2018–2024 m. pateikiamas 1 pav.</w:t>
                  </w:r>
                </w:p>
                <w:p>
                  <w:pPr>
                    <w:ind w:left="9072" w:firstLine="1296"/>
                    <w:jc w:val="center"/>
                    <w:rPr>
                      <w:i/>
                      <w:iCs/>
                      <w:sz w:val="20"/>
                      <w:lang w:eastAsia="lt-LT"/>
                    </w:rPr>
                  </w:pPr>
                </w:p>
                <w:p>
                  <w:pPr>
                    <w:rPr>
                      <w:sz w:val="18"/>
                      <w:szCs w:val="18"/>
                    </w:rPr>
                  </w:pPr>
                </w:p>
                <w:p>
                  <w:pPr>
                    <w:jc w:val="center"/>
                    <w:rPr>
                      <w:szCs w:val="24"/>
                      <w:lang w:eastAsia="lt-LT"/>
                    </w:rPr>
                  </w:pPr>
                  <w:r>
                    <w:rPr>
                      <w:szCs w:val="24"/>
                      <w:lang w:eastAsia="lt-LT"/>
                    </w:rPr>
                    <w:t xml:space="preserve">1 pav. </w:t>
                  </w:r>
                  <w:r>
                    <w:rPr>
                      <w:b/>
                      <w:bCs/>
                      <w:szCs w:val="24"/>
                      <w:lang w:eastAsia="lt-LT"/>
                    </w:rPr>
                    <w:t>Savivaldybės BUM pedagogų pasiskirstymas pagal amžiaus grupes (proc.)</w:t>
                  </w:r>
                </w:p>
                <w:p>
                  <w:pPr>
                    <w:tabs>
                      <w:tab w:val="left" w:pos="851"/>
                    </w:tabs>
                    <w:jc w:val="center"/>
                    <w:rPr>
                      <w:szCs w:val="24"/>
                      <w:lang w:eastAsia="lt-LT"/>
                    </w:rPr>
                  </w:pPr>
                </w:p>
                <w:p>
                  <w:pPr>
                    <w:tabs>
                      <w:tab w:val="left" w:pos="851"/>
                    </w:tabs>
                    <w:jc w:val="center"/>
                    <w:rPr>
                      <w:szCs w:val="24"/>
                      <w:lang w:eastAsia="lt-LT"/>
                    </w:rPr>
                  </w:pPr>
                  <w:r>
                    <w:rPr>
                      <w:szCs w:val="24"/>
                      <w:lang w:val="en-US"/>
                      <w14:ligatures w14:val="standardContextual"/>
                    </w:rPr>
                    <w:drawing>
                      <wp:inline distT="0" distB="0" distL="0" distR="0" wp14:anchorId="55EB059E" wp14:editId="2D63DB52">
                        <wp:extent cx="6101080" cy="2213610"/>
                        <wp:effectExtent l="0" t="0" r="13970" b="15240"/>
                        <wp:docPr id="556660104" name="Diagrama 1">
                          <a:extLst xmlns:a="http://schemas.openxmlformats.org/drawingml/2006/main">
                            <a:ext uri="{FF2B5EF4-FFF2-40B4-BE49-F238E27FC236}">
                              <a16:creationId xmlns:a16="http://schemas.microsoft.com/office/drawing/2014/main" id="{4083D74F-D189-14F2-BEA8-A48D2FCC2579}"/>
                            </a:ext>
                          </a:extLst>
                        </wp:docPr>
                        <wp:cNvGraphicFramePr/>
                        <a:graphic xmlns:a="http://schemas.openxmlformats.org/drawingml/2006/main">
                          <a:graphicData uri="http://schemas.openxmlformats.org/drawingml/2006/chart">
                            <c:chart xmlns:c="http://schemas.openxmlformats.org/drawingml/2006/chart" r:id="rId7"/>
                          </a:graphicData>
                        </a:graphic>
                      </wp:inline>
                    </w:drawing>
                  </w:r>
                </w:p>
                <w:p>
                  <w:pPr>
                    <w:tabs>
                      <w:tab w:val="left" w:pos="851"/>
                    </w:tabs>
                    <w:jc w:val="right"/>
                    <w:rPr>
                      <w:i/>
                      <w:iCs/>
                      <w:sz w:val="20"/>
                      <w:lang w:eastAsia="lt-LT"/>
                    </w:rPr>
                  </w:pPr>
                  <w:r>
                    <w:rPr>
                      <w:i/>
                      <w:iCs/>
                      <w:sz w:val="20"/>
                      <w:lang w:eastAsia="lt-LT"/>
                    </w:rPr>
                    <w:t>Duomenų šaltinis – Švietimo valdymo informacinė sistema (toliau – ŠVIS)</w:t>
                  </w:r>
                </w:p>
                <w:p>
                  <w:pPr>
                    <w:tabs>
                      <w:tab w:val="left" w:pos="851"/>
                    </w:tabs>
                    <w:jc w:val="right"/>
                    <w:rPr>
                      <w:szCs w:val="24"/>
                      <w:lang w:eastAsia="lt-LT"/>
                    </w:rPr>
                  </w:pPr>
                </w:p>
                <w:p>
                  <w:pPr>
                    <w:tabs>
                      <w:tab w:val="left" w:pos="851"/>
                    </w:tabs>
                    <w:ind w:firstLine="851"/>
                    <w:jc w:val="both"/>
                    <w:rPr>
                      <w:szCs w:val="24"/>
                      <w:lang w:eastAsia="lt-LT"/>
                    </w:rPr>
                  </w:pPr>
                  <w:r>
                    <w:rPr>
                      <w:szCs w:val="24"/>
                      <w:lang w:eastAsia="lt-LT"/>
                    </w:rPr>
                    <w:t>Išanalizavus 1 pav. pateiktus duomenis matyti, kad savivaldybėje vyrauja vyresnio amžiaus specialistai (55–59 metų amžiaus grupė). Darytina prielaida, kad po dešimties metų dabartinė jaunesnių nei 25 m. ir 25–34 metų pedagogų grupė, jeigu situacija švietimo įstaigose negerės, negalės patenkinti viso pedagogų poreikio savivaldybėje.</w:t>
                  </w:r>
                </w:p>
                <w:p>
                  <w:pPr>
                    <w:tabs>
                      <w:tab w:val="left" w:pos="851"/>
                      <w:tab w:val="left" w:pos="993"/>
                    </w:tabs>
                    <w:ind w:firstLine="851"/>
                    <w:jc w:val="both"/>
                    <w:rPr>
                      <w:szCs w:val="24"/>
                      <w:lang w:eastAsia="lt-LT"/>
                    </w:rPr>
                  </w:pPr>
                  <w:r>
                    <w:rPr>
                      <w:szCs w:val="24"/>
                      <w:lang w:eastAsia="lt-LT"/>
                    </w:rPr>
                    <w:t>Savivaldybės BUM ir ikimokyklinio ugdymo įstaigų pedagogų pasiskirstymas pagal amžiaus grupes 2022–2024 m. pateikiamas 2 ir 3 pav.</w:t>
                  </w:r>
                </w:p>
                <w:p>
                  <w:pPr>
                    <w:tabs>
                      <w:tab w:val="left" w:pos="851"/>
                      <w:tab w:val="left" w:pos="993"/>
                    </w:tabs>
                    <w:ind w:firstLine="851"/>
                    <w:jc w:val="both"/>
                    <w:rPr>
                      <w:szCs w:val="24"/>
                      <w:lang w:eastAsia="lt-LT"/>
                    </w:rPr>
                  </w:pPr>
                </w:p>
                <w:p>
                  <w:pPr>
                    <w:jc w:val="center"/>
                    <w:rPr>
                      <w:szCs w:val="24"/>
                      <w:lang w:eastAsia="lt-LT"/>
                    </w:rPr>
                  </w:pPr>
                  <w:r>
                    <w:rPr>
                      <w:szCs w:val="24"/>
                      <w:lang w:eastAsia="lt-LT"/>
                    </w:rPr>
                    <w:t xml:space="preserve">2 pav. </w:t>
                  </w:r>
                  <w:r>
                    <w:rPr>
                      <w:b/>
                      <w:bCs/>
                      <w:szCs w:val="24"/>
                      <w:lang w:eastAsia="lt-LT"/>
                    </w:rPr>
                    <w:t>Savivaldybės</w:t>
                  </w:r>
                  <w:r>
                    <w:rPr>
                      <w:szCs w:val="24"/>
                      <w:lang w:eastAsia="lt-LT"/>
                    </w:rPr>
                    <w:t xml:space="preserve"> </w:t>
                  </w:r>
                  <w:r>
                    <w:rPr>
                      <w:b/>
                      <w:bCs/>
                      <w:szCs w:val="24"/>
                      <w:lang w:eastAsia="lt-LT"/>
                    </w:rPr>
                    <w:t>BUM ir ikimokyklinio ugdymo pedagogų pasiskirstymas pagal amžiaus grupes 2022–2023 m. m. (proc.)</w:t>
                  </w:r>
                </w:p>
                <w:p>
                  <w:pPr>
                    <w:tabs>
                      <w:tab w:val="left" w:pos="993"/>
                    </w:tabs>
                    <w:jc w:val="both"/>
                    <w:rPr>
                      <w:szCs w:val="24"/>
                      <w:lang w:eastAsia="lt-LT"/>
                    </w:rPr>
                  </w:pPr>
                  <w:r>
                    <w:rPr>
                      <w:szCs w:val="24"/>
                      <w:lang w:val="en-US"/>
                    </w:rPr>
                    <w:drawing>
                      <wp:inline distT="0" distB="0" distL="0" distR="0" wp14:anchorId="4DD6066C" wp14:editId="18960747">
                        <wp:extent cx="6141085" cy="1955653"/>
                        <wp:effectExtent l="0" t="0" r="12065" b="6985"/>
                        <wp:docPr id="1007995188" name="Diagrama 1">
                          <a:extLst xmlns:a="http://schemas.openxmlformats.org/drawingml/2006/main">
                            <a:ext uri="{FF2B5EF4-FFF2-40B4-BE49-F238E27FC236}">
                              <a16:creationId xmlns:a16="http://schemas.microsoft.com/office/drawing/2014/main" id="{4B0930E2-B719-EAD2-6F5F-7514A014B31D}"/>
                            </a:ext>
                          </a:extLst>
                        </wp:docPr>
                        <wp:cNvGraphicFramePr/>
                        <a:graphic xmlns:a="http://schemas.openxmlformats.org/drawingml/2006/main">
                          <a:graphicData uri="http://schemas.openxmlformats.org/drawingml/2006/chart">
                            <c:chart xmlns:c="http://schemas.openxmlformats.org/drawingml/2006/chart" r:id="rId8"/>
                          </a:graphicData>
                        </a:graphic>
                      </wp:inline>
                    </w:drawing>
                  </w:r>
                </w:p>
                <w:p>
                  <w:pPr>
                    <w:tabs>
                      <w:tab w:val="left" w:pos="851"/>
                    </w:tabs>
                    <w:jc w:val="right"/>
                    <w:rPr>
                      <w:i/>
                      <w:iCs/>
                      <w:sz w:val="20"/>
                      <w:lang w:eastAsia="lt-LT"/>
                    </w:rPr>
                  </w:pPr>
                  <w:r>
                    <w:rPr>
                      <w:i/>
                      <w:iCs/>
                      <w:sz w:val="20"/>
                      <w:lang w:eastAsia="lt-LT"/>
                    </w:rPr>
                    <w:t>Duomenų šaltinis – ŠVIS</w:t>
                  </w:r>
                </w:p>
                <w:p>
                  <w:pPr>
                    <w:tabs>
                      <w:tab w:val="left" w:pos="993"/>
                    </w:tabs>
                    <w:rPr>
                      <w:szCs w:val="24"/>
                      <w:lang w:eastAsia="lt-LT"/>
                    </w:rPr>
                  </w:pPr>
                </w:p>
                <w:p>
                  <w:pPr>
                    <w:jc w:val="center"/>
                    <w:rPr>
                      <w:b/>
                      <w:bCs/>
                      <w:szCs w:val="24"/>
                      <w:lang w:eastAsia="lt-LT"/>
                    </w:rPr>
                  </w:pPr>
                  <w:r>
                    <w:rPr>
                      <w:szCs w:val="24"/>
                      <w:lang w:eastAsia="lt-LT"/>
                    </w:rPr>
                    <w:t xml:space="preserve">3 pav. </w:t>
                  </w:r>
                  <w:r>
                    <w:rPr>
                      <w:b/>
                      <w:bCs/>
                      <w:szCs w:val="24"/>
                      <w:lang w:eastAsia="lt-LT"/>
                    </w:rPr>
                    <w:t>Savivaldybės BUM ir ikimokyklinio ugdymo pedagogų pasiskirstymas pagal amžiaus grupes 2023–2024 m. m. (proc.)</w:t>
                  </w:r>
                </w:p>
                <w:p>
                  <w:pPr>
                    <w:rPr>
                      <w:szCs w:val="24"/>
                      <w:lang w:eastAsia="lt-LT"/>
                    </w:rPr>
                  </w:pPr>
                  <w:r>
                    <w:rPr>
                      <w:szCs w:val="24"/>
                      <w:lang w:val="en-US"/>
                      <w14:ligatures w14:val="standardContextual"/>
                    </w:rPr>
                    <w:drawing>
                      <wp:inline distT="0" distB="0" distL="0" distR="0" wp14:anchorId="348E21FF" wp14:editId="3234FB6B">
                        <wp:extent cx="6120130" cy="1929130"/>
                        <wp:effectExtent l="0" t="0" r="13970" b="13970"/>
                        <wp:docPr id="623541003" name="Diagrama 1">
                          <a:extLst xmlns:a="http://schemas.openxmlformats.org/drawingml/2006/main">
                            <a:ext uri="{FF2B5EF4-FFF2-40B4-BE49-F238E27FC236}">
                              <a16:creationId xmlns:a16="http://schemas.microsoft.com/office/drawing/2014/main" id="{CF05534C-1F5B-7F94-D09E-76846C0AC3A4}"/>
                            </a:ext>
                          </a:extLst>
                        </wp:docPr>
                        <wp:cNvGraphicFramePr/>
                        <a:graphic xmlns:a="http://schemas.openxmlformats.org/drawingml/2006/main">
                          <a:graphicData uri="http://schemas.openxmlformats.org/drawingml/2006/chart">
                            <c:chart xmlns:c="http://schemas.openxmlformats.org/drawingml/2006/chart" r:id="rId9"/>
                          </a:graphicData>
                        </a:graphic>
                      </wp:inline>
                    </w:drawing>
                  </w:r>
                </w:p>
                <w:p>
                  <w:pPr>
                    <w:tabs>
                      <w:tab w:val="left" w:pos="993"/>
                    </w:tabs>
                    <w:jc w:val="right"/>
                    <w:rPr>
                      <w:i/>
                      <w:iCs/>
                      <w:sz w:val="20"/>
                      <w:lang w:eastAsia="lt-LT"/>
                    </w:rPr>
                  </w:pPr>
                  <w:r>
                    <w:rPr>
                      <w:i/>
                      <w:iCs/>
                      <w:sz w:val="20"/>
                      <w:lang w:eastAsia="lt-LT"/>
                    </w:rPr>
                    <w:t>Duomenų šaltinis – ŠVIS</w:t>
                  </w:r>
                </w:p>
                <w:p>
                  <w:pPr>
                    <w:tabs>
                      <w:tab w:val="left" w:pos="993"/>
                    </w:tabs>
                    <w:jc w:val="center"/>
                    <w:rPr>
                      <w:szCs w:val="24"/>
                      <w:lang w:eastAsia="lt-LT"/>
                    </w:rPr>
                  </w:pPr>
                </w:p>
                <w:p>
                  <w:pPr>
                    <w:tabs>
                      <w:tab w:val="left" w:pos="993"/>
                    </w:tabs>
                    <w:ind w:firstLine="851"/>
                    <w:jc w:val="both"/>
                    <w:rPr>
                      <w:szCs w:val="24"/>
                      <w:lang w:eastAsia="lt-LT"/>
                    </w:rPr>
                  </w:pPr>
                  <w:r>
                    <w:rPr>
                      <w:szCs w:val="24"/>
                      <w:lang w:eastAsia="lt-LT"/>
                    </w:rPr>
                    <w:t xml:space="preserve">Palyginus 2022–2023 m. m. ir 2023–2024 m. m. duomenis apie pedagogų amžių (žr. 2 ir 3 pav.) matyti, kad ikimokyklinio ugdymo įstaigose 2023–2024 m. nežymiai sumažėjo 45–49 m. amžiaus specialistų skaičius ir padidėjo 60 m. ir vyresnių specialistų skaičius, o BUM padidėjo 55–59 metų amžiaus specialistų skaičius. </w:t>
                  </w:r>
                </w:p>
                <w:p>
                  <w:pPr>
                    <w:tabs>
                      <w:tab w:val="left" w:pos="993"/>
                    </w:tabs>
                    <w:ind w:firstLine="851"/>
                    <w:jc w:val="both"/>
                    <w:rPr>
                      <w:szCs w:val="24"/>
                      <w:lang w:eastAsia="lt-LT"/>
                    </w:rPr>
                  </w:pPr>
                  <w:r>
                    <w:rPr>
                      <w:szCs w:val="24"/>
                      <w:lang w:eastAsia="lt-LT"/>
                    </w:rPr>
                    <w:t>1 lentelėje pateikiami statistiniai 2020–2024 metų savivaldybės švietimo stebėsenos rodiklių duomenys, apibūdinantys Šiaulių miesto pedagogus.</w:t>
                  </w:r>
                </w:p>
                <w:p>
                  <w:pPr>
                    <w:tabs>
                      <w:tab w:val="left" w:pos="993"/>
                    </w:tabs>
                    <w:ind w:firstLine="913"/>
                    <w:jc w:val="both"/>
                    <w:rPr>
                      <w:szCs w:val="24"/>
                      <w:lang w:eastAsia="lt-LT"/>
                    </w:rPr>
                  </w:pPr>
                </w:p>
                <w:p>
                  <w:pPr>
                    <w:tabs>
                      <w:tab w:val="left" w:pos="993"/>
                    </w:tabs>
                    <w:ind w:firstLine="851"/>
                    <w:jc w:val="both"/>
                    <w:rPr>
                      <w:b/>
                      <w:bCs/>
                      <w:szCs w:val="24"/>
                      <w:lang w:eastAsia="lt-LT"/>
                    </w:rPr>
                  </w:pPr>
                  <w:r>
                    <w:rPr>
                      <w:szCs w:val="24"/>
                      <w:lang w:eastAsia="lt-LT"/>
                    </w:rPr>
                    <w:t xml:space="preserve">1 lentelė. </w:t>
                  </w:r>
                  <w:r>
                    <w:rPr>
                      <w:b/>
                      <w:bCs/>
                      <w:szCs w:val="24"/>
                      <w:lang w:eastAsia="lt-LT"/>
                    </w:rPr>
                    <w:t>2020–2024 metų Šiaulių miesto švietimo stebėsenos rodikliai, susiję su pedagogais</w:t>
                  </w:r>
                </w:p>
                <w:tbl>
                  <w:tblPr>
                    <w:tblW w:w="5000" w:type="pct"/>
                    <w:jc w:val="center"/>
                    <w:tblCellMar>
                      <w:left w:w="0" w:type="dxa"/>
                      <w:right w:w="0" w:type="dxa"/>
                    </w:tblCellMar>
                    <w:tblLook w:val="04A0" w:firstRow="1" w:lastRow="0" w:firstColumn="1" w:lastColumn="0" w:noHBand="0" w:noVBand="1"/>
                  </w:tblPr>
                  <w:tblGrid>
                    <w:gridCol w:w="3917"/>
                    <w:gridCol w:w="1426"/>
                    <w:gridCol w:w="1425"/>
                    <w:gridCol w:w="1425"/>
                    <w:gridCol w:w="1425"/>
                  </w:tblGrid>
                  <w:tr>
                    <w:trPr>
                      <w:trHeight w:val="395"/>
                      <w:jc w:val="center"/>
                    </w:trPr>
                    <w:tc>
                      <w:tcPr>
                        <w:tcW w:w="203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jc w:val="both"/>
                          <w:rPr>
                            <w:szCs w:val="24"/>
                            <w:vertAlign w:val="superscript"/>
                            <w:lang w:eastAsia="lt-LT"/>
                          </w:rPr>
                        </w:pPr>
                        <w:r>
                          <w:rPr>
                            <w:szCs w:val="24"/>
                            <w:lang w:eastAsia="lt-LT"/>
                          </w:rPr>
                          <w:t>Švietimo stebėsenos rodikliai</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2020–2021 m. m.</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2021–2022 m. m.</w:t>
                        </w:r>
                      </w:p>
                    </w:tc>
                    <w:tc>
                      <w:tcPr>
                        <w:tcW w:w="7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jc w:val="center"/>
                          <w:rPr>
                            <w:szCs w:val="24"/>
                            <w:lang w:eastAsia="lt-LT"/>
                          </w:rPr>
                        </w:pPr>
                        <w:r>
                          <w:rPr>
                            <w:szCs w:val="24"/>
                            <w:lang w:eastAsia="lt-LT"/>
                          </w:rPr>
                          <w:t>2022–2023 m. m.</w:t>
                        </w:r>
                      </w:p>
                    </w:tc>
                    <w:tc>
                      <w:tcPr>
                        <w:tcW w:w="741" w:type="pct"/>
                        <w:tcBorders>
                          <w:top w:val="single" w:sz="8" w:space="0" w:color="auto"/>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2023–2024</w:t>
                        </w:r>
                      </w:p>
                      <w:p>
                        <w:pPr>
                          <w:tabs>
                            <w:tab w:val="left" w:pos="993"/>
                          </w:tabs>
                          <w:jc w:val="center"/>
                          <w:rPr>
                            <w:szCs w:val="24"/>
                            <w:lang w:eastAsia="lt-LT"/>
                          </w:rPr>
                        </w:pPr>
                        <w:r>
                          <w:rPr>
                            <w:szCs w:val="24"/>
                            <w:lang w:eastAsia="lt-LT"/>
                          </w:rPr>
                          <w:t>m. m.</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Pedagoginių darbuotojų skaičius BUM (asm.)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1492</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1488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1517</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1530</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tabs>
                            <w:tab w:val="left" w:pos="993"/>
                          </w:tabs>
                          <w:jc w:val="both"/>
                          <w:rPr>
                            <w:szCs w:val="24"/>
                            <w:lang w:eastAsia="lt-LT"/>
                          </w:rPr>
                        </w:pPr>
                        <w:r>
                          <w:rPr>
                            <w:szCs w:val="24"/>
                            <w:lang w:eastAsia="lt-LT"/>
                          </w:rPr>
                          <w:t>Vienai sąlyginei mokytojo pareigybei tenkančių mokinių skaičius</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11,8</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12,1</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11,6</w:t>
                        </w:r>
                      </w:p>
                    </w:tc>
                  </w:tr>
                  <w:tr>
                    <w:trPr>
                      <w:jc w:val="center"/>
                    </w:trPr>
                    <w:tc>
                      <w:tcPr>
                        <w:tcW w:w="203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Aukštos kvalifikacijos mokytojų (išskyrus mokyklų vadovus) dalis (proc.)</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46,55</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47,35</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47,39</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48,21</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mokančių daugiau kaip 1 dalyką,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47,09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49,18</w:t>
                        </w:r>
                      </w:p>
                    </w:tc>
                    <w:tc>
                      <w:tcPr>
                        <w:tcW w:w="741" w:type="pct"/>
                        <w:tcBorders>
                          <w:top w:val="single" w:sz="8" w:space="0" w:color="auto"/>
                          <w:left w:val="single" w:sz="8" w:space="0" w:color="auto"/>
                          <w:bottom w:val="single" w:sz="8" w:space="0" w:color="auto"/>
                          <w:right w:val="single" w:sz="12"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50,50</w:t>
                        </w:r>
                      </w:p>
                    </w:tc>
                    <w:tc>
                      <w:tcPr>
                        <w:tcW w:w="741" w:type="pct"/>
                        <w:tcBorders>
                          <w:top w:val="single" w:sz="8" w:space="0" w:color="auto"/>
                          <w:left w:val="single" w:sz="12"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45,00</w:t>
                        </w:r>
                      </w:p>
                    </w:tc>
                  </w:tr>
                  <w:tr>
                    <w:trPr>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dirbančių ne vienoje mokykloje,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11,59</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12,64</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12,38</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12,17</w:t>
                        </w:r>
                      </w:p>
                    </w:tc>
                  </w:tr>
                  <w:tr>
                    <w:trPr>
                      <w:trHeight w:val="222"/>
                      <w:jc w:val="center"/>
                    </w:trPr>
                    <w:tc>
                      <w:tcPr>
                        <w:tcW w:w="2036" w:type="pct"/>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Mokytojų, turinčių 1 arba didesnį etatą, dalis (proc.)</w:t>
                        </w:r>
                      </w:p>
                    </w:tc>
                    <w:tc>
                      <w:tcPr>
                        <w:tcW w:w="741"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46,82</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49,18</w:t>
                        </w:r>
                      </w:p>
                    </w:tc>
                    <w:tc>
                      <w:tcPr>
                        <w:tcW w:w="74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55,55</w:t>
                        </w:r>
                      </w:p>
                    </w:tc>
                    <w:tc>
                      <w:tcPr>
                        <w:tcW w:w="741" w:type="pct"/>
                        <w:tcBorders>
                          <w:top w:val="single" w:sz="8" w:space="0" w:color="auto"/>
                          <w:left w:val="single" w:sz="8" w:space="0" w:color="auto"/>
                          <w:bottom w:val="single" w:sz="8" w:space="0" w:color="auto"/>
                          <w:right w:val="single" w:sz="8" w:space="0" w:color="auto"/>
                        </w:tcBorders>
                        <w:vAlign w:val="center"/>
                      </w:tcPr>
                      <w:p>
                        <w:pPr>
                          <w:tabs>
                            <w:tab w:val="left" w:pos="993"/>
                          </w:tabs>
                          <w:jc w:val="center"/>
                          <w:rPr>
                            <w:szCs w:val="24"/>
                            <w:lang w:eastAsia="lt-LT"/>
                          </w:rPr>
                        </w:pPr>
                        <w:r>
                          <w:rPr>
                            <w:szCs w:val="24"/>
                            <w:lang w:eastAsia="lt-LT"/>
                          </w:rPr>
                          <w:t>60,77</w:t>
                        </w:r>
                      </w:p>
                    </w:tc>
                  </w:tr>
                  <w:tr>
                    <w:trPr>
                      <w:jc w:val="center"/>
                    </w:trPr>
                    <w:tc>
                      <w:tcPr>
                        <w:tcW w:w="5000" w:type="pct"/>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rPr>
                            <w:szCs w:val="24"/>
                            <w:lang w:eastAsia="lt-LT"/>
                          </w:rPr>
                        </w:pPr>
                        <w:r>
                          <w:rPr>
                            <w:bCs/>
                            <w:color w:val="000000"/>
                            <w:szCs w:val="24"/>
                            <w:lang w:eastAsia="lt-LT"/>
                          </w:rPr>
                          <w:t xml:space="preserve">Pedagoginių darbuotojų pasiskirstymas pagal amžių (proc.): </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bCs/>
                            <w:color w:val="000000"/>
                            <w:szCs w:val="24"/>
                            <w:lang w:eastAsia="lt-LT"/>
                          </w:rPr>
                        </w:pPr>
                        <w:r>
                          <w:rPr>
                            <w:bCs/>
                            <w:color w:val="000000"/>
                            <w:szCs w:val="24"/>
                            <w:lang w:eastAsia="lt-LT"/>
                          </w:rPr>
                          <w:t>iki 29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5,36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4,63</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iki 49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43,96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43,72</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42,26</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50 m. ir vyresni</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50,68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51,88</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52,45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53,11</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993"/>
                          </w:tabs>
                          <w:jc w:val="both"/>
                          <w:rPr>
                            <w:szCs w:val="24"/>
                            <w:lang w:eastAsia="lt-LT"/>
                          </w:rPr>
                        </w:pPr>
                        <w:r>
                          <w:rPr>
                            <w:bCs/>
                            <w:color w:val="000000"/>
                            <w:szCs w:val="24"/>
                            <w:lang w:eastAsia="lt-LT"/>
                          </w:rPr>
                          <w:t>pensinis amžius</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3,36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4,30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7,06</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Vidutinis mokytojų amžius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49,66</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50,30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50,92</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51,36</w:t>
                        </w:r>
                      </w:p>
                    </w:tc>
                  </w:tr>
                  <w:tr>
                    <w:trPr>
                      <w:jc w:val="center"/>
                    </w:trPr>
                    <w:tc>
                      <w:tcPr>
                        <w:tcW w:w="2036"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Jaunesnių nei 50 m. ir 50 m. ir vyresnių mokytojų santykis</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0,80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0,71</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0,65</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0,62</w:t>
                        </w:r>
                      </w:p>
                    </w:tc>
                  </w:tr>
                  <w:tr>
                    <w:trPr>
                      <w:jc w:val="center"/>
                    </w:trPr>
                    <w:tc>
                      <w:tcPr>
                        <w:tcW w:w="2036"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tabs>
                            <w:tab w:val="left" w:pos="993"/>
                          </w:tabs>
                          <w:jc w:val="both"/>
                          <w:rPr>
                            <w:szCs w:val="24"/>
                            <w:lang w:eastAsia="lt-LT"/>
                          </w:rPr>
                        </w:pPr>
                        <w:r>
                          <w:rPr>
                            <w:szCs w:val="24"/>
                            <w:lang w:eastAsia="lt-LT"/>
                          </w:rPr>
                          <w:t>Mokytojų, kurių darbo stažas iki 2 metų, dalis (proc.)</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6,4</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7,7</w:t>
                        </w:r>
                      </w:p>
                    </w:tc>
                  </w:tr>
                  <w:tr>
                    <w:trPr>
                      <w:jc w:val="center"/>
                    </w:trPr>
                    <w:tc>
                      <w:tcPr>
                        <w:tcW w:w="203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993"/>
                          </w:tabs>
                          <w:jc w:val="both"/>
                          <w:rPr>
                            <w:szCs w:val="24"/>
                            <w:lang w:eastAsia="lt-LT"/>
                          </w:rPr>
                        </w:pPr>
                        <w:r>
                          <w:rPr>
                            <w:szCs w:val="24"/>
                            <w:lang w:eastAsia="lt-LT"/>
                          </w:rPr>
                          <w:t>Vidutinis mokyklų vadovų amžius (m.)</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54,55</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53,03</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tcPr>
                      <w:p>
                        <w:pPr>
                          <w:tabs>
                            <w:tab w:val="left" w:pos="993"/>
                          </w:tabs>
                          <w:jc w:val="center"/>
                          <w:rPr>
                            <w:szCs w:val="24"/>
                            <w:lang w:eastAsia="lt-LT"/>
                          </w:rPr>
                        </w:pPr>
                        <w:r>
                          <w:rPr>
                            <w:szCs w:val="24"/>
                            <w:lang w:eastAsia="lt-LT"/>
                          </w:rPr>
                          <w:t>52,00</w:t>
                        </w:r>
                      </w:p>
                    </w:tc>
                    <w:tc>
                      <w:tcPr>
                        <w:tcW w:w="741" w:type="pct"/>
                        <w:tcBorders>
                          <w:top w:val="nil"/>
                          <w:left w:val="nil"/>
                          <w:bottom w:val="single" w:sz="8" w:space="0" w:color="auto"/>
                          <w:right w:val="single" w:sz="8" w:space="0" w:color="auto"/>
                        </w:tcBorders>
                        <w:vAlign w:val="center"/>
                      </w:tcPr>
                      <w:p>
                        <w:pPr>
                          <w:tabs>
                            <w:tab w:val="left" w:pos="993"/>
                          </w:tabs>
                          <w:jc w:val="center"/>
                          <w:rPr>
                            <w:szCs w:val="24"/>
                            <w:lang w:eastAsia="lt-LT"/>
                          </w:rPr>
                        </w:pPr>
                        <w:r>
                          <w:rPr>
                            <w:szCs w:val="24"/>
                            <w:lang w:eastAsia="lt-LT"/>
                          </w:rPr>
                          <w:t>52,34</w:t>
                        </w:r>
                      </w:p>
                    </w:tc>
                  </w:tr>
                </w:tbl>
                <w:p>
                  <w:pPr>
                    <w:tabs>
                      <w:tab w:val="left" w:pos="993"/>
                    </w:tabs>
                    <w:jc w:val="both"/>
                    <w:rPr>
                      <w:sz w:val="20"/>
                      <w:lang w:eastAsia="lt-LT"/>
                    </w:rPr>
                  </w:pPr>
                  <w:r>
                    <w:rPr>
                      <w:sz w:val="20"/>
                      <w:lang w:eastAsia="lt-LT"/>
                    </w:rPr>
                    <w:t>Pastaba. Pateikiami savivaldybės pavaldumo bendrojo ugdymo mokyklų mokytojų statistiniai duomenys (fiksuojami kiekvienų metų spalio 1 d.), įskaitant priešmokyklinio ugdymo pedagogus.</w:t>
                  </w:r>
                </w:p>
                <w:p>
                  <w:pPr>
                    <w:tabs>
                      <w:tab w:val="left" w:pos="993"/>
                    </w:tabs>
                    <w:jc w:val="right"/>
                    <w:rPr>
                      <w:i/>
                      <w:iCs/>
                      <w:sz w:val="20"/>
                      <w:lang w:eastAsia="lt-LT"/>
                    </w:rPr>
                  </w:pPr>
                  <w:r>
                    <w:rPr>
                      <w:i/>
                      <w:iCs/>
                      <w:sz w:val="20"/>
                      <w:lang w:eastAsia="lt-LT"/>
                    </w:rPr>
                    <w:t>Duomenų šaltinis – ŠVIS</w:t>
                  </w:r>
                </w:p>
                <w:p>
                  <w:pPr>
                    <w:tabs>
                      <w:tab w:val="left" w:pos="993"/>
                    </w:tabs>
                    <w:jc w:val="right"/>
                    <w:rPr>
                      <w:szCs w:val="24"/>
                      <w:lang w:eastAsia="lt-LT"/>
                    </w:rPr>
                  </w:pPr>
                </w:p>
                <w:p>
                  <w:pPr>
                    <w:tabs>
                      <w:tab w:val="left" w:pos="993"/>
                    </w:tabs>
                    <w:ind w:firstLine="851"/>
                    <w:jc w:val="both"/>
                    <w:rPr>
                      <w:szCs w:val="24"/>
                      <w:lang w:eastAsia="lt-LT"/>
                    </w:rPr>
                  </w:pPr>
                  <w:r>
                    <w:rPr>
                      <w:szCs w:val="24"/>
                      <w:lang w:eastAsia="lt-LT"/>
                    </w:rPr>
                    <w:t>Švietimo stebėsenos rodiklių reikšmės demonstruoja, kad kasmet didėja vidutinis mokytojų amžius, taip pat didėja 50 metų ir vyresnių mokytojų dalis (žr. 1 lentelę). Siekiant išlaikyti ugdymo proceso tęstinumą ir švietimo sistemos tvarumą, būtina užtikrinti savalaikį mokytojų sudėties atsinaujinimą, t. y. regeneraciją. Apskaičiavus mokytojų regeneracijos koeficientą</w:t>
                  </w:r>
                  <w:r>
                    <w:rPr>
                      <w:szCs w:val="24"/>
                      <w:vertAlign w:val="superscript"/>
                      <w:lang w:eastAsia="lt-LT"/>
                    </w:rPr>
                    <w:footnoteReference w:id="1"/>
                  </w:r>
                  <w:r>
                    <w:rPr>
                      <w:szCs w:val="24"/>
                      <w:lang w:eastAsia="lt-LT"/>
                    </w:rPr>
                    <w:t xml:space="preserve"> nustatyta, kad artimiausiu metu kritiškai trūks chemijos, rusų k., dailės, fizikos, biologijos, matematikos, technologijų dalykų mokytojų (žr. 4 pav.) Mažesnis nei 0,8 regeneracijos koeficientas rodo, kad reikia skubiai sutelkti didžiausias pastangas ir rengti pedagogus, juos perkvalifikuoti, pritraukti į švietimo įstaigas ir užtikrinti jų išlaikymą savivaldybės mokyklose.</w:t>
                  </w:r>
                </w:p>
                <w:p>
                  <w:pPr>
                    <w:tabs>
                      <w:tab w:val="left" w:pos="993"/>
                    </w:tabs>
                    <w:ind w:firstLine="851"/>
                    <w:jc w:val="both"/>
                    <w:rPr>
                      <w:szCs w:val="24"/>
                      <w:lang w:eastAsia="lt-LT"/>
                    </w:rPr>
                  </w:pPr>
                </w:p>
                <w:p>
                  <w:pPr>
                    <w:tabs>
                      <w:tab w:val="left" w:pos="993"/>
                    </w:tabs>
                    <w:jc w:val="center"/>
                    <w:rPr>
                      <w:b/>
                      <w:bCs/>
                      <w:szCs w:val="24"/>
                      <w:lang w:eastAsia="lt-LT"/>
                    </w:rPr>
                  </w:pPr>
                  <w:r>
                    <w:rPr>
                      <w:szCs w:val="24"/>
                      <w:lang w:eastAsia="lt-LT"/>
                    </w:rPr>
                    <w:t xml:space="preserve">4 pav. </w:t>
                  </w:r>
                  <w:r>
                    <w:rPr>
                      <w:b/>
                      <w:bCs/>
                      <w:szCs w:val="24"/>
                      <w:lang w:eastAsia="lt-LT"/>
                    </w:rPr>
                    <w:t>Mokytojų regeneracija Šiaulių miesto švietimo įstaigose (2022 m.)</w:t>
                  </w:r>
                </w:p>
                <w:p>
                  <w:pPr>
                    <w:tabs>
                      <w:tab w:val="left" w:pos="993"/>
                    </w:tabs>
                    <w:jc w:val="center"/>
                    <w:rPr>
                      <w:szCs w:val="24"/>
                      <w:lang w:eastAsia="lt-LT"/>
                    </w:rPr>
                  </w:pPr>
                  <w:r>
                    <w:rPr>
                      <w:szCs w:val="24"/>
                      <w:lang w:val="en-US"/>
                      <w14:ligatures w14:val="standardContextual"/>
                    </w:rPr>
                    <w:drawing>
                      <wp:inline distT="0" distB="0" distL="0" distR="0" wp14:anchorId="4E93A2F1" wp14:editId="40BC3683">
                        <wp:extent cx="5707720" cy="2830186"/>
                        <wp:effectExtent l="0" t="0" r="7620" b="8890"/>
                        <wp:docPr id="7" name="Paveikslėlis 6">
                          <a:extLst xmlns:a="http://schemas.openxmlformats.org/drawingml/2006/main">
                            <a:ext uri="{FF2B5EF4-FFF2-40B4-BE49-F238E27FC236}">
                              <a16:creationId xmlns:a16="http://schemas.microsoft.com/office/drawing/2014/main" id="{62A04996-0710-49B8-A314-34C4932E35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6">
                                  <a:extLst>
                                    <a:ext uri="{FF2B5EF4-FFF2-40B4-BE49-F238E27FC236}">
                                      <a16:creationId xmlns:a16="http://schemas.microsoft.com/office/drawing/2014/main" id="{62A04996-0710-49B8-A314-34C4932E35D4}"/>
                                    </a:ext>
                                  </a:extLst>
                                </pic:cNvPr>
                                <pic:cNvPicPr>
                                  <a:picLocks noChangeAspect="1"/>
                                </pic:cNvPicPr>
                              </pic:nvPicPr>
                              <pic:blipFill>
                                <a:blip r:embed="rId10"/>
                                <a:stretch>
                                  <a:fillRect/>
                                </a:stretch>
                              </pic:blipFill>
                              <pic:spPr>
                                <a:xfrm>
                                  <a:off x="0" y="0"/>
                                  <a:ext cx="5758692" cy="2855461"/>
                                </a:xfrm>
                                <a:prstGeom prst="rect">
                                  <a:avLst/>
                                </a:prstGeom>
                                <a:solidFill>
                                  <a:srgbClr val="FFC000">
                                    <a:lumMod val="20000"/>
                                    <a:lumOff val="80000"/>
                                  </a:srgbClr>
                                </a:solidFill>
                              </pic:spPr>
                            </pic:pic>
                          </a:graphicData>
                        </a:graphic>
                      </wp:inline>
                    </w:drawing>
                  </w:r>
                </w:p>
                <w:p>
                  <w:pPr>
                    <w:tabs>
                      <w:tab w:val="left" w:pos="993"/>
                    </w:tabs>
                    <w:ind w:firstLine="1855"/>
                    <w:jc w:val="center"/>
                    <w:rPr>
                      <w:i/>
                      <w:iCs/>
                      <w:sz w:val="20"/>
                      <w:lang w:eastAsia="lt-LT"/>
                    </w:rPr>
                  </w:pPr>
                  <w:r>
                    <w:rPr>
                      <w:i/>
                      <w:iCs/>
                      <w:sz w:val="20"/>
                      <w:lang w:eastAsia="lt-LT"/>
                    </w:rPr>
                    <w:t>Duomenų šaltinis – Šiaulių miesto savivaldybės administracijos Švietimo skyriaus duomenys (2022 m.)</w:t>
                  </w:r>
                </w:p>
                <w:p>
                  <w:pPr>
                    <w:tabs>
                      <w:tab w:val="left" w:pos="993"/>
                    </w:tabs>
                    <w:ind w:firstLine="851"/>
                    <w:jc w:val="both"/>
                    <w:rPr>
                      <w:szCs w:val="24"/>
                      <w:lang w:eastAsia="lt-LT"/>
                    </w:rPr>
                  </w:pPr>
                </w:p>
                <w:p>
                  <w:pPr>
                    <w:tabs>
                      <w:tab w:val="left" w:pos="993"/>
                    </w:tabs>
                    <w:ind w:firstLine="851"/>
                    <w:jc w:val="both"/>
                    <w:rPr>
                      <w:szCs w:val="24"/>
                      <w:lang w:eastAsia="lt-LT"/>
                    </w:rPr>
                  </w:pPr>
                  <w:r>
                    <w:rPr>
                      <w:szCs w:val="24"/>
                      <w:lang w:eastAsia="lt-LT"/>
                    </w:rPr>
                    <w:t xml:space="preserve">Savivaldybėje kasmet didėja mokinių skaičius, ugdytinių skaičius nežymiai sumažėjo. 2018–2019 m. m. buvo 12 559 mokiniai ir 4799 ugdytiniai ikimokyklinio ugdymo įstaigose, o 2023–2024 m. m. – 14 327 mokiniai ir 4590 ugdytiniai. Iš užsienio šalių grįžo 2019 m. 45 mokiniai, 2020 m. – 43, 2021 m. – 84, 2022 m. – 35, 2023 m. – 65. Didėjant mokinių skaičiui, daugėja ir vaikų, kuriems reikalinga švietimo pagalba. </w:t>
                  </w:r>
                </w:p>
                <w:p>
                  <w:pPr>
                    <w:tabs>
                      <w:tab w:val="left" w:pos="993"/>
                    </w:tabs>
                    <w:ind w:firstLine="851"/>
                    <w:jc w:val="both"/>
                    <w:rPr>
                      <w:szCs w:val="24"/>
                      <w:lang w:eastAsia="lt-LT"/>
                    </w:rPr>
                  </w:pPr>
                  <w:r>
                    <w:rPr>
                      <w:szCs w:val="24"/>
                      <w:lang w:eastAsia="lt-LT"/>
                    </w:rPr>
                    <w:t>Užimtumo tarnybos duomenimis</w:t>
                  </w:r>
                  <w:r>
                    <w:rPr>
                      <w:szCs w:val="24"/>
                      <w:vertAlign w:val="superscript"/>
                      <w:lang w:eastAsia="lt-LT"/>
                    </w:rPr>
                    <w:footnoteReference w:id="2"/>
                  </w:r>
                  <w:r>
                    <w:rPr>
                      <w:szCs w:val="24"/>
                      <w:lang w:eastAsia="lt-LT"/>
                    </w:rPr>
                    <w:t>, specialistų ir tarnautojų grupėje Lietuvoje 2023 m. darbdaviams sunkiausiai sekėsi rasti specialiųjų poreikių mokinių mokytojų, psichologų, ikimokyklinio ir bendrojo ugdymo mokytojų. Šių profesijų darbuotojams skirtų darbo pasiūlymų 2023 m. skelbta bent pusantro karto daugiau nei per tą patį laikotarpį į Užimtumo tarnybą kreipėsi atitinkamo darbo ieškančių asmenų. Taip pat Užimtumo tarnyba atkreipia dėmesį, kad šis rodiklis yra aukščiausias per pastaruosius penkerius metus. 2023 m. Šiaulių apskrityje labiausiai trūko psichologų (vienam per nurodytą laikotarpį įregistruotam atitinkamo darbo ieškančiam asmeniui tenka 11,8 laisvų darbo vietų) ir ikimokyklinio ugdymo mokytojų (vienam per nurodytą laikotarpį įregistruotam atitinkamo darbo ieškančiam asmeniui tenka 4,1 laisvų darbo vietų). Net aštuoniolika savivaldybės mokyklų neturi psichologų ir tik vienoje ikimokyklinio ugdymo įstaigoje dirba šios srities specialistas.</w:t>
                  </w:r>
                </w:p>
                <w:p>
                  <w:pPr>
                    <w:tabs>
                      <w:tab w:val="left" w:pos="993"/>
                    </w:tabs>
                    <w:ind w:firstLine="851"/>
                    <w:jc w:val="both"/>
                    <w:rPr>
                      <w:color w:val="000000"/>
                      <w:szCs w:val="24"/>
                      <w:lang w:eastAsia="lt-LT"/>
                    </w:rPr>
                  </w:pPr>
                  <w:r>
                    <w:rPr>
                      <w:szCs w:val="24"/>
                      <w:lang w:eastAsia="lt-LT"/>
                    </w:rPr>
                    <w:t>Valstybės kontrolės 2023 m. atliktame tyrime „Pedagogų poreikio užtikrinimo vertinimas“ teigiama, kad per artimiausius 3 metus tiek bendrajam ugdymui, tiek ikimokykliniam ugdymui labiausiai trūks dalyko mokytojų (5 pav.)</w:t>
                  </w:r>
                  <w:r>
                    <w:rPr>
                      <w:color w:val="000000"/>
                      <w:szCs w:val="24"/>
                      <w:vertAlign w:val="superscript"/>
                      <w:lang w:eastAsia="lt-LT"/>
                    </w:rPr>
                    <w:footnoteReference w:id="3"/>
                  </w:r>
                  <w:r>
                    <w:rPr>
                      <w:color w:val="000000"/>
                      <w:szCs w:val="24"/>
                      <w:lang w:eastAsia="lt-LT"/>
                    </w:rPr>
                    <w:t xml:space="preserve"> </w:t>
                  </w:r>
                </w:p>
                <w:p>
                  <w:pPr>
                    <w:tabs>
                      <w:tab w:val="left" w:pos="993"/>
                    </w:tabs>
                    <w:ind w:firstLine="851"/>
                    <w:jc w:val="both"/>
                    <w:rPr>
                      <w:color w:val="000000"/>
                      <w:szCs w:val="24"/>
                      <w:lang w:eastAsia="lt-LT"/>
                    </w:rPr>
                  </w:pPr>
                </w:p>
                <w:p>
                  <w:pPr>
                    <w:tabs>
                      <w:tab w:val="left" w:pos="993"/>
                    </w:tabs>
                    <w:ind w:firstLine="851"/>
                    <w:jc w:val="both"/>
                    <w:rPr>
                      <w:color w:val="000000"/>
                      <w:szCs w:val="24"/>
                      <w:lang w:eastAsia="lt-LT"/>
                    </w:rPr>
                  </w:pPr>
                  <w:r>
                    <w:rPr>
                      <w:color w:val="000000"/>
                      <w:szCs w:val="24"/>
                      <w:lang w:eastAsia="lt-LT"/>
                    </w:rPr>
                    <w:t xml:space="preserve">5 pav. </w:t>
                  </w:r>
                  <w:r>
                    <w:rPr>
                      <w:b/>
                      <w:bCs/>
                      <w:color w:val="000000"/>
                      <w:szCs w:val="24"/>
                      <w:lang w:eastAsia="lt-LT"/>
                    </w:rPr>
                    <w:t>Pedagogų, psichologų ir mokytojo padėjėjų poreikis pagal mokslo metus, pagal atsakiusias mokyklas ir pedagogų specializacijų grupes etatais</w:t>
                  </w:r>
                </w:p>
                <w:p>
                  <w:pPr>
                    <w:tabs>
                      <w:tab w:val="left" w:pos="993"/>
                    </w:tabs>
                    <w:jc w:val="center"/>
                    <w:rPr>
                      <w:color w:val="000000"/>
                      <w:szCs w:val="24"/>
                      <w:lang w:eastAsia="lt-LT"/>
                    </w:rPr>
                  </w:pPr>
                  <w:r>
                    <w:rPr>
                      <w:color w:val="000000"/>
                      <w:szCs w:val="24"/>
                      <w:lang w:val="en-US"/>
                    </w:rPr>
                    <w:drawing>
                      <wp:inline distT="0" distB="0" distL="0" distR="0" wp14:anchorId="249CBDB9" wp14:editId="507F8B32">
                        <wp:extent cx="4842697" cy="2384820"/>
                        <wp:effectExtent l="19050" t="19050" r="15240" b="15875"/>
                        <wp:docPr id="206775094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750945" name=""/>
                                <pic:cNvPicPr/>
                              </pic:nvPicPr>
                              <pic:blipFill>
                                <a:blip r:embed="rId11"/>
                                <a:stretch>
                                  <a:fillRect/>
                                </a:stretch>
                              </pic:blipFill>
                              <pic:spPr>
                                <a:xfrm>
                                  <a:off x="0" y="0"/>
                                  <a:ext cx="4873592" cy="2400035"/>
                                </a:xfrm>
                                <a:prstGeom prst="rect">
                                  <a:avLst/>
                                </a:prstGeom>
                                <a:ln>
                                  <a:solidFill>
                                    <a:schemeClr val="tx1"/>
                                  </a:solidFill>
                                </a:ln>
                              </pic:spPr>
                            </pic:pic>
                          </a:graphicData>
                        </a:graphic>
                      </wp:inline>
                    </w:drawing>
                  </w:r>
                </w:p>
                <w:p>
                  <w:pPr>
                    <w:tabs>
                      <w:tab w:val="left" w:pos="993"/>
                    </w:tabs>
                    <w:ind w:firstLine="62"/>
                    <w:jc w:val="right"/>
                    <w:rPr>
                      <w:szCs w:val="24"/>
                      <w:lang w:eastAsia="lt-LT"/>
                    </w:rPr>
                  </w:pPr>
                  <w:r>
                    <w:rPr>
                      <w:i/>
                      <w:iCs/>
                      <w:sz w:val="20"/>
                      <w:lang w:eastAsia="lt-LT"/>
                    </w:rPr>
                    <w:t>Duomenų šaltinis – Valstybės kontrolė</w:t>
                  </w:r>
                </w:p>
                <w:p>
                  <w:pPr>
                    <w:tabs>
                      <w:tab w:val="left" w:pos="993"/>
                    </w:tabs>
                    <w:ind w:firstLine="851"/>
                    <w:jc w:val="both"/>
                    <w:rPr>
                      <w:szCs w:val="24"/>
                      <w:lang w:eastAsia="lt-LT"/>
                    </w:rPr>
                  </w:pPr>
                </w:p>
                <w:p>
                  <w:pPr>
                    <w:suppressAutoHyphens/>
                    <w:ind w:firstLine="851"/>
                    <w:jc w:val="both"/>
                    <w:rPr>
                      <w:szCs w:val="24"/>
                      <w:lang w:eastAsia="lt-LT"/>
                    </w:rPr>
                  </w:pPr>
                  <w:r>
                    <w:rPr>
                      <w:szCs w:val="24"/>
                      <w:lang w:eastAsia="lt-LT"/>
                    </w:rPr>
                    <w:t>Akivaizdu, kad mokytojų poreikis kasmet didėja, o dalyko mokytojų poreikis per kelis metus išaugs daugiau nei dvigubai. Prognozuojama, kad labiausiai trūks ikimokyklinio ir priešmokyklinio ugdymo, pradinio ugdymo ir matematikos mokytojų (žr. 6 pav.).</w:t>
                  </w:r>
                </w:p>
                <w:p>
                  <w:pPr>
                    <w:suppressAutoHyphens/>
                    <w:ind w:firstLine="851"/>
                    <w:jc w:val="both"/>
                    <w:rPr>
                      <w:szCs w:val="24"/>
                      <w:lang w:eastAsia="lt-LT"/>
                    </w:rPr>
                  </w:pPr>
                </w:p>
                <w:p>
                  <w:pPr>
                    <w:suppressAutoHyphens/>
                    <w:ind w:firstLine="851"/>
                    <w:jc w:val="both"/>
                    <w:rPr>
                      <w:szCs w:val="24"/>
                      <w:lang w:eastAsia="lt-LT"/>
                    </w:rPr>
                  </w:pPr>
                  <w:r>
                    <w:rPr>
                      <w:szCs w:val="24"/>
                      <w:lang w:eastAsia="lt-LT"/>
                    </w:rPr>
                    <w:t xml:space="preserve">6 pav. </w:t>
                  </w:r>
                  <w:r>
                    <w:rPr>
                      <w:b/>
                      <w:bCs/>
                      <w:szCs w:val="24"/>
                      <w:lang w:eastAsia="lt-LT"/>
                    </w:rPr>
                    <w:t>Savivaldybių nurodytas pedagogų ir psichologų poreikis per artimiausius 3 metus.</w:t>
                  </w:r>
                </w:p>
                <w:p>
                  <w:pPr>
                    <w:tabs>
                      <w:tab w:val="left" w:pos="993"/>
                    </w:tabs>
                    <w:ind w:firstLine="851"/>
                    <w:jc w:val="both"/>
                    <w:rPr>
                      <w:szCs w:val="24"/>
                      <w:lang w:eastAsia="lt-LT"/>
                    </w:rPr>
                  </w:pPr>
                  <w:r>
                    <w:rPr>
                      <w:szCs w:val="24"/>
                      <w:lang w:val="en-US"/>
                    </w:rPr>
                    <w:drawing>
                      <wp:inline distT="0" distB="0" distL="0" distR="0" wp14:anchorId="6A808F10" wp14:editId="2B3BB1F6">
                        <wp:extent cx="4711700" cy="2317750"/>
                        <wp:effectExtent l="19050" t="19050" r="12700" b="2540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11700" cy="2317750"/>
                                </a:xfrm>
                                <a:prstGeom prst="rect">
                                  <a:avLst/>
                                </a:prstGeom>
                                <a:noFill/>
                                <a:ln>
                                  <a:solidFill>
                                    <a:schemeClr val="tx1"/>
                                  </a:solidFill>
                                </a:ln>
                              </pic:spPr>
                            </pic:pic>
                          </a:graphicData>
                        </a:graphic>
                      </wp:inline>
                    </w:drawing>
                  </w:r>
                </w:p>
                <w:p>
                  <w:pPr>
                    <w:tabs>
                      <w:tab w:val="left" w:pos="993"/>
                    </w:tabs>
                    <w:ind w:firstLine="851"/>
                    <w:jc w:val="right"/>
                    <w:rPr>
                      <w:i/>
                      <w:iCs/>
                      <w:sz w:val="20"/>
                      <w:lang w:eastAsia="lt-LT"/>
                    </w:rPr>
                  </w:pPr>
                  <w:r>
                    <w:rPr>
                      <w:i/>
                      <w:iCs/>
                      <w:sz w:val="20"/>
                      <w:lang w:eastAsia="lt-LT"/>
                    </w:rPr>
                    <w:t>Duomenų šaltinis – Valstybės kontrolė</w:t>
                  </w:r>
                </w:p>
                <w:p>
                  <w:pPr>
                    <w:tabs>
                      <w:tab w:val="left" w:pos="993"/>
                    </w:tabs>
                    <w:ind w:firstLine="851"/>
                    <w:jc w:val="both"/>
                    <w:rPr>
                      <w:szCs w:val="24"/>
                      <w:lang w:eastAsia="lt-LT"/>
                    </w:rPr>
                  </w:pPr>
                </w:p>
                <w:p>
                  <w:pPr>
                    <w:tabs>
                      <w:tab w:val="left" w:pos="993"/>
                    </w:tabs>
                    <w:ind w:firstLine="851"/>
                    <w:jc w:val="both"/>
                    <w:rPr>
                      <w:szCs w:val="24"/>
                      <w:lang w:eastAsia="lt-LT"/>
                    </w:rPr>
                  </w:pPr>
                  <w:r>
                    <w:rPr>
                      <w:szCs w:val="24"/>
                      <w:lang w:eastAsia="lt-LT"/>
                    </w:rPr>
                    <w:t>2023 m. atlikus Šiaulių BUM vadovų apklausą apie pedagoginių darbuotojų poreikį prognozuojama, kad 2024–2027 metais trūks šių pedagogų: pradinio ugdymo (28), matematikos (17), biologijos ir chemijos (po 11), anglų kalbos (9), lietuvių kalbos ir literatūros (8), technologijų (4), etikos ir geografijos (po 1), dailės, fizikos ir priešmokyklinio ugdymo (po 2), fizinio ugdymo ir istorijos (po 3). 2023 m. ikimokyklinio ugdymo įstaigose dirbo 25 pensinio amžiaus pedagogai. 2024 m. ikimokyklinio ugdymo įstaigose trūksta 23 ikimokyklinio ugdymo mokytojų, 2025 m. – 15, 2026–2027 m. – po 13. Pedagogų ikimokyklinio ugdymo įstaigose trūks ne tik dėl išeinančių į pensiją pedagogų, bet ir dėl naujų ikimokyklinio ugdymo grupių steigimo. 2025–2026 m. m. bus įsteigtos 5</w:t>
                  </w:r>
                  <w:r>
                    <w:rPr>
                      <w:b/>
                      <w:szCs w:val="24"/>
                      <w:lang w:eastAsia="lt-LT"/>
                    </w:rPr>
                    <w:t xml:space="preserve"> </w:t>
                  </w:r>
                  <w:r>
                    <w:rPr>
                      <w:szCs w:val="24"/>
                      <w:lang w:eastAsia="lt-LT"/>
                    </w:rPr>
                    <w:t>naujos ikimokyklinio ugdymo grupės, todėl reikės bent 5 ikimokyklinio ugdymo pedagogų. Kai kuriose ikimokyklinio ugdymo</w:t>
                  </w:r>
                  <w:r>
                    <w:rPr>
                      <w:color w:val="FF0000"/>
                      <w:szCs w:val="24"/>
                      <w:lang w:eastAsia="lt-LT"/>
                    </w:rPr>
                    <w:t xml:space="preserve"> </w:t>
                  </w:r>
                  <w:r>
                    <w:rPr>
                      <w:szCs w:val="24"/>
                      <w:lang w:eastAsia="lt-LT"/>
                    </w:rPr>
                    <w:t>įstaigose 2024–2025 m. gali trūkti švietimo pagalbos specialistų – 5 logopedų ir 7 specialiųjų pedagogų.</w:t>
                  </w:r>
                </w:p>
                <w:p>
                  <w:pPr>
                    <w:tabs>
                      <w:tab w:val="left" w:pos="993"/>
                    </w:tabs>
                    <w:ind w:firstLine="851"/>
                    <w:jc w:val="both"/>
                    <w:rPr>
                      <w:szCs w:val="24"/>
                      <w:highlight w:val="yellow"/>
                      <w:lang w:eastAsia="lt-LT"/>
                    </w:rPr>
                  </w:pPr>
                  <w:r>
                    <w:rPr>
                      <w:szCs w:val="24"/>
                      <w:lang w:eastAsia="lt-LT"/>
                    </w:rPr>
                    <w:t>Neformaliojo vaikų švietimo mokyklose situacija geresnė: 2024 m. trūksta po 1 koncertmeisterį, inžinerijos, techninės kūrybos, sportinio turizmo, dailės, muzikos ir šokio mokytoją.</w:t>
                  </w:r>
                  <w:r>
                    <w:rPr>
                      <w:szCs w:val="24"/>
                      <w:highlight w:val="yellow"/>
                      <w:lang w:eastAsia="lt-LT"/>
                    </w:rPr>
                    <w:t xml:space="preserve"> </w:t>
                  </w:r>
                </w:p>
              </w:sdtContent>
            </w:sdt>
            <w:sdt>
              <w:sdtPr>
                <w:alias w:val="6 p."/>
                <w:tag w:val="part_69d51e5afb4342f5b75840d94ff29a86"/>
                <w:lock w:val="sdtLocked"/>
                <w:richText/>
              </w:sdtPr>
              <w:sdtContent>
                <w:p>
                  <w:pPr>
                    <w:tabs>
                      <w:tab w:val="left" w:pos="993"/>
                    </w:tabs>
                    <w:ind w:firstLine="851"/>
                    <w:jc w:val="both"/>
                    <w:rPr>
                      <w:szCs w:val="24"/>
                      <w:lang w:eastAsia="lt-LT"/>
                    </w:rPr>
                  </w:pPr>
                  <w:sdt>
                    <w:sdtPr>
                      <w:alias w:val="Numeris"/>
                      <w:tag w:val="nr_69d51e5afb4342f5b75840d94ff29a86"/>
                      <w:lock w:val="sdtLocked"/>
                      <w:richText/>
                    </w:sdtPr>
                    <w:sdtContent>
                      <w:r>
                        <w:rPr>
                          <w:szCs w:val="24"/>
                          <w:lang w:eastAsia="lt-LT"/>
                        </w:rPr>
                        <w:t>6</w:t>
                      </w:r>
                    </w:sdtContent>
                  </w:sdt>
                  <w:r>
                    <w:rPr>
                      <w:szCs w:val="24"/>
                      <w:lang w:eastAsia="lt-LT"/>
                    </w:rPr>
                    <w:t>. Švietimo įstaigose pedagogų trūksta ne tik dėl jų amžėjimo. Valstybės kontrolės atlikto tyrimo metu apklaustos 28 savivaldybės nurodė, kad svarbiausios priežastys (nuo 45 iki 75 proc.), lemiančios pedagogų trūkumą, yra ne tik menkas pedagogo profesijos prestižas, bet ir sudėtingi santykiai su ugdomais vaikais ar jų tėvais, per mažas darbo užmokestis, neapibrėžtumai dėl vykstančių pokyčių (pvz., švietimo įstaigų tinklo pertvarka, įtraukiojo ir visuotinio ikimokyklinio ugdymo įgyvendinimas), papildomi darbai, nesusiję su pamokų vedimu, per didelis darbo krūvis ir tai, kad šias studijas renkasi asmenys, nemotyvuoti dirbti mokyklose (žr. 7 pav.).</w:t>
                  </w:r>
                </w:p>
                <w:p>
                  <w:pPr>
                    <w:tabs>
                      <w:tab w:val="left" w:pos="993"/>
                    </w:tabs>
                    <w:ind w:firstLine="851"/>
                    <w:jc w:val="both"/>
                    <w:rPr>
                      <w:color w:val="FF0000"/>
                      <w:szCs w:val="24"/>
                      <w:lang w:eastAsia="lt-LT"/>
                    </w:rPr>
                  </w:pPr>
                </w:p>
                <w:p>
                  <w:pPr>
                    <w:tabs>
                      <w:tab w:val="left" w:pos="993"/>
                    </w:tabs>
                    <w:jc w:val="center"/>
                    <w:rPr>
                      <w:i/>
                      <w:iCs/>
                      <w:szCs w:val="24"/>
                      <w:lang w:eastAsia="lt-LT"/>
                    </w:rPr>
                  </w:pPr>
                  <w:r>
                    <w:rPr>
                      <w:szCs w:val="24"/>
                      <w:lang w:eastAsia="lt-LT"/>
                    </w:rPr>
                    <w:t>7 pav.</w:t>
                  </w:r>
                  <w:r>
                    <w:rPr>
                      <w:b/>
                      <w:bCs/>
                      <w:szCs w:val="24"/>
                      <w:lang w:eastAsia="lt-LT"/>
                    </w:rPr>
                    <w:t xml:space="preserve"> Atsakiusių savivaldybių dalis, kurias priežastis, lemiančias pedagogų trūkumą, nurodė kaip labai svarbias, proc. </w:t>
                  </w:r>
                </w:p>
                <w:p>
                  <w:pPr>
                    <w:tabs>
                      <w:tab w:val="left" w:pos="993"/>
                    </w:tabs>
                    <w:jc w:val="center"/>
                    <w:rPr>
                      <w:i/>
                      <w:iCs/>
                      <w:sz w:val="20"/>
                      <w:lang w:eastAsia="lt-LT"/>
                    </w:rPr>
                  </w:pPr>
                  <w:r>
                    <w:rPr>
                      <w:szCs w:val="24"/>
                      <w:lang w:val="en-US"/>
                    </w:rPr>
                    <w:drawing>
                      <wp:inline distT="0" distB="0" distL="0" distR="0" wp14:anchorId="20C87AFE" wp14:editId="412EDA27">
                        <wp:extent cx="4895850" cy="2266950"/>
                        <wp:effectExtent l="19050" t="19050" r="19050" b="1905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5850" cy="2266950"/>
                                </a:xfrm>
                                <a:prstGeom prst="rect">
                                  <a:avLst/>
                                </a:prstGeom>
                                <a:noFill/>
                                <a:ln>
                                  <a:solidFill>
                                    <a:schemeClr val="tx1"/>
                                  </a:solidFill>
                                </a:ln>
                              </pic:spPr>
                            </pic:pic>
                          </a:graphicData>
                        </a:graphic>
                      </wp:inline>
                    </w:drawing>
                  </w:r>
                </w:p>
                <w:p>
                  <w:pPr>
                    <w:tabs>
                      <w:tab w:val="left" w:pos="993"/>
                    </w:tabs>
                    <w:jc w:val="right"/>
                    <w:rPr>
                      <w:i/>
                      <w:iCs/>
                      <w:sz w:val="20"/>
                      <w:lang w:eastAsia="lt-LT"/>
                    </w:rPr>
                  </w:pPr>
                  <w:r>
                    <w:rPr>
                      <w:i/>
                      <w:iCs/>
                      <w:sz w:val="20"/>
                      <w:lang w:eastAsia="lt-LT"/>
                    </w:rPr>
                    <w:t>Duomenų šaltinis – Valstybės kontrolė pagal mokyklų apklausos duomenis</w:t>
                  </w:r>
                </w:p>
                <w:p>
                  <w:pPr>
                    <w:tabs>
                      <w:tab w:val="left" w:pos="993"/>
                    </w:tabs>
                    <w:rPr>
                      <w:szCs w:val="24"/>
                      <w:lang w:eastAsia="lt-LT"/>
                    </w:rPr>
                  </w:pPr>
                </w:p>
                <w:p>
                  <w:pPr>
                    <w:ind w:firstLine="851"/>
                    <w:jc w:val="both"/>
                    <w:rPr>
                      <w:color w:val="000000"/>
                      <w:szCs w:val="24"/>
                      <w:lang w:eastAsia="lt-LT"/>
                    </w:rPr>
                  </w:pPr>
                  <w:r>
                    <w:rPr>
                      <w:color w:val="000000"/>
                      <w:szCs w:val="24"/>
                      <w:lang w:eastAsia="lt-LT"/>
                    </w:rPr>
                    <w:t xml:space="preserve">Siekiant pritraukti ir išlaikyti mokytojus švietimo įstaigose, svarbiausia – gerinti darbo sąlygas ir mikroklimatą organizacijoje, keisti požiūrį į pedagogo profesiją. Valstybės kontrolės vertinimo ataskaitoje teigiama, kad „tokių pedagogų, kurie turėjo pedagogo išsilavinimą, bet nedirbo pagal specialybę arba įgijo papildomai pedagogo kvalifikaciją, apsisprendimas išbandyti darbą mokykloje leidžia daryti prielaidą, kad pedagogo profesija populiarėja“. </w:t>
                  </w:r>
                </w:p>
                <w:p>
                  <w:pPr>
                    <w:tabs>
                      <w:tab w:val="left" w:pos="851"/>
                    </w:tabs>
                    <w:ind w:firstLine="851"/>
                    <w:jc w:val="both"/>
                    <w:rPr>
                      <w:szCs w:val="24"/>
                      <w:lang w:eastAsia="lt-LT"/>
                    </w:rPr>
                  </w:pPr>
                  <w:r>
                    <w:rPr>
                      <w:szCs w:val="24"/>
                      <w:lang w:eastAsia="lt-LT"/>
                    </w:rPr>
                    <w:t xml:space="preserve">Sprendžiant pedagogų trūkumo Šiaulių mieste problemą, išvardytos stiprybės, kurios leistų pritraukti į savivaldybės švietimo įstaigas mokytojų: pedagoginės kvalifikacijos suteikimas asmenims, turintiems aukštojo mokslo diplomus, aukštųjų mokyklų pedagoginių studijų absolventų, kurį laiką nedirbusių švietimo įstaigoje, kvalifikacijos tobulinimas ir įdarbinimas. </w:t>
                  </w:r>
                </w:p>
                <w:p>
                  <w:pPr>
                    <w:tabs>
                      <w:tab w:val="left" w:pos="851"/>
                    </w:tabs>
                    <w:ind w:firstLine="851"/>
                    <w:jc w:val="both"/>
                    <w:rPr>
                      <w:szCs w:val="24"/>
                      <w:lang w:eastAsia="lt-LT"/>
                    </w:rPr>
                  </w:pPr>
                  <w:r>
                    <w:rPr>
                      <w:szCs w:val="24"/>
                      <w:lang w:eastAsia="lt-LT"/>
                    </w:rPr>
                    <w:t>Numatytos galimybės, sprendžiant pedagogų trūkumą savivaldybės švietimo įstaigose: būsimų mokytojų rengimas, mokytojų perkvalifikavimo finansavimas, jaunųjų pedagogų būsto nuoma, materialinė parama ir kt. Kaip didžiausios grėsmės įvardytos lėšų trūkumas ir jaunų žmonių nenoras rinktis pedagogo profesiją, kuri yra menkai apmokama, stokojama pozityvaus visuomenės palaikymo.</w:t>
                  </w:r>
                </w:p>
                <w:p>
                  <w:pPr>
                    <w:rPr>
                      <w:b/>
                      <w:szCs w:val="24"/>
                      <w:lang w:eastAsia="lt-LT"/>
                    </w:rPr>
                  </w:pPr>
                </w:p>
              </w:sdtContent>
            </w:sdt>
          </w:sdtContent>
        </w:sdt>
        <w:sdt>
          <w:sdtPr>
            <w:alias w:val="skyrius"/>
            <w:tag w:val="part_63c3a5cc73b74833ab9aaeaaedbda2c7"/>
            <w:lock w:val="sdtLocked"/>
            <w:richText/>
          </w:sdtPr>
          <w:sdtContent>
            <w:p>
              <w:pPr>
                <w:jc w:val="center"/>
                <w:rPr>
                  <w:b/>
                  <w:szCs w:val="24"/>
                  <w:lang w:eastAsia="lt-LT"/>
                </w:rPr>
              </w:pPr>
              <w:sdt>
                <w:sdtPr>
                  <w:alias w:val="Numeris"/>
                  <w:tag w:val="nr_63c3a5cc73b74833ab9aaeaaedbda2c7"/>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3c3a5cc73b74833ab9aaeaaedbda2c7"/>
                  <w:lock w:val="sdtLocked"/>
                  <w:richText/>
                </w:sdtPr>
                <w:sdtContent>
                  <w:r>
                    <w:rPr>
                      <w:b/>
                      <w:szCs w:val="24"/>
                      <w:lang w:eastAsia="lt-LT"/>
                    </w:rPr>
                    <w:t xml:space="preserve">PROGRAMOS ĮGYVENDINIMO PRIEMONĖS 2024–2026 M. </w:t>
                  </w:r>
                </w:sdtContent>
              </w:sdt>
            </w:p>
            <w:p>
              <w:pPr>
                <w:jc w:val="center"/>
                <w:rPr>
                  <w:b/>
                  <w:szCs w:val="24"/>
                  <w:lang w:eastAsia="lt-LT"/>
                </w:rPr>
              </w:pPr>
            </w:p>
            <w:p>
              <w:pPr>
                <w:ind w:firstLine="851"/>
                <w:jc w:val="both"/>
                <w:rPr>
                  <w:bCs/>
                  <w:szCs w:val="24"/>
                  <w:lang w:eastAsia="lt-LT"/>
                </w:rPr>
              </w:pPr>
              <w:r>
                <w:rPr>
                  <w:bCs/>
                  <w:szCs w:val="24"/>
                  <w:lang w:eastAsia="lt-LT"/>
                </w:rPr>
                <w:t>Programos įgyvendinimo tikslas – užtikrinti pedagogų poreikio tenkinimą Šiaulių mieste.</w:t>
              </w:r>
            </w:p>
            <w:p>
              <w:pPr>
                <w:ind w:firstLine="851"/>
                <w:jc w:val="both"/>
                <w:rPr>
                  <w:bCs/>
                  <w:szCs w:val="24"/>
                  <w:lang w:eastAsia="lt-LT"/>
                </w:rPr>
              </w:pPr>
              <w:r>
                <w:rPr>
                  <w:bCs/>
                  <w:szCs w:val="24"/>
                  <w:lang w:eastAsia="lt-LT"/>
                </w:rPr>
                <w:t>Programos įgyvendinimo uždaviniai:</w:t>
              </w:r>
            </w:p>
            <w:sdt>
              <w:sdtPr>
                <w:alias w:val="1 p."/>
                <w:tag w:val="part_40c36cfd98654bba820be611e3439abf"/>
                <w:lock w:val="sdtLocked"/>
                <w:richText/>
              </w:sdtPr>
              <w:sdtContent>
                <w:p>
                  <w:pPr>
                    <w:ind w:firstLine="851"/>
                    <w:jc w:val="both"/>
                    <w:rPr>
                      <w:bCs/>
                      <w:szCs w:val="24"/>
                      <w:lang w:eastAsia="lt-LT"/>
                    </w:rPr>
                  </w:pPr>
                  <w:sdt>
                    <w:sdtPr>
                      <w:alias w:val="Numeris"/>
                      <w:tag w:val="nr_40c36cfd98654bba820be611e3439abf"/>
                      <w:lock w:val="sdtLocked"/>
                      <w:richText/>
                    </w:sdtPr>
                    <w:sdtContent>
                      <w:r>
                        <w:rPr>
                          <w:bCs/>
                          <w:szCs w:val="24"/>
                          <w:lang w:eastAsia="lt-LT"/>
                        </w:rPr>
                        <w:t>1</w:t>
                      </w:r>
                    </w:sdtContent>
                  </w:sdt>
                  <w:r>
                    <w:rPr>
                      <w:bCs/>
                      <w:szCs w:val="24"/>
                      <w:lang w:eastAsia="lt-LT"/>
                    </w:rPr>
                    <w:t>.</w:t>
                    <w:tab/>
                    <w:t>Vykdyti pedagogų poreikio stebėseną Šiaulių miesto švietimo įstaigose.</w:t>
                  </w:r>
                </w:p>
              </w:sdtContent>
            </w:sdt>
            <w:sdt>
              <w:sdtPr>
                <w:alias w:val="2 p."/>
                <w:tag w:val="part_cbf506f1e37941e58417da87dafbbf7d"/>
                <w:lock w:val="sdtLocked"/>
                <w:richText/>
              </w:sdtPr>
              <w:sdtContent>
                <w:p>
                  <w:pPr>
                    <w:ind w:firstLine="851"/>
                    <w:jc w:val="both"/>
                    <w:rPr>
                      <w:bCs/>
                      <w:szCs w:val="24"/>
                      <w:lang w:eastAsia="lt-LT"/>
                    </w:rPr>
                  </w:pPr>
                  <w:sdt>
                    <w:sdtPr>
                      <w:alias w:val="Numeris"/>
                      <w:tag w:val="nr_cbf506f1e37941e58417da87dafbbf7d"/>
                      <w:lock w:val="sdtLocked"/>
                      <w:richText/>
                    </w:sdtPr>
                    <w:sdtContent>
                      <w:r>
                        <w:rPr>
                          <w:bCs/>
                          <w:szCs w:val="24"/>
                          <w:lang w:eastAsia="lt-LT"/>
                        </w:rPr>
                        <w:t>2</w:t>
                      </w:r>
                    </w:sdtContent>
                  </w:sdt>
                  <w:r>
                    <w:rPr>
                      <w:bCs/>
                      <w:szCs w:val="24"/>
                      <w:lang w:eastAsia="lt-LT"/>
                    </w:rPr>
                    <w:t>.</w:t>
                    <w:tab/>
                    <w:t>Orientuoti pažangiausius mokinius rinktis pedagogo profesiją.</w:t>
                  </w:r>
                </w:p>
              </w:sdtContent>
            </w:sdt>
            <w:sdt>
              <w:sdtPr>
                <w:alias w:val="3 p."/>
                <w:tag w:val="part_2279b89af2274080a3bff0a7d30cbda4"/>
                <w:lock w:val="sdtLocked"/>
                <w:richText/>
              </w:sdtPr>
              <w:sdtContent>
                <w:p>
                  <w:pPr>
                    <w:ind w:firstLine="851"/>
                    <w:jc w:val="both"/>
                    <w:rPr>
                      <w:bCs/>
                      <w:szCs w:val="24"/>
                      <w:lang w:eastAsia="lt-LT"/>
                    </w:rPr>
                  </w:pPr>
                  <w:sdt>
                    <w:sdtPr>
                      <w:alias w:val="Numeris"/>
                      <w:tag w:val="nr_2279b89af2274080a3bff0a7d30cbda4"/>
                      <w:lock w:val="sdtLocked"/>
                      <w:richText/>
                    </w:sdtPr>
                    <w:sdtContent>
                      <w:r>
                        <w:rPr>
                          <w:bCs/>
                          <w:szCs w:val="24"/>
                          <w:lang w:eastAsia="lt-LT"/>
                        </w:rPr>
                        <w:t>3</w:t>
                      </w:r>
                    </w:sdtContent>
                  </w:sdt>
                  <w:r>
                    <w:rPr>
                      <w:bCs/>
                      <w:szCs w:val="24"/>
                      <w:lang w:eastAsia="lt-LT"/>
                    </w:rPr>
                    <w:t>.</w:t>
                    <w:tab/>
                  </w:r>
                  <w:r>
                    <w:rPr>
                      <w:szCs w:val="24"/>
                      <w:lang w:eastAsia="lt-LT"/>
                    </w:rPr>
                    <w:t xml:space="preserve">Organizuoti pedagogų rengimą, </w:t>
                  </w:r>
                  <w:r>
                    <w:rPr>
                      <w:bCs/>
                      <w:szCs w:val="24"/>
                      <w:lang w:eastAsia="lt-LT"/>
                    </w:rPr>
                    <w:t>perkvalifikavimą ir (ar) papildomo mokomojo dalyko, pedagoginės kvalifikacijos įgijimą, kvalifikacijos tobulinimą.</w:t>
                  </w:r>
                </w:p>
              </w:sdtContent>
            </w:sdt>
            <w:sdt>
              <w:sdtPr>
                <w:alias w:val="4 p."/>
                <w:tag w:val="part_763ee2b28aaf4a1fb698512f93674d73"/>
                <w:lock w:val="sdtLocked"/>
                <w:richText/>
              </w:sdtPr>
              <w:sdtContent>
                <w:p>
                  <w:pPr>
                    <w:ind w:firstLine="851"/>
                    <w:jc w:val="both"/>
                    <w:rPr>
                      <w:bCs/>
                      <w:szCs w:val="24"/>
                      <w:lang w:eastAsia="lt-LT"/>
                    </w:rPr>
                  </w:pPr>
                  <w:sdt>
                    <w:sdtPr>
                      <w:alias w:val="Numeris"/>
                      <w:tag w:val="nr_763ee2b28aaf4a1fb698512f93674d73"/>
                      <w:lock w:val="sdtLocked"/>
                      <w:richText/>
                    </w:sdtPr>
                    <w:sdtContent>
                      <w:r>
                        <w:rPr>
                          <w:bCs/>
                          <w:szCs w:val="24"/>
                          <w:lang w:eastAsia="lt-LT"/>
                        </w:rPr>
                        <w:t>4</w:t>
                      </w:r>
                    </w:sdtContent>
                  </w:sdt>
                  <w:r>
                    <w:rPr>
                      <w:bCs/>
                      <w:szCs w:val="24"/>
                      <w:lang w:eastAsia="lt-LT"/>
                    </w:rPr>
                    <w:t>.</w:t>
                    <w:tab/>
                    <w:t>Populiarinti pedagogo profesiją, teikti finansinę paramą naujai priimtiems pedagogams.</w:t>
                  </w:r>
                </w:p>
                <w:p>
                  <w:pPr>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576"/>
                    <w:gridCol w:w="3387"/>
                    <w:gridCol w:w="1985"/>
                    <w:gridCol w:w="2128"/>
                    <w:gridCol w:w="1552"/>
                  </w:tblGrid>
                  <w:tr>
                    <w:tc>
                      <w:tcPr>
                        <w:tcW w:w="299" w:type="pct"/>
                      </w:tcPr>
                      <w:p>
                        <w:pPr>
                          <w:jc w:val="center"/>
                          <w:rPr>
                            <w:szCs w:val="24"/>
                            <w:lang w:eastAsia="lt-LT"/>
                          </w:rPr>
                        </w:pPr>
                        <w:r>
                          <w:rPr>
                            <w:szCs w:val="24"/>
                            <w:lang w:eastAsia="lt-LT"/>
                          </w:rPr>
                          <w:t>Eil. Nr.</w:t>
                        </w:r>
                      </w:p>
                    </w:tc>
                    <w:tc>
                      <w:tcPr>
                        <w:tcW w:w="1759" w:type="pct"/>
                      </w:tcPr>
                      <w:p>
                        <w:pPr>
                          <w:jc w:val="center"/>
                          <w:rPr>
                            <w:szCs w:val="24"/>
                            <w:lang w:eastAsia="lt-LT"/>
                          </w:rPr>
                        </w:pPr>
                        <w:r>
                          <w:rPr>
                            <w:szCs w:val="24"/>
                            <w:lang w:eastAsia="lt-LT"/>
                          </w:rPr>
                          <w:t>Priemonės</w:t>
                        </w:r>
                      </w:p>
                    </w:tc>
                    <w:tc>
                      <w:tcPr>
                        <w:tcW w:w="1031" w:type="pct"/>
                      </w:tcPr>
                      <w:p>
                        <w:pPr>
                          <w:jc w:val="center"/>
                          <w:rPr>
                            <w:szCs w:val="24"/>
                            <w:lang w:eastAsia="lt-LT"/>
                          </w:rPr>
                        </w:pPr>
                        <w:r>
                          <w:rPr>
                            <w:szCs w:val="24"/>
                            <w:lang w:eastAsia="lt-LT"/>
                          </w:rPr>
                          <w:t>Numatomas priemonės rezultatas per 3 metus</w:t>
                        </w:r>
                      </w:p>
                    </w:tc>
                    <w:tc>
                      <w:tcPr>
                        <w:tcW w:w="1105" w:type="pct"/>
                      </w:tcPr>
                      <w:p>
                        <w:pPr>
                          <w:jc w:val="center"/>
                          <w:rPr>
                            <w:szCs w:val="24"/>
                            <w:lang w:eastAsia="lt-LT"/>
                          </w:rPr>
                        </w:pPr>
                        <w:r>
                          <w:rPr>
                            <w:szCs w:val="24"/>
                            <w:lang w:eastAsia="lt-LT"/>
                          </w:rPr>
                          <w:t>Atsakinga institucija</w:t>
                        </w:r>
                      </w:p>
                    </w:tc>
                    <w:tc>
                      <w:tcPr>
                        <w:tcW w:w="805" w:type="pct"/>
                      </w:tcPr>
                      <w:p>
                        <w:pPr>
                          <w:jc w:val="center"/>
                          <w:rPr>
                            <w:szCs w:val="24"/>
                            <w:lang w:eastAsia="lt-LT"/>
                          </w:rPr>
                        </w:pPr>
                        <w:r>
                          <w:rPr>
                            <w:szCs w:val="24"/>
                            <w:lang w:eastAsia="lt-LT"/>
                          </w:rPr>
                          <w:t>Lėšų šaltinis*</w:t>
                        </w:r>
                      </w:p>
                    </w:tc>
                  </w:tr>
                  <w:tr>
                    <w:tc>
                      <w:tcPr>
                        <w:tcW w:w="5000" w:type="pct"/>
                        <w:gridSpan w:val="5"/>
                        <w:tcBorders>
                          <w:right w:val="single" w:sz="4" w:space="0" w:color="auto"/>
                        </w:tcBorders>
                      </w:tcPr>
                      <w:p>
                        <w:pPr>
                          <w:rPr>
                            <w:b/>
                            <w:bCs/>
                            <w:szCs w:val="24"/>
                            <w:lang w:eastAsia="lt-LT"/>
                          </w:rPr>
                        </w:pPr>
                        <w:r>
                          <w:rPr>
                            <w:b/>
                            <w:bCs/>
                            <w:szCs w:val="24"/>
                            <w:lang w:eastAsia="lt-LT"/>
                          </w:rPr>
                          <w:t>1 uždavinys. Vykdyti pedagogų poreikio stebėseną Šiaulių miesto švietimo įstaigose</w:t>
                        </w:r>
                      </w:p>
                    </w:tc>
                  </w:tr>
                  <w:tr>
                    <w:tc>
                      <w:tcPr>
                        <w:tcW w:w="299" w:type="pct"/>
                      </w:tcPr>
                      <w:p>
                        <w:pPr>
                          <w:rPr>
                            <w:szCs w:val="24"/>
                            <w:lang w:eastAsia="lt-LT"/>
                          </w:rPr>
                        </w:pPr>
                        <w:r>
                          <w:rPr>
                            <w:szCs w:val="24"/>
                            <w:lang w:eastAsia="lt-LT"/>
                          </w:rPr>
                          <w:t>1.1.</w:t>
                        </w:r>
                      </w:p>
                    </w:tc>
                    <w:tc>
                      <w:tcPr>
                        <w:tcW w:w="1759" w:type="pct"/>
                      </w:tcPr>
                      <w:p>
                        <w:pPr>
                          <w:rPr>
                            <w:szCs w:val="24"/>
                            <w:lang w:eastAsia="lt-LT"/>
                          </w:rPr>
                        </w:pPr>
                        <w:r>
                          <w:rPr>
                            <w:szCs w:val="24"/>
                            <w:lang w:eastAsia="lt-LT"/>
                          </w:rPr>
                          <w:t>Švietimo įstaigos direktorių apklausos dėl mokytojų, pagalbos mokiniui specialistų poreikio</w:t>
                        </w:r>
                      </w:p>
                    </w:tc>
                    <w:tc>
                      <w:tcPr>
                        <w:tcW w:w="1031" w:type="pct"/>
                      </w:tcPr>
                      <w:p>
                        <w:pPr>
                          <w:rPr>
                            <w:szCs w:val="24"/>
                            <w:lang w:eastAsia="lt-LT"/>
                          </w:rPr>
                        </w:pPr>
                        <w:r>
                          <w:rPr>
                            <w:bCs/>
                            <w:szCs w:val="24"/>
                            <w:lang w:eastAsia="lt-LT"/>
                          </w:rPr>
                          <w:t>1 ataskaita kasmet</w:t>
                        </w:r>
                      </w:p>
                    </w:tc>
                    <w:tc>
                      <w:tcPr>
                        <w:tcW w:w="1105" w:type="pct"/>
                      </w:tcPr>
                      <w:p>
                        <w:pPr>
                          <w:rPr>
                            <w:szCs w:val="24"/>
                            <w:lang w:eastAsia="lt-LT"/>
                          </w:rPr>
                        </w:pPr>
                        <w:r>
                          <w:rPr>
                            <w:bCs/>
                            <w:szCs w:val="24"/>
                            <w:lang w:eastAsia="lt-LT"/>
                          </w:rPr>
                          <w:t>Šiaulių švietimo kompetencijų centras</w:t>
                        </w:r>
                        <w:r>
                          <w:rPr>
                            <w:szCs w:val="24"/>
                            <w:lang w:eastAsia="lt-LT"/>
                          </w:rPr>
                          <w:t xml:space="preserve">, </w:t>
                        </w:r>
                      </w:p>
                      <w:p>
                        <w:pPr>
                          <w:rPr>
                            <w:bCs/>
                            <w:szCs w:val="24"/>
                            <w:lang w:eastAsia="lt-LT"/>
                          </w:rPr>
                        </w:pPr>
                        <w:r>
                          <w:rPr>
                            <w:szCs w:val="24"/>
                            <w:lang w:eastAsia="lt-LT"/>
                          </w:rPr>
                          <w:t>švietimo įstaigos</w:t>
                        </w:r>
                      </w:p>
                    </w:tc>
                    <w:tc>
                      <w:tcPr>
                        <w:tcW w:w="805" w:type="pct"/>
                        <w:tcBorders>
                          <w:right w:val="single" w:sz="4" w:space="0" w:color="auto"/>
                        </w:tcBorders>
                      </w:tcPr>
                      <w:p>
                        <w:pPr>
                          <w:jc w:val="center"/>
                          <w:rPr>
                            <w:strike/>
                            <w:szCs w:val="24"/>
                            <w:lang w:eastAsia="lt-LT"/>
                          </w:rPr>
                        </w:pPr>
                        <w:r>
                          <w:rPr>
                            <w:strike/>
                            <w:szCs w:val="24"/>
                            <w:lang w:eastAsia="lt-LT"/>
                          </w:rPr>
                          <w:t>-</w:t>
                        </w:r>
                      </w:p>
                    </w:tc>
                  </w:tr>
                  <w:tr>
                    <w:tc>
                      <w:tcPr>
                        <w:tcW w:w="299" w:type="pct"/>
                      </w:tcPr>
                      <w:p>
                        <w:pPr>
                          <w:rPr>
                            <w:szCs w:val="24"/>
                            <w:lang w:eastAsia="lt-LT"/>
                          </w:rPr>
                        </w:pPr>
                        <w:r>
                          <w:rPr>
                            <w:szCs w:val="24"/>
                            <w:lang w:eastAsia="lt-LT"/>
                          </w:rPr>
                          <w:t>1.2.</w:t>
                        </w:r>
                      </w:p>
                    </w:tc>
                    <w:tc>
                      <w:tcPr>
                        <w:tcW w:w="1759" w:type="pct"/>
                      </w:tcPr>
                      <w:p>
                        <w:pPr>
                          <w:rPr>
                            <w:szCs w:val="24"/>
                            <w:lang w:eastAsia="lt-LT"/>
                          </w:rPr>
                        </w:pPr>
                        <w:r>
                          <w:rPr>
                            <w:szCs w:val="24"/>
                            <w:lang w:eastAsia="lt-LT"/>
                          </w:rPr>
                          <w:t>Pedagogų rezervo duomenų bazės sukūrimas</w:t>
                        </w:r>
                      </w:p>
                    </w:tc>
                    <w:tc>
                      <w:tcPr>
                        <w:tcW w:w="1031" w:type="pct"/>
                      </w:tcPr>
                      <w:p>
                        <w:pPr>
                          <w:rPr>
                            <w:szCs w:val="24"/>
                            <w:lang w:eastAsia="lt-LT"/>
                          </w:rPr>
                        </w:pPr>
                        <w:r>
                          <w:rPr>
                            <w:szCs w:val="24"/>
                            <w:lang w:eastAsia="lt-LT"/>
                          </w:rPr>
                          <w:t>1 duomenų bazė</w:t>
                        </w:r>
                      </w:p>
                    </w:tc>
                    <w:tc>
                      <w:tcPr>
                        <w:tcW w:w="1105" w:type="pct"/>
                      </w:tcPr>
                      <w:p>
                        <w:pPr>
                          <w:rPr>
                            <w:szCs w:val="24"/>
                            <w:lang w:eastAsia="lt-LT"/>
                          </w:rPr>
                        </w:pPr>
                        <w:r>
                          <w:rPr>
                            <w:szCs w:val="24"/>
                            <w:lang w:eastAsia="lt-LT"/>
                          </w:rPr>
                          <w:t>Švietimo skyrius,</w:t>
                        </w:r>
                      </w:p>
                      <w:p>
                        <w:pPr>
                          <w:rPr>
                            <w:szCs w:val="24"/>
                            <w:lang w:eastAsia="lt-LT"/>
                          </w:rPr>
                        </w:pPr>
                        <w:r>
                          <w:rPr>
                            <w:bCs/>
                            <w:szCs w:val="24"/>
                            <w:lang w:eastAsia="lt-LT"/>
                          </w:rPr>
                          <w:t>Šiaulių švietimo kompetencijų centras</w:t>
                        </w:r>
                      </w:p>
                    </w:tc>
                    <w:tc>
                      <w:tcPr>
                        <w:tcW w:w="805" w:type="pct"/>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1.3.</w:t>
                        </w:r>
                      </w:p>
                    </w:tc>
                    <w:tc>
                      <w:tcPr>
                        <w:tcW w:w="1759" w:type="pct"/>
                      </w:tcPr>
                      <w:p>
                        <w:pPr>
                          <w:rPr>
                            <w:szCs w:val="24"/>
                            <w:lang w:eastAsia="lt-LT"/>
                          </w:rPr>
                        </w:pPr>
                        <w:r>
                          <w:rPr>
                            <w:szCs w:val="24"/>
                            <w:lang w:eastAsia="lt-LT"/>
                          </w:rPr>
                          <w:t>Mokinių apklausa, siekiant išsiaiškinti norinčiuosius rinktis pedagogines studijas</w:t>
                        </w:r>
                      </w:p>
                    </w:tc>
                    <w:tc>
                      <w:tcPr>
                        <w:tcW w:w="1031" w:type="pct"/>
                      </w:tcPr>
                      <w:p>
                        <w:pPr>
                          <w:rPr>
                            <w:szCs w:val="24"/>
                            <w:lang w:eastAsia="lt-LT"/>
                          </w:rPr>
                        </w:pPr>
                        <w:r>
                          <w:rPr>
                            <w:szCs w:val="24"/>
                            <w:lang w:eastAsia="lt-LT"/>
                          </w:rPr>
                          <w:t>1 ataskaita kasmet</w:t>
                        </w:r>
                      </w:p>
                    </w:tc>
                    <w:tc>
                      <w:tcPr>
                        <w:tcW w:w="1105" w:type="pct"/>
                      </w:tcPr>
                      <w:p>
                        <w:pPr>
                          <w:rPr>
                            <w:bCs/>
                            <w:szCs w:val="24"/>
                            <w:lang w:eastAsia="lt-LT"/>
                          </w:rPr>
                        </w:pPr>
                        <w:r>
                          <w:rPr>
                            <w:bCs/>
                            <w:szCs w:val="24"/>
                            <w:lang w:eastAsia="lt-LT"/>
                          </w:rPr>
                          <w:t xml:space="preserve">Šiaulių švietimo kompetencijų centras, </w:t>
                        </w:r>
                      </w:p>
                      <w:p>
                        <w:pPr>
                          <w:rPr>
                            <w:szCs w:val="24"/>
                            <w:lang w:eastAsia="lt-LT"/>
                          </w:rPr>
                        </w:pPr>
                        <w:r>
                          <w:rPr>
                            <w:bCs/>
                            <w:szCs w:val="24"/>
                            <w:lang w:eastAsia="lt-LT"/>
                          </w:rPr>
                          <w:t>švietimo įstaigos</w:t>
                        </w:r>
                      </w:p>
                    </w:tc>
                    <w:tc>
                      <w:tcPr>
                        <w:tcW w:w="805" w:type="pct"/>
                      </w:tcPr>
                      <w:p>
                        <w:pPr>
                          <w:rPr>
                            <w:b/>
                            <w:bCs/>
                            <w:strike/>
                            <w:szCs w:val="24"/>
                            <w:lang w:eastAsia="lt-LT"/>
                          </w:rPr>
                        </w:pPr>
                        <w:r>
                          <w:rPr>
                            <w:szCs w:val="24"/>
                            <w:lang w:eastAsia="lt-LT"/>
                          </w:rPr>
                          <w:t>Savivaldybės biudžeto lėšos</w:t>
                        </w:r>
                      </w:p>
                    </w:tc>
                  </w:tr>
                  <w:tr>
                    <w:tc>
                      <w:tcPr>
                        <w:tcW w:w="5000" w:type="pct"/>
                        <w:gridSpan w:val="5"/>
                      </w:tcPr>
                      <w:p>
                        <w:pPr>
                          <w:rPr>
                            <w:b/>
                            <w:szCs w:val="24"/>
                            <w:lang w:eastAsia="lt-LT"/>
                          </w:rPr>
                        </w:pPr>
                        <w:r>
                          <w:rPr>
                            <w:b/>
                            <w:szCs w:val="24"/>
                            <w:lang w:eastAsia="lt-LT"/>
                          </w:rPr>
                          <w:t>2 uždavinys. Orientuoti pažangiausius mokinius rinktis pedagogo profesiją</w:t>
                        </w:r>
                      </w:p>
                    </w:tc>
                  </w:tr>
                  <w:tr>
                    <w:tc>
                      <w:tcPr>
                        <w:tcW w:w="299" w:type="pct"/>
                      </w:tcPr>
                      <w:p>
                        <w:pPr>
                          <w:rPr>
                            <w:szCs w:val="24"/>
                            <w:lang w:eastAsia="lt-LT"/>
                          </w:rPr>
                        </w:pPr>
                        <w:r>
                          <w:rPr>
                            <w:szCs w:val="24"/>
                            <w:lang w:eastAsia="lt-LT"/>
                          </w:rPr>
                          <w:t>2.1.</w:t>
                        </w:r>
                      </w:p>
                    </w:tc>
                    <w:tc>
                      <w:tcPr>
                        <w:tcW w:w="1759" w:type="pct"/>
                      </w:tcPr>
                      <w:p>
                        <w:pPr>
                          <w:rPr>
                            <w:szCs w:val="24"/>
                            <w:lang w:eastAsia="lt-LT"/>
                          </w:rPr>
                        </w:pPr>
                        <w:r>
                          <w:rPr>
                            <w:szCs w:val="24"/>
                            <w:lang w:eastAsia="lt-LT"/>
                          </w:rPr>
                          <w:t>Mokinių skatinimas dalyvauti atvirųjų durų dienose universitetuose ir kolegijose, teikiančiose pedagoginį išsilavinimą, transporto išlaidų apmokėjimas</w:t>
                        </w:r>
                      </w:p>
                    </w:tc>
                    <w:tc>
                      <w:tcPr>
                        <w:tcW w:w="1031" w:type="pct"/>
                      </w:tcPr>
                      <w:p>
                        <w:pPr>
                          <w:rPr>
                            <w:szCs w:val="24"/>
                            <w:lang w:eastAsia="lt-LT"/>
                          </w:rPr>
                        </w:pPr>
                        <w:r>
                          <w:rPr>
                            <w:szCs w:val="24"/>
                            <w:lang w:eastAsia="lt-LT"/>
                          </w:rPr>
                          <w:t>Ne mažiau kaip 5 11–12 klasių mokiniai iš kiekvienos gimnazijos dalyvauja atvirų durų dienose</w:t>
                        </w:r>
                      </w:p>
                    </w:tc>
                    <w:tc>
                      <w:tcPr>
                        <w:tcW w:w="1105" w:type="pct"/>
                      </w:tcPr>
                      <w:p>
                        <w:pPr>
                          <w:rPr>
                            <w:szCs w:val="24"/>
                            <w:lang w:eastAsia="lt-LT"/>
                          </w:rPr>
                        </w:pPr>
                        <w:r>
                          <w:rPr>
                            <w:bCs/>
                            <w:szCs w:val="24"/>
                            <w:lang w:eastAsia="lt-LT"/>
                          </w:rPr>
                          <w:t>Šiaulių švietimo kompetencijų centras</w:t>
                        </w:r>
                        <w:r>
                          <w:rPr>
                            <w:szCs w:val="24"/>
                            <w:lang w:eastAsia="lt-LT"/>
                          </w:rPr>
                          <w:t xml:space="preserve">, </w:t>
                        </w:r>
                      </w:p>
                      <w:p>
                        <w:pPr>
                          <w:rPr>
                            <w:szCs w:val="24"/>
                            <w:lang w:eastAsia="lt-LT"/>
                          </w:rPr>
                        </w:pPr>
                        <w:r>
                          <w:rPr>
                            <w:szCs w:val="24"/>
                            <w:lang w:eastAsia="lt-LT"/>
                          </w:rPr>
                          <w:t xml:space="preserve">švietimo įstaigos, </w:t>
                        </w:r>
                      </w:p>
                      <w:p>
                        <w:pPr>
                          <w:rPr>
                            <w:bCs/>
                            <w:szCs w:val="24"/>
                            <w:lang w:eastAsia="lt-LT"/>
                          </w:rPr>
                        </w:pPr>
                        <w:r>
                          <w:rPr>
                            <w:szCs w:val="24"/>
                            <w:lang w:eastAsia="lt-LT"/>
                          </w:rPr>
                          <w:t>aukštosios mokyklos</w:t>
                        </w:r>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švietimo įstaigų lėšos</w:t>
                        </w:r>
                      </w:p>
                    </w:tc>
                  </w:tr>
                  <w:tr>
                    <w:tc>
                      <w:tcPr>
                        <w:tcW w:w="299" w:type="pct"/>
                      </w:tcPr>
                      <w:p>
                        <w:pPr>
                          <w:rPr>
                            <w:szCs w:val="24"/>
                            <w:lang w:eastAsia="lt-LT"/>
                          </w:rPr>
                        </w:pPr>
                        <w:r>
                          <w:rPr>
                            <w:szCs w:val="24"/>
                            <w:lang w:eastAsia="lt-LT"/>
                          </w:rPr>
                          <w:t>2.2.</w:t>
                        </w:r>
                      </w:p>
                    </w:tc>
                    <w:tc>
                      <w:tcPr>
                        <w:tcW w:w="1759" w:type="pct"/>
                      </w:tcPr>
                      <w:p>
                        <w:pPr>
                          <w:rPr>
                            <w:szCs w:val="24"/>
                            <w:lang w:eastAsia="lt-LT"/>
                          </w:rPr>
                        </w:pPr>
                        <w:r>
                          <w:rPr>
                            <w:szCs w:val="24"/>
                            <w:lang w:eastAsia="lt-LT"/>
                          </w:rPr>
                          <w:t>Karjeros specialistų veiklos orientavimas į pedagogų profesijos populiarinimą per programas „Renkuosi mokyti“, „Pasimatuok profesiją“ ir kt., transporto išlaidų apmokėjimas</w:t>
                        </w:r>
                      </w:p>
                    </w:tc>
                    <w:tc>
                      <w:tcPr>
                        <w:tcW w:w="1031" w:type="pct"/>
                      </w:tcPr>
                      <w:p>
                        <w:pPr>
                          <w:rPr>
                            <w:color w:val="FF0000"/>
                            <w:szCs w:val="24"/>
                            <w:lang w:eastAsia="lt-LT"/>
                          </w:rPr>
                        </w:pPr>
                        <w:r>
                          <w:rPr>
                            <w:szCs w:val="24"/>
                            <w:lang w:eastAsia="lt-LT"/>
                          </w:rPr>
                          <w:t>Ne mažiau kaip 5 11–12 klasių mokiniai iš Šiaulių miesto gimnazijų kasmet dalyvauja programose „Renkuosi mokyti“, „Pasimatuok profesiją“ ir kt.</w:t>
                        </w:r>
                      </w:p>
                    </w:tc>
                    <w:tc>
                      <w:tcPr>
                        <w:tcW w:w="1105" w:type="pct"/>
                      </w:tcPr>
                      <w:p>
                        <w:pPr>
                          <w:rPr>
                            <w:bCs/>
                            <w:szCs w:val="24"/>
                            <w:lang w:eastAsia="lt-LT"/>
                          </w:rPr>
                        </w:pPr>
                        <w:r>
                          <w:rPr>
                            <w:bCs/>
                            <w:szCs w:val="24"/>
                            <w:lang w:eastAsia="lt-LT"/>
                          </w:rPr>
                          <w:t>Švietimo įstaigos</w:t>
                        </w:r>
                      </w:p>
                    </w:tc>
                    <w:tc>
                      <w:tcPr>
                        <w:tcW w:w="805" w:type="pct"/>
                      </w:tcPr>
                      <w:p>
                        <w:pPr>
                          <w:rPr>
                            <w:strike/>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2.3.</w:t>
                        </w:r>
                      </w:p>
                    </w:tc>
                    <w:tc>
                      <w:tcPr>
                        <w:tcW w:w="1759" w:type="pct"/>
                        <w:shd w:val="clear" w:color="auto" w:fill="FFFFFF"/>
                      </w:tcPr>
                      <w:p>
                        <w:pPr>
                          <w:rPr>
                            <w:szCs w:val="24"/>
                            <w:lang w:eastAsia="lt-LT"/>
                          </w:rPr>
                        </w:pPr>
                        <w:r>
                          <w:rPr>
                            <w:szCs w:val="24"/>
                            <w:lang w:eastAsia="lt-LT"/>
                          </w:rPr>
                          <w:t>Vasaros stovyklos „Jaunasis pedagogas“ organizavimas 9–11 klasių mokiniams</w:t>
                        </w:r>
                      </w:p>
                    </w:tc>
                    <w:tc>
                      <w:tcPr>
                        <w:tcW w:w="1031" w:type="pct"/>
                        <w:shd w:val="clear" w:color="auto" w:fill="FFFFFF"/>
                      </w:tcPr>
                      <w:p>
                        <w:pPr>
                          <w:rPr>
                            <w:szCs w:val="24"/>
                            <w:lang w:eastAsia="lt-LT"/>
                          </w:rPr>
                        </w:pPr>
                        <w:r>
                          <w:rPr>
                            <w:szCs w:val="24"/>
                            <w:lang w:eastAsia="lt-LT"/>
                          </w:rPr>
                          <w:t>Viena 5 dienų vasaros stovykla, 13 dalyvių kasmet</w:t>
                        </w:r>
                      </w:p>
                    </w:tc>
                    <w:tc>
                      <w:tcPr>
                        <w:tcW w:w="1105" w:type="pct"/>
                        <w:shd w:val="clear" w:color="auto" w:fill="FFFFFF"/>
                      </w:tcPr>
                      <w:p>
                        <w:pPr>
                          <w:rPr>
                            <w:bCs/>
                            <w:szCs w:val="24"/>
                            <w:lang w:eastAsia="lt-LT"/>
                          </w:rPr>
                        </w:pPr>
                        <w:r>
                          <w:rPr>
                            <w:bCs/>
                            <w:szCs w:val="24"/>
                            <w:lang w:eastAsia="lt-LT"/>
                          </w:rPr>
                          <w:t>Švietimo skyrius</w:t>
                        </w:r>
                      </w:p>
                      <w:p>
                        <w:pPr>
                          <w:rPr>
                            <w:bCs/>
                            <w:strike/>
                            <w:szCs w:val="24"/>
                            <w:lang w:eastAsia="lt-LT"/>
                          </w:rPr>
                        </w:pPr>
                      </w:p>
                    </w:tc>
                    <w:tc>
                      <w:tcPr>
                        <w:tcW w:w="805" w:type="pct"/>
                        <w:shd w:val="clear" w:color="auto" w:fill="FFFFFF"/>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2.4.</w:t>
                        </w:r>
                      </w:p>
                    </w:tc>
                    <w:tc>
                      <w:tcPr>
                        <w:tcW w:w="1759" w:type="pct"/>
                      </w:tcPr>
                      <w:p>
                        <w:pPr>
                          <w:rPr>
                            <w:szCs w:val="24"/>
                            <w:lang w:eastAsia="lt-LT"/>
                          </w:rPr>
                        </w:pPr>
                        <w:r>
                          <w:rPr>
                            <w:szCs w:val="24"/>
                            <w:lang w:eastAsia="lt-LT"/>
                          </w:rPr>
                          <w:t>Pedagoginių studijų pasirinkimo skatinimas</w:t>
                        </w:r>
                      </w:p>
                    </w:tc>
                    <w:tc>
                      <w:tcPr>
                        <w:tcW w:w="1031" w:type="pct"/>
                      </w:tcPr>
                      <w:p>
                        <w:pPr>
                          <w:rPr>
                            <w:szCs w:val="24"/>
                            <w:lang w:eastAsia="lt-LT"/>
                          </w:rPr>
                        </w:pPr>
                        <w:r>
                          <w:rPr>
                            <w:szCs w:val="24"/>
                            <w:lang w:eastAsia="lt-LT"/>
                          </w:rPr>
                          <w:t>Ne mažiau kaip po 1 profesinio veiklinimo ir po 1 profesinio informavimo renginį kiekvienoje švietimo įstaigoje kasmet</w:t>
                        </w:r>
                      </w:p>
                    </w:tc>
                    <w:tc>
                      <w:tcPr>
                        <w:tcW w:w="1105" w:type="pct"/>
                      </w:tcPr>
                      <w:p>
                        <w:pPr>
                          <w:rPr>
                            <w:bCs/>
                            <w:szCs w:val="24"/>
                            <w:lang w:eastAsia="lt-LT"/>
                          </w:rPr>
                        </w:pPr>
                        <w:r>
                          <w:rPr>
                            <w:szCs w:val="24"/>
                            <w:lang w:eastAsia="lt-LT"/>
                          </w:rPr>
                          <w:t>Švietimo įstaigų karjeros specialistai,</w:t>
                        </w:r>
                        <w:r>
                          <w:rPr>
                            <w:bCs/>
                            <w:szCs w:val="24"/>
                            <w:lang w:eastAsia="lt-LT"/>
                          </w:rPr>
                          <w:t xml:space="preserve"> </w:t>
                        </w:r>
                      </w:p>
                      <w:p>
                        <w:pPr>
                          <w:rPr>
                            <w:szCs w:val="24"/>
                            <w:lang w:eastAsia="lt-LT"/>
                          </w:rPr>
                        </w:pPr>
                        <w:r>
                          <w:rPr>
                            <w:bCs/>
                            <w:szCs w:val="24"/>
                            <w:lang w:eastAsia="lt-LT"/>
                          </w:rPr>
                          <w:t>Šiaulių švietimo kompetencijų centras</w:t>
                        </w:r>
                      </w:p>
                    </w:tc>
                    <w:tc>
                      <w:tcPr>
                        <w:tcW w:w="805" w:type="pct"/>
                      </w:tcPr>
                      <w:p>
                        <w:pPr>
                          <w:jc w:val="center"/>
                          <w:rPr>
                            <w:szCs w:val="24"/>
                            <w:lang w:eastAsia="lt-LT"/>
                          </w:rPr>
                        </w:pPr>
                        <w:r>
                          <w:rPr>
                            <w:szCs w:val="24"/>
                            <w:lang w:eastAsia="lt-LT"/>
                          </w:rPr>
                          <w:t>-</w:t>
                        </w:r>
                      </w:p>
                    </w:tc>
                  </w:tr>
                  <w:tr>
                    <w:tc>
                      <w:tcPr>
                        <w:tcW w:w="5000" w:type="pct"/>
                        <w:gridSpan w:val="5"/>
                      </w:tcPr>
                      <w:p>
                        <w:pPr>
                          <w:ind w:left="29"/>
                          <w:jc w:val="both"/>
                          <w:rPr>
                            <w:bCs/>
                            <w:szCs w:val="24"/>
                            <w:lang w:eastAsia="lt-LT"/>
                          </w:rPr>
                        </w:pPr>
                        <w:r>
                          <w:rPr>
                            <w:b/>
                            <w:szCs w:val="24"/>
                            <w:lang w:eastAsia="lt-LT"/>
                          </w:rPr>
                          <w:t>3 uždavinys. Organizuoti pedagogų rengimą, perkvalifikavimą ir (ar) papildomo mokomojo dalyko, pedagoginės kvalifikacijos įgijimą, kvalifikacijos tobulinimą</w:t>
                        </w:r>
                      </w:p>
                    </w:tc>
                  </w:tr>
                  <w:tr>
                    <w:tc>
                      <w:tcPr>
                        <w:tcW w:w="299" w:type="pct"/>
                      </w:tcPr>
                      <w:p>
                        <w:pPr>
                          <w:rPr>
                            <w:szCs w:val="24"/>
                            <w:lang w:eastAsia="lt-LT"/>
                          </w:rPr>
                        </w:pPr>
                        <w:r>
                          <w:rPr>
                            <w:szCs w:val="24"/>
                            <w:lang w:eastAsia="lt-LT"/>
                          </w:rPr>
                          <w:t>3.1.</w:t>
                        </w:r>
                      </w:p>
                    </w:tc>
                    <w:tc>
                      <w:tcPr>
                        <w:tcW w:w="1759" w:type="pct"/>
                      </w:tcPr>
                      <w:p>
                        <w:pPr>
                          <w:rPr>
                            <w:szCs w:val="24"/>
                            <w:lang w:eastAsia="lt-LT"/>
                          </w:rPr>
                        </w:pPr>
                        <w:r>
                          <w:rPr>
                            <w:szCs w:val="24"/>
                            <w:lang w:eastAsia="lt-LT"/>
                          </w:rPr>
                          <w:t>Trūkstamų specialybių pedagogų perkvalifikavimo ir (ar) papildomo mokomojo dalyko specializacijos dalinis studijų finansavimas (80 proc.)</w:t>
                        </w:r>
                      </w:p>
                    </w:tc>
                    <w:tc>
                      <w:tcPr>
                        <w:tcW w:w="1031" w:type="pct"/>
                      </w:tcPr>
                      <w:p>
                        <w:pPr>
                          <w:rPr>
                            <w:szCs w:val="24"/>
                            <w:lang w:eastAsia="lt-LT"/>
                          </w:rPr>
                        </w:pPr>
                        <w:r>
                          <w:rPr>
                            <w:szCs w:val="24"/>
                            <w:lang w:eastAsia="lt-LT"/>
                          </w:rPr>
                          <w:t>3 asmenys kasmet</w:t>
                        </w:r>
                      </w:p>
                    </w:tc>
                    <w:tc>
                      <w:tcPr>
                        <w:tcW w:w="1105" w:type="pct"/>
                      </w:tcPr>
                      <w:p>
                        <w:pPr>
                          <w:rPr>
                            <w:szCs w:val="24"/>
                            <w:lang w:eastAsia="lt-LT"/>
                          </w:rPr>
                        </w:pPr>
                        <w:r>
                          <w:rPr>
                            <w:szCs w:val="24"/>
                            <w:lang w:eastAsia="lt-LT"/>
                          </w:rPr>
                          <w:t xml:space="preserve">Šiaulių miesto savivaldybės administracijos  (toliau – Savivaldybės administracija) Švietimo skyrius (toliau – Švietimo skyrius)</w:t>
                        </w:r>
                      </w:p>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aukštųjų mokyklų lėšos;</w:t>
                        </w:r>
                      </w:p>
                      <w:p>
                        <w:pPr>
                          <w:rPr>
                            <w:szCs w:val="24"/>
                            <w:lang w:eastAsia="lt-LT"/>
                          </w:rPr>
                        </w:pPr>
                        <w:r>
                          <w:rPr>
                            <w:szCs w:val="24"/>
                            <w:lang w:eastAsia="lt-LT"/>
                          </w:rPr>
                          <w:t>studento asmeninės lėšos</w:t>
                        </w:r>
                      </w:p>
                    </w:tc>
                  </w:tr>
                  <w:tr>
                    <w:trPr>
                      <w:trHeight w:val="812"/>
                    </w:trPr>
                    <w:tc>
                      <w:tcPr>
                        <w:tcW w:w="299" w:type="pct"/>
                      </w:tcPr>
                      <w:p>
                        <w:pPr>
                          <w:rPr>
                            <w:szCs w:val="24"/>
                            <w:lang w:eastAsia="lt-LT"/>
                          </w:rPr>
                        </w:pPr>
                        <w:r>
                          <w:rPr>
                            <w:szCs w:val="24"/>
                            <w:lang w:eastAsia="lt-LT"/>
                          </w:rPr>
                          <w:t>3.2.</w:t>
                        </w:r>
                      </w:p>
                    </w:tc>
                    <w:tc>
                      <w:tcPr>
                        <w:tcW w:w="1759" w:type="pct"/>
                      </w:tcPr>
                      <w:p>
                        <w:pPr>
                          <w:rPr>
                            <w:szCs w:val="24"/>
                            <w:lang w:eastAsia="lt-LT"/>
                          </w:rPr>
                        </w:pPr>
                        <w:r>
                          <w:rPr>
                            <w:szCs w:val="24"/>
                            <w:lang w:eastAsia="lt-LT"/>
                          </w:rPr>
                          <w:t>Trūkstamų mokomųjų dalykų asmenų, pageidaujančių įgyti pedagoginę kvalifikaciją, dalinis studijų finansavimas (80 proc.)</w:t>
                        </w:r>
                      </w:p>
                    </w:tc>
                    <w:tc>
                      <w:tcPr>
                        <w:tcW w:w="1031" w:type="pct"/>
                      </w:tcPr>
                      <w:p>
                        <w:pPr>
                          <w:rPr>
                            <w:szCs w:val="24"/>
                            <w:lang w:eastAsia="lt-LT"/>
                          </w:rPr>
                        </w:pPr>
                        <w:r>
                          <w:rPr>
                            <w:szCs w:val="24"/>
                            <w:lang w:eastAsia="lt-LT"/>
                          </w:rPr>
                          <w:t>3 asmenys kasmet</w:t>
                        </w:r>
                      </w:p>
                    </w:tc>
                    <w:tc>
                      <w:tcPr>
                        <w:tcW w:w="1105" w:type="pct"/>
                      </w:tcPr>
                      <w:p>
                        <w:pPr>
                          <w:ind w:right="-91"/>
                          <w:rPr>
                            <w:szCs w:val="24"/>
                            <w:lang w:eastAsia="lt-LT"/>
                          </w:rPr>
                        </w:pPr>
                        <w:r>
                          <w:rPr>
                            <w:szCs w:val="24"/>
                            <w:lang w:eastAsia="lt-LT"/>
                          </w:rPr>
                          <w:t>Švietimo skyrius</w:t>
                        </w:r>
                      </w:p>
                    </w:tc>
                    <w:tc>
                      <w:tcPr>
                        <w:tcW w:w="805" w:type="pct"/>
                      </w:tcPr>
                      <w:p>
                        <w:pPr>
                          <w:rPr>
                            <w:szCs w:val="24"/>
                            <w:lang w:eastAsia="lt-LT"/>
                          </w:rPr>
                        </w:pPr>
                        <w:r>
                          <w:rPr>
                            <w:szCs w:val="24"/>
                            <w:lang w:eastAsia="lt-LT"/>
                          </w:rPr>
                          <w:t>Savivaldybės biudžeto,</w:t>
                        </w:r>
                      </w:p>
                      <w:p>
                        <w:pPr>
                          <w:rPr>
                            <w:szCs w:val="24"/>
                            <w:lang w:eastAsia="lt-LT"/>
                          </w:rPr>
                        </w:pPr>
                        <w:r>
                          <w:rPr>
                            <w:szCs w:val="24"/>
                            <w:lang w:eastAsia="lt-LT"/>
                          </w:rPr>
                          <w:t>aukštųjų mokyklų lėšos;</w:t>
                        </w:r>
                      </w:p>
                      <w:p>
                        <w:pPr>
                          <w:ind w:right="-91"/>
                          <w:rPr>
                            <w:szCs w:val="24"/>
                            <w:lang w:eastAsia="lt-LT"/>
                          </w:rPr>
                        </w:pPr>
                        <w:r>
                          <w:rPr>
                            <w:szCs w:val="24"/>
                            <w:lang w:eastAsia="lt-LT"/>
                          </w:rPr>
                          <w:t>studento asmeninės lėšos</w:t>
                        </w:r>
                      </w:p>
                    </w:tc>
                  </w:tr>
                  <w:tr>
                    <w:tc>
                      <w:tcPr>
                        <w:tcW w:w="299" w:type="pct"/>
                      </w:tcPr>
                      <w:p>
                        <w:pPr>
                          <w:rPr>
                            <w:szCs w:val="24"/>
                            <w:lang w:eastAsia="lt-LT"/>
                          </w:rPr>
                        </w:pPr>
                        <w:r>
                          <w:rPr>
                            <w:szCs w:val="24"/>
                            <w:lang w:eastAsia="lt-LT"/>
                          </w:rPr>
                          <w:t>3.3.</w:t>
                        </w:r>
                      </w:p>
                    </w:tc>
                    <w:tc>
                      <w:tcPr>
                        <w:tcW w:w="1759" w:type="pct"/>
                        <w:shd w:val="clear" w:color="auto" w:fill="FFFFFF"/>
                      </w:tcPr>
                      <w:p>
                        <w:pPr>
                          <w:rPr>
                            <w:color w:val="FF0000"/>
                            <w:szCs w:val="24"/>
                            <w:lang w:eastAsia="lt-LT"/>
                          </w:rPr>
                        </w:pPr>
                        <w:r>
                          <w:rPr>
                            <w:szCs w:val="24"/>
                            <w:lang w:eastAsia="lt-LT"/>
                          </w:rPr>
                          <w:t>Pedagogų, dirbančių pirmus metus ar grįžusių po pertraukos, kvalifikacijos tobulinimo dalinis finansavimas</w:t>
                        </w:r>
                      </w:p>
                    </w:tc>
                    <w:tc>
                      <w:tcPr>
                        <w:tcW w:w="1031" w:type="pct"/>
                        <w:shd w:val="clear" w:color="auto" w:fill="FFFFFF"/>
                      </w:tcPr>
                      <w:p>
                        <w:pPr>
                          <w:rPr>
                            <w:szCs w:val="24"/>
                            <w:lang w:eastAsia="lt-LT"/>
                          </w:rPr>
                        </w:pPr>
                        <w:r>
                          <w:rPr>
                            <w:szCs w:val="24"/>
                            <w:lang w:eastAsia="lt-LT"/>
                          </w:rPr>
                          <w:t>3 asmenys kasmet</w:t>
                        </w:r>
                      </w:p>
                    </w:tc>
                    <w:tc>
                      <w:tcPr>
                        <w:tcW w:w="1105" w:type="pct"/>
                        <w:shd w:val="clear" w:color="auto" w:fill="FFFFFF"/>
                      </w:tcPr>
                      <w:p>
                        <w:pPr>
                          <w:rPr>
                            <w:bCs/>
                            <w:szCs w:val="24"/>
                            <w:lang w:eastAsia="lt-LT"/>
                          </w:rPr>
                        </w:pPr>
                        <w:r>
                          <w:rPr>
                            <w:bCs/>
                            <w:szCs w:val="24"/>
                            <w:lang w:eastAsia="lt-LT"/>
                          </w:rPr>
                          <w:t>Šiaulių švietimo kompetencijų centras,</w:t>
                        </w:r>
                      </w:p>
                      <w:p>
                        <w:pPr>
                          <w:rPr>
                            <w:bCs/>
                            <w:szCs w:val="24"/>
                            <w:lang w:eastAsia="lt-LT"/>
                          </w:rPr>
                        </w:pPr>
                        <w:r>
                          <w:rPr>
                            <w:bCs/>
                            <w:szCs w:val="24"/>
                            <w:lang w:eastAsia="lt-LT"/>
                          </w:rPr>
                          <w:t>Švietimo skyrius</w:t>
                        </w:r>
                      </w:p>
                    </w:tc>
                    <w:tc>
                      <w:tcPr>
                        <w:tcW w:w="805" w:type="pct"/>
                        <w:shd w:val="clear" w:color="auto" w:fill="FFFFFF"/>
                      </w:tcPr>
                      <w:p>
                        <w:pPr>
                          <w:rPr>
                            <w:szCs w:val="24"/>
                            <w:lang w:eastAsia="lt-LT"/>
                          </w:rPr>
                        </w:pPr>
                        <w:r>
                          <w:rPr>
                            <w:szCs w:val="24"/>
                            <w:lang w:eastAsia="lt-LT"/>
                          </w:rPr>
                          <w:t>Savivaldybės biudžeto,</w:t>
                        </w:r>
                      </w:p>
                      <w:p>
                        <w:pPr>
                          <w:rPr>
                            <w:bCs/>
                            <w:szCs w:val="24"/>
                            <w:lang w:eastAsia="lt-LT"/>
                          </w:rPr>
                        </w:pPr>
                        <w:r>
                          <w:rPr>
                            <w:bCs/>
                            <w:szCs w:val="24"/>
                            <w:lang w:eastAsia="lt-LT"/>
                          </w:rPr>
                          <w:t>švietimo įstaigų lėšos;</w:t>
                        </w:r>
                      </w:p>
                      <w:p>
                        <w:pPr>
                          <w:rPr>
                            <w:szCs w:val="24"/>
                            <w:lang w:eastAsia="lt-LT"/>
                          </w:rPr>
                        </w:pPr>
                        <w:r>
                          <w:rPr>
                            <w:bCs/>
                            <w:szCs w:val="24"/>
                            <w:lang w:eastAsia="lt-LT"/>
                          </w:rPr>
                          <w:t>pedagogo asmeninės lėšos</w:t>
                        </w:r>
                      </w:p>
                    </w:tc>
                  </w:tr>
                  <w:tr>
                    <w:tc>
                      <w:tcPr>
                        <w:tcW w:w="299" w:type="pct"/>
                      </w:tcPr>
                      <w:p>
                        <w:pPr>
                          <w:rPr>
                            <w:szCs w:val="24"/>
                            <w:lang w:eastAsia="lt-LT"/>
                          </w:rPr>
                        </w:pPr>
                        <w:r>
                          <w:rPr>
                            <w:szCs w:val="24"/>
                            <w:lang w:eastAsia="lt-LT"/>
                          </w:rPr>
                          <w:t>3.4.</w:t>
                        </w:r>
                      </w:p>
                    </w:tc>
                    <w:tc>
                      <w:tcPr>
                        <w:tcW w:w="1759" w:type="pct"/>
                        <w:shd w:val="clear" w:color="auto" w:fill="FFFFFF"/>
                      </w:tcPr>
                      <w:p>
                        <w:pPr>
                          <w:rPr>
                            <w:szCs w:val="24"/>
                            <w:lang w:eastAsia="lt-LT"/>
                          </w:rPr>
                        </w:pPr>
                        <w:r>
                          <w:rPr>
                            <w:szCs w:val="24"/>
                            <w:lang w:eastAsia="lt-LT"/>
                          </w:rPr>
                          <w:t>Studijų parama pasirinkusiesiems I ir II pakopos pedagogines studijas</w:t>
                        </w:r>
                      </w:p>
                    </w:tc>
                    <w:tc>
                      <w:tcPr>
                        <w:tcW w:w="1031" w:type="pct"/>
                        <w:shd w:val="clear" w:color="auto" w:fill="FFFFFF"/>
                      </w:tcPr>
                      <w:p>
                        <w:pPr>
                          <w:rPr>
                            <w:szCs w:val="24"/>
                            <w:lang w:eastAsia="lt-LT"/>
                          </w:rPr>
                        </w:pPr>
                        <w:r>
                          <w:rPr>
                            <w:bCs/>
                            <w:szCs w:val="24"/>
                            <w:lang w:eastAsia="lt-LT"/>
                          </w:rPr>
                          <w:t>I ir II pakopos po 3 asmenis kasmet</w:t>
                        </w:r>
                      </w:p>
                    </w:tc>
                    <w:tc>
                      <w:tcPr>
                        <w:tcW w:w="1105" w:type="pct"/>
                        <w:shd w:val="clear" w:color="auto" w:fill="FFFFFF"/>
                      </w:tcPr>
                      <w:p>
                        <w:pPr>
                          <w:jc w:val="center"/>
                          <w:rPr>
                            <w:bCs/>
                            <w:szCs w:val="24"/>
                            <w:lang w:eastAsia="lt-LT"/>
                          </w:rPr>
                        </w:pPr>
                        <w:r>
                          <w:rPr>
                            <w:bCs/>
                            <w:szCs w:val="24"/>
                            <w:lang w:eastAsia="lt-LT"/>
                          </w:rPr>
                          <w:t>Savivaldybės administracija</w:t>
                        </w:r>
                      </w:p>
                    </w:tc>
                    <w:tc>
                      <w:tcPr>
                        <w:tcW w:w="805" w:type="pct"/>
                        <w:shd w:val="clear" w:color="auto" w:fill="FFFFFF"/>
                      </w:tcPr>
                      <w:p>
                        <w:pPr>
                          <w:rPr>
                            <w:bCs/>
                            <w:szCs w:val="24"/>
                            <w:lang w:eastAsia="lt-LT"/>
                          </w:rPr>
                        </w:pPr>
                        <w:r>
                          <w:rPr>
                            <w:bCs/>
                            <w:szCs w:val="24"/>
                            <w:lang w:eastAsia="lt-LT"/>
                          </w:rPr>
                          <w:t>Savivaldybės biudžeto lėšos; studento asmeninės lėšos</w:t>
                        </w:r>
                      </w:p>
                    </w:tc>
                  </w:tr>
                  <w:tr>
                    <w:tc>
                      <w:tcPr>
                        <w:tcW w:w="299" w:type="pct"/>
                      </w:tcPr>
                      <w:p>
                        <w:pPr>
                          <w:rPr>
                            <w:szCs w:val="24"/>
                            <w:lang w:eastAsia="lt-LT"/>
                          </w:rPr>
                        </w:pPr>
                        <w:r>
                          <w:rPr>
                            <w:szCs w:val="24"/>
                            <w:lang w:eastAsia="lt-LT"/>
                          </w:rPr>
                          <w:t xml:space="preserve">3.5. </w:t>
                        </w:r>
                      </w:p>
                    </w:tc>
                    <w:tc>
                      <w:tcPr>
                        <w:tcW w:w="1759" w:type="pct"/>
                        <w:shd w:val="clear" w:color="auto" w:fill="FFFFFF"/>
                      </w:tcPr>
                      <w:p>
                        <w:pPr>
                          <w:rPr>
                            <w:szCs w:val="24"/>
                            <w:lang w:eastAsia="lt-LT"/>
                          </w:rPr>
                        </w:pPr>
                        <w:r>
                          <w:rPr>
                            <w:szCs w:val="24"/>
                            <w:lang w:eastAsia="lt-LT"/>
                          </w:rPr>
                          <w:t>Mentorystės programos pradedantiesiems pedagogams vykdymas švietimo įstaigoje</w:t>
                        </w:r>
                      </w:p>
                    </w:tc>
                    <w:tc>
                      <w:tcPr>
                        <w:tcW w:w="1031" w:type="pct"/>
                        <w:shd w:val="clear" w:color="auto" w:fill="FFFFFF"/>
                      </w:tcPr>
                      <w:p>
                        <w:pPr>
                          <w:rPr>
                            <w:szCs w:val="24"/>
                            <w:lang w:eastAsia="lt-LT"/>
                          </w:rPr>
                        </w:pPr>
                        <w:r>
                          <w:rPr>
                            <w:bCs/>
                            <w:szCs w:val="24"/>
                            <w:lang w:eastAsia="lt-LT"/>
                          </w:rPr>
                          <w:t>Parengta ir įgyvendinama Mentorystės programa kiekvienoje įstaigoje, kurioje ne mažiau kaip 1 asmuo pradėjo pedagoginį darbą</w:t>
                        </w:r>
                      </w:p>
                    </w:tc>
                    <w:tc>
                      <w:tcPr>
                        <w:tcW w:w="1105" w:type="pct"/>
                        <w:shd w:val="clear" w:color="auto" w:fill="FFFFFF"/>
                      </w:tcPr>
                      <w:p>
                        <w:pPr>
                          <w:jc w:val="center"/>
                          <w:rPr>
                            <w:bCs/>
                            <w:szCs w:val="24"/>
                            <w:lang w:eastAsia="lt-LT"/>
                          </w:rPr>
                        </w:pPr>
                        <w:r>
                          <w:rPr>
                            <w:bCs/>
                            <w:szCs w:val="24"/>
                            <w:lang w:eastAsia="lt-LT"/>
                          </w:rPr>
                          <w:t>Švietimo įstaigos</w:t>
                        </w:r>
                      </w:p>
                    </w:tc>
                    <w:tc>
                      <w:tcPr>
                        <w:tcW w:w="805" w:type="pct"/>
                        <w:shd w:val="clear" w:color="auto" w:fill="FFFFFF"/>
                      </w:tcPr>
                      <w:p>
                        <w:pPr>
                          <w:rPr>
                            <w:bCs/>
                            <w:szCs w:val="24"/>
                            <w:lang w:eastAsia="lt-LT"/>
                          </w:rPr>
                        </w:pPr>
                        <w:r>
                          <w:rPr>
                            <w:bCs/>
                            <w:szCs w:val="24"/>
                            <w:lang w:eastAsia="lt-LT"/>
                          </w:rPr>
                          <w:t xml:space="preserve">Savivaldybės biudžeto, </w:t>
                        </w:r>
                      </w:p>
                      <w:p>
                        <w:pPr>
                          <w:rPr>
                            <w:bCs/>
                            <w:szCs w:val="24"/>
                            <w:lang w:eastAsia="lt-LT"/>
                          </w:rPr>
                        </w:pPr>
                        <w:r>
                          <w:rPr>
                            <w:bCs/>
                            <w:szCs w:val="24"/>
                            <w:lang w:eastAsia="lt-LT"/>
                          </w:rPr>
                          <w:t>švietimo įstaigų lėšos</w:t>
                        </w:r>
                      </w:p>
                    </w:tc>
                  </w:tr>
                  <w:tr>
                    <w:tc>
                      <w:tcPr>
                        <w:tcW w:w="299" w:type="pct"/>
                      </w:tcPr>
                      <w:p>
                        <w:pPr>
                          <w:rPr>
                            <w:szCs w:val="24"/>
                            <w:lang w:eastAsia="lt-LT"/>
                          </w:rPr>
                        </w:pPr>
                        <w:r>
                          <w:rPr>
                            <w:szCs w:val="24"/>
                            <w:lang w:eastAsia="lt-LT"/>
                          </w:rPr>
                          <w:t>3.6.</w:t>
                        </w:r>
                      </w:p>
                    </w:tc>
                    <w:tc>
                      <w:tcPr>
                        <w:tcW w:w="1759" w:type="pct"/>
                        <w:shd w:val="clear" w:color="auto" w:fill="FFFFFF"/>
                      </w:tcPr>
                      <w:p>
                        <w:pPr>
                          <w:rPr>
                            <w:szCs w:val="24"/>
                            <w:lang w:eastAsia="lt-LT"/>
                          </w:rPr>
                        </w:pPr>
                        <w:r>
                          <w:rPr>
                            <w:szCs w:val="24"/>
                            <w:lang w:eastAsia="lt-LT"/>
                          </w:rPr>
                          <w:t>Švietimo įstaigų bendruomenių mokymai smurto ir patyčių prevencijos tematika</w:t>
                        </w:r>
                      </w:p>
                    </w:tc>
                    <w:tc>
                      <w:tcPr>
                        <w:tcW w:w="1031" w:type="pct"/>
                        <w:shd w:val="clear" w:color="auto" w:fill="FFFFFF"/>
                      </w:tcPr>
                      <w:p>
                        <w:pPr>
                          <w:rPr>
                            <w:bCs/>
                            <w:szCs w:val="24"/>
                            <w:lang w:eastAsia="lt-LT"/>
                          </w:rPr>
                        </w:pPr>
                        <w:r>
                          <w:rPr>
                            <w:bCs/>
                            <w:szCs w:val="24"/>
                            <w:lang w:eastAsia="lt-LT"/>
                          </w:rPr>
                          <w:t xml:space="preserve">30 asmenų kasmet </w:t>
                        </w:r>
                      </w:p>
                    </w:tc>
                    <w:tc>
                      <w:tcPr>
                        <w:tcW w:w="1105" w:type="pct"/>
                        <w:shd w:val="clear" w:color="auto" w:fill="FFFFFF"/>
                      </w:tcPr>
                      <w:p>
                        <w:pPr>
                          <w:rPr>
                            <w:bCs/>
                            <w:szCs w:val="24"/>
                            <w:lang w:eastAsia="lt-LT"/>
                          </w:rPr>
                        </w:pPr>
                        <w:r>
                          <w:rPr>
                            <w:bCs/>
                            <w:szCs w:val="24"/>
                            <w:lang w:eastAsia="lt-LT"/>
                          </w:rPr>
                          <w:t>Šiaulių švietimo kompetencijų centras</w:t>
                        </w:r>
                      </w:p>
                    </w:tc>
                    <w:tc>
                      <w:tcPr>
                        <w:tcW w:w="805" w:type="pct"/>
                        <w:shd w:val="clear" w:color="auto" w:fill="FFFFFF"/>
                      </w:tcPr>
                      <w:p>
                        <w:pPr>
                          <w:rPr>
                            <w:bCs/>
                            <w:szCs w:val="24"/>
                            <w:lang w:eastAsia="lt-LT"/>
                          </w:rPr>
                        </w:pPr>
                        <w:r>
                          <w:rPr>
                            <w:szCs w:val="24"/>
                            <w:lang w:eastAsia="lt-LT"/>
                          </w:rPr>
                          <w:t>Savivaldybės biudžeto lėšos</w:t>
                        </w:r>
                      </w:p>
                    </w:tc>
                  </w:tr>
                  <w:tr>
                    <w:tc>
                      <w:tcPr>
                        <w:tcW w:w="5000" w:type="pct"/>
                        <w:gridSpan w:val="5"/>
                      </w:tcPr>
                      <w:p>
                        <w:pPr>
                          <w:rPr>
                            <w:b/>
                            <w:szCs w:val="24"/>
                            <w:lang w:eastAsia="lt-LT"/>
                          </w:rPr>
                        </w:pPr>
                        <w:r>
                          <w:rPr>
                            <w:b/>
                            <w:szCs w:val="24"/>
                            <w:lang w:eastAsia="lt-LT"/>
                          </w:rPr>
                          <w:t>4 uždavinys. Populiarinti pedagogo profesiją, teikti finansinę paramą naujai priimtiems pedagogams</w:t>
                        </w:r>
                      </w:p>
                    </w:tc>
                  </w:tr>
                  <w:tr>
                    <w:tc>
                      <w:tcPr>
                        <w:tcW w:w="299" w:type="pct"/>
                      </w:tcPr>
                      <w:p>
                        <w:pPr>
                          <w:rPr>
                            <w:szCs w:val="24"/>
                            <w:lang w:eastAsia="lt-LT"/>
                          </w:rPr>
                        </w:pPr>
                        <w:r>
                          <w:rPr>
                            <w:szCs w:val="24"/>
                            <w:lang w:eastAsia="lt-LT"/>
                          </w:rPr>
                          <w:t>4.1.</w:t>
                        </w:r>
                      </w:p>
                    </w:tc>
                    <w:tc>
                      <w:tcPr>
                        <w:tcW w:w="1759" w:type="pct"/>
                      </w:tcPr>
                      <w:p>
                        <w:pPr>
                          <w:rPr>
                            <w:szCs w:val="24"/>
                            <w:lang w:eastAsia="lt-LT"/>
                          </w:rPr>
                        </w:pPr>
                        <w:r>
                          <w:rPr>
                            <w:szCs w:val="24"/>
                            <w:lang w:eastAsia="lt-LT"/>
                          </w:rPr>
                          <w:t xml:space="preserve">Metų mokytojo premijos skyrimas dešimčiai geriausių mokytojų </w:t>
                        </w:r>
                      </w:p>
                    </w:tc>
                    <w:tc>
                      <w:tcPr>
                        <w:tcW w:w="1031" w:type="pct"/>
                      </w:tcPr>
                      <w:p>
                        <w:pPr>
                          <w:rPr>
                            <w:szCs w:val="24"/>
                            <w:lang w:eastAsia="lt-LT"/>
                          </w:rPr>
                        </w:pPr>
                        <w:r>
                          <w:rPr>
                            <w:szCs w:val="24"/>
                            <w:lang w:eastAsia="lt-LT"/>
                          </w:rPr>
                          <w:t>10 asmenų kasmet</w:t>
                        </w:r>
                      </w:p>
                    </w:tc>
                    <w:tc>
                      <w:tcPr>
                        <w:tcW w:w="1105" w:type="pct"/>
                      </w:tcPr>
                      <w:p>
                        <w:pPr>
                          <w:rPr>
                            <w:szCs w:val="24"/>
                            <w:lang w:eastAsia="lt-LT"/>
                          </w:rPr>
                        </w:pPr>
                        <w:r>
                          <w:rPr>
                            <w:szCs w:val="24"/>
                            <w:lang w:eastAsia="lt-LT"/>
                          </w:rPr>
                          <w:t>Švietimo skyrius</w:t>
                        </w:r>
                      </w:p>
                    </w:tc>
                    <w:tc>
                      <w:tcPr>
                        <w:tcW w:w="805" w:type="pct"/>
                      </w:tcPr>
                      <w:p>
                        <w:pPr>
                          <w:rPr>
                            <w:szCs w:val="24"/>
                            <w:lang w:eastAsia="lt-LT"/>
                          </w:rPr>
                        </w:pPr>
                        <w:r>
                          <w:rPr>
                            <w:szCs w:val="24"/>
                            <w:lang w:eastAsia="lt-LT"/>
                          </w:rPr>
                          <w:t>Savivaldybės biudžeto lėšos</w:t>
                        </w:r>
                      </w:p>
                    </w:tc>
                  </w:tr>
                  <w:tr>
                    <w:tc>
                      <w:tcPr>
                        <w:tcW w:w="299" w:type="pct"/>
                        <w:shd w:val="clear" w:color="auto" w:fill="FFFFFF"/>
                      </w:tcPr>
                      <w:p>
                        <w:pPr>
                          <w:rPr>
                            <w:szCs w:val="24"/>
                            <w:lang w:eastAsia="lt-LT"/>
                          </w:rPr>
                        </w:pPr>
                        <w:r>
                          <w:rPr>
                            <w:szCs w:val="24"/>
                            <w:lang w:eastAsia="lt-LT"/>
                          </w:rPr>
                          <w:t>4.2.</w:t>
                        </w:r>
                      </w:p>
                    </w:tc>
                    <w:tc>
                      <w:tcPr>
                        <w:tcW w:w="1759" w:type="pct"/>
                        <w:shd w:val="clear" w:color="auto" w:fill="FFFFFF"/>
                      </w:tcPr>
                      <w:p>
                        <w:pPr>
                          <w:rPr>
                            <w:szCs w:val="24"/>
                            <w:lang w:eastAsia="lt-LT"/>
                          </w:rPr>
                        </w:pPr>
                        <w:r>
                          <w:rPr>
                            <w:szCs w:val="24"/>
                            <w:lang w:eastAsia="lt-LT"/>
                          </w:rPr>
                          <w:t xml:space="preserve">Pedagogo profesijos / istorijų viešinimas portale </w:t>
                        </w:r>
                        <w:r>
                          <w:rPr>
                            <w:color w:val="1155CC"/>
                            <w:szCs w:val="24"/>
                            <w:u w:val="single"/>
                            <w:lang w:eastAsia="lt-LT"/>
                          </w:rPr>
                          <w:t>www.karjerasiauliuose.lt</w:t>
                        </w:r>
                        <w:r>
                          <w:rPr>
                            <w:szCs w:val="24"/>
                            <w:lang w:eastAsia="lt-LT"/>
                          </w:rPr>
                          <w:t>. ir kt. žiniasklaidos priemonėse</w:t>
                        </w:r>
                      </w:p>
                    </w:tc>
                    <w:tc>
                      <w:tcPr>
                        <w:tcW w:w="1031" w:type="pct"/>
                        <w:shd w:val="clear" w:color="auto" w:fill="FFFFFF"/>
                      </w:tcPr>
                      <w:p>
                        <w:pPr>
                          <w:rPr>
                            <w:szCs w:val="24"/>
                            <w:lang w:eastAsia="lt-LT"/>
                          </w:rPr>
                        </w:pPr>
                        <w:r>
                          <w:rPr>
                            <w:szCs w:val="24"/>
                            <w:lang w:eastAsia="lt-LT"/>
                          </w:rPr>
                          <w:t>3 publikacijos ir (ar) reportažai kasmet</w:t>
                        </w:r>
                      </w:p>
                    </w:tc>
                    <w:tc>
                      <w:tcPr>
                        <w:tcW w:w="1105" w:type="pct"/>
                        <w:shd w:val="clear" w:color="auto" w:fill="FFFFFF"/>
                      </w:tcPr>
                      <w:p>
                        <w:pPr>
                          <w:rPr>
                            <w:szCs w:val="24"/>
                            <w:lang w:eastAsia="lt-LT"/>
                          </w:rPr>
                        </w:pPr>
                        <w:r>
                          <w:rPr>
                            <w:bCs/>
                            <w:szCs w:val="24"/>
                            <w:lang w:eastAsia="lt-LT"/>
                          </w:rPr>
                          <w:t>Šiaulių švietimo kompetencijų centras,</w:t>
                        </w:r>
                        <w:r>
                          <w:rPr>
                            <w:szCs w:val="24"/>
                            <w:lang w:eastAsia="lt-LT"/>
                          </w:rPr>
                          <w:t xml:space="preserve"> </w:t>
                        </w:r>
                      </w:p>
                      <w:p>
                        <w:pPr>
                          <w:rPr>
                            <w:szCs w:val="24"/>
                            <w:lang w:eastAsia="lt-LT"/>
                          </w:rPr>
                        </w:pPr>
                        <w:r>
                          <w:rPr>
                            <w:szCs w:val="24"/>
                            <w:lang w:eastAsia="lt-LT"/>
                          </w:rPr>
                          <w:t xml:space="preserve">švietimo įstaigos </w:t>
                        </w:r>
                      </w:p>
                    </w:tc>
                    <w:tc>
                      <w:tcPr>
                        <w:tcW w:w="805" w:type="pct"/>
                        <w:shd w:val="clear" w:color="auto" w:fill="FFFFFF"/>
                      </w:tcPr>
                      <w:p>
                        <w:pPr>
                          <w:rPr>
                            <w:szCs w:val="24"/>
                            <w:lang w:eastAsia="lt-LT"/>
                          </w:rPr>
                        </w:pPr>
                        <w:r>
                          <w:rPr>
                            <w:szCs w:val="24"/>
                            <w:lang w:eastAsia="lt-LT"/>
                          </w:rPr>
                          <w:t>Savivaldybės biudžeto lėšos</w:t>
                        </w:r>
                      </w:p>
                    </w:tc>
                  </w:tr>
                  <w:tr>
                    <w:tc>
                      <w:tcPr>
                        <w:tcW w:w="299" w:type="pct"/>
                      </w:tcPr>
                      <w:p>
                        <w:pPr>
                          <w:rPr>
                            <w:szCs w:val="24"/>
                            <w:lang w:eastAsia="lt-LT"/>
                          </w:rPr>
                        </w:pPr>
                        <w:r>
                          <w:rPr>
                            <w:szCs w:val="24"/>
                            <w:lang w:eastAsia="lt-LT"/>
                          </w:rPr>
                          <w:t>4.3.</w:t>
                        </w:r>
                      </w:p>
                    </w:tc>
                    <w:tc>
                      <w:tcPr>
                        <w:tcW w:w="1759" w:type="pct"/>
                      </w:tcPr>
                      <w:p>
                        <w:pPr>
                          <w:rPr>
                            <w:szCs w:val="24"/>
                            <w:lang w:eastAsia="lt-LT"/>
                          </w:rPr>
                        </w:pPr>
                        <w:r>
                          <w:rPr>
                            <w:szCs w:val="24"/>
                            <w:lang w:eastAsia="lt-LT"/>
                          </w:rPr>
                          <w:t>Studentų pedagoginės praktikos savivaldybės švietimo įstaigose organizavimas</w:t>
                        </w:r>
                      </w:p>
                      <w:p/>
                    </w:tc>
                    <w:tc>
                      <w:tcPr>
                        <w:tcW w:w="1031" w:type="pct"/>
                      </w:tcPr>
                      <w:p>
                        <w:pPr>
                          <w:rPr>
                            <w:szCs w:val="24"/>
                            <w:lang w:eastAsia="lt-LT"/>
                          </w:rPr>
                        </w:pPr>
                        <w:r>
                          <w:rPr>
                            <w:szCs w:val="24"/>
                            <w:lang w:eastAsia="lt-LT"/>
                          </w:rPr>
                          <w:t>3 sutartys su pedagogų rengimo centrais: VU ŠA, KU, VDU, 6 studentų pedagoginės praktikos kasmet</w:t>
                        </w:r>
                      </w:p>
                    </w:tc>
                    <w:tc>
                      <w:tcPr>
                        <w:tcW w:w="1105" w:type="pct"/>
                      </w:tcPr>
                      <w:p>
                        <w:pPr>
                          <w:rPr>
                            <w:szCs w:val="24"/>
                            <w:lang w:eastAsia="lt-LT"/>
                          </w:rPr>
                        </w:pPr>
                        <w:r>
                          <w:rPr>
                            <w:szCs w:val="24"/>
                            <w:lang w:eastAsia="lt-LT"/>
                          </w:rPr>
                          <w:t xml:space="preserve">Švietimo skyrius, </w:t>
                        </w:r>
                      </w:p>
                      <w:p>
                        <w:pPr>
                          <w:rPr>
                            <w:szCs w:val="24"/>
                            <w:lang w:eastAsia="lt-LT"/>
                          </w:rPr>
                        </w:pPr>
                        <w:r>
                          <w:rPr>
                            <w:szCs w:val="24"/>
                            <w:lang w:eastAsia="lt-LT"/>
                          </w:rPr>
                          <w:t xml:space="preserve">švietimo įstaigos, </w:t>
                        </w:r>
                      </w:p>
                      <w:p>
                        <w:pPr>
                          <w:rPr>
                            <w:szCs w:val="24"/>
                            <w:lang w:eastAsia="lt-LT"/>
                          </w:rPr>
                        </w:pPr>
                        <w:r>
                          <w:rPr>
                            <w:bCs/>
                            <w:szCs w:val="24"/>
                            <w:lang w:eastAsia="lt-LT"/>
                          </w:rPr>
                          <w:t>Šiaulių švietimo kompetencijų centras</w:t>
                        </w:r>
                      </w:p>
                    </w:tc>
                    <w:tc>
                      <w:tcPr>
                        <w:tcW w:w="805" w:type="pct"/>
                      </w:tcPr>
                      <w:p>
                        <w:pPr>
                          <w:jc w:val="center"/>
                          <w:rPr>
                            <w:szCs w:val="24"/>
                            <w:lang w:eastAsia="lt-LT"/>
                          </w:rPr>
                        </w:pPr>
                        <w:r>
                          <w:rPr>
                            <w:szCs w:val="24"/>
                            <w:lang w:eastAsia="lt-LT"/>
                          </w:rPr>
                          <w:t>-</w:t>
                        </w:r>
                      </w:p>
                    </w:tc>
                  </w:tr>
                  <w:tr>
                    <w:tc>
                      <w:tcPr>
                        <w:tcW w:w="299" w:type="pct"/>
                      </w:tcPr>
                      <w:p>
                        <w:pPr>
                          <w:rPr>
                            <w:szCs w:val="24"/>
                            <w:lang w:eastAsia="lt-LT"/>
                          </w:rPr>
                        </w:pPr>
                        <w:r>
                          <w:rPr>
                            <w:szCs w:val="24"/>
                            <w:lang w:eastAsia="lt-LT"/>
                          </w:rPr>
                          <w:t>4.4.</w:t>
                        </w:r>
                      </w:p>
                    </w:tc>
                    <w:tc>
                      <w:tcPr>
                        <w:tcW w:w="1759" w:type="pct"/>
                      </w:tcPr>
                      <w:p>
                        <w:pPr>
                          <w:rPr>
                            <w:szCs w:val="24"/>
                            <w:lang w:eastAsia="lt-LT"/>
                          </w:rPr>
                        </w:pPr>
                        <w:r>
                          <w:rPr>
                            <w:szCs w:val="24"/>
                            <w:lang w:eastAsia="lt-LT"/>
                          </w:rPr>
                          <w:t>Vienkartinė išmoka (materialinė parama, važiavimo į darbą ir atgal išlaidų kompensacija, gyvenamojo ploto nuoma, kvalifikacijos įgijimo ir tobulinimo išlaidų kompensacija, persikėlimo iš kitos gyvenamosios vietovės išlaidų kompensacija) pedagogui, atvykusiam dirbti į savivaldybės švietimo įstaigą</w:t>
                        </w:r>
                      </w:p>
                    </w:tc>
                    <w:tc>
                      <w:tcPr>
                        <w:tcW w:w="1031" w:type="pct"/>
                      </w:tcPr>
                      <w:p>
                        <w:pPr>
                          <w:rPr>
                            <w:szCs w:val="24"/>
                            <w:lang w:eastAsia="lt-LT"/>
                          </w:rPr>
                        </w:pPr>
                        <w:r>
                          <w:rPr>
                            <w:szCs w:val="24"/>
                            <w:lang w:eastAsia="lt-LT"/>
                          </w:rPr>
                          <w:t>5 asmenys kasmet</w:t>
                        </w:r>
                      </w:p>
                    </w:tc>
                    <w:tc>
                      <w:tcPr>
                        <w:tcW w:w="1105" w:type="pct"/>
                      </w:tcPr>
                      <w:p>
                        <w:pPr>
                          <w:rPr>
                            <w:szCs w:val="24"/>
                            <w:lang w:eastAsia="lt-LT"/>
                          </w:rPr>
                        </w:pPr>
                        <w:r>
                          <w:rPr>
                            <w:szCs w:val="24"/>
                            <w:lang w:eastAsia="lt-LT"/>
                          </w:rPr>
                          <w:t>Savivaldybės administracija</w:t>
                        </w:r>
                      </w:p>
                    </w:tc>
                    <w:tc>
                      <w:tcPr>
                        <w:tcW w:w="805" w:type="pct"/>
                      </w:tcPr>
                      <w:p>
                        <w:pPr>
                          <w:rPr>
                            <w:szCs w:val="24"/>
                            <w:lang w:eastAsia="lt-LT"/>
                          </w:rPr>
                        </w:pPr>
                        <w:r>
                          <w:rPr>
                            <w:szCs w:val="24"/>
                            <w:lang w:eastAsia="lt-LT"/>
                          </w:rPr>
                          <w:t>Savivaldybės biudžeto lėšos</w:t>
                        </w:r>
                      </w:p>
                    </w:tc>
                  </w:tr>
                </w:tbl>
                <w:p>
                  <w:pPr>
                    <w:rPr>
                      <w:szCs w:val="24"/>
                      <w:lang w:eastAsia="lt-LT"/>
                    </w:rPr>
                  </w:pPr>
                  <w:r>
                    <w:rPr>
                      <w:b/>
                      <w:szCs w:val="24"/>
                      <w:lang w:eastAsia="lt-LT"/>
                    </w:rPr>
                    <w:t>*</w:t>
                  </w:r>
                  <w:r>
                    <w:rPr>
                      <w:i/>
                      <w:iCs/>
                      <w:szCs w:val="24"/>
                      <w:lang w:eastAsia="lt-LT"/>
                    </w:rPr>
                    <w:t xml:space="preserve">Ne visoms Programos  priemonėms reikalingas finansavimas.</w:t>
                  </w:r>
                </w:p>
                <w:p>
                  <w:pPr>
                    <w:rPr>
                      <w:b/>
                      <w:szCs w:val="24"/>
                      <w:lang w:eastAsia="lt-LT"/>
                    </w:rPr>
                  </w:pPr>
                </w:p>
              </w:sdtContent>
            </w:sdt>
          </w:sdtContent>
        </w:sdt>
        <w:sdt>
          <w:sdtPr>
            <w:alias w:val="skyrius"/>
            <w:tag w:val="part_1e88f9d9a7e347509ce6ce17748fda1d"/>
            <w:lock w:val="sdtLocked"/>
            <w:richText/>
          </w:sdtPr>
          <w:sdtContent>
            <w:p>
              <w:pPr>
                <w:jc w:val="center"/>
                <w:rPr>
                  <w:b/>
                  <w:szCs w:val="24"/>
                  <w:lang w:eastAsia="lt-LT"/>
                </w:rPr>
              </w:pPr>
              <w:sdt>
                <w:sdtPr>
                  <w:alias w:val="Numeris"/>
                  <w:tag w:val="nr_1e88f9d9a7e347509ce6ce17748fda1d"/>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1e88f9d9a7e347509ce6ce17748fda1d"/>
                  <w:lock w:val="sdtLocked"/>
                  <w:richText/>
                </w:sdtPr>
                <w:sdtContent>
                  <w:r>
                    <w:rPr>
                      <w:b/>
                      <w:szCs w:val="24"/>
                      <w:lang w:eastAsia="lt-LT"/>
                    </w:rPr>
                    <w:t>PROGRAMOS ĮGYVENDINIMAS</w:t>
                  </w:r>
                </w:sdtContent>
              </w:sdt>
            </w:p>
            <w:p>
              <w:pPr>
                <w:rPr>
                  <w:b/>
                  <w:szCs w:val="24"/>
                  <w:lang w:eastAsia="lt-LT"/>
                </w:rPr>
              </w:pPr>
            </w:p>
            <w:sdt>
              <w:sdtPr>
                <w:alias w:val="7 p."/>
                <w:tag w:val="part_6d65dd92b93a47498e6ab1a99f2b2dff"/>
                <w:lock w:val="sdtLocked"/>
                <w:richText/>
              </w:sdtPr>
              <w:sdtContent>
                <w:p>
                  <w:pPr>
                    <w:tabs>
                      <w:tab w:val="left" w:pos="1134"/>
                    </w:tabs>
                    <w:ind w:firstLine="851"/>
                    <w:jc w:val="both"/>
                    <w:rPr>
                      <w:bCs/>
                      <w:szCs w:val="24"/>
                      <w:lang w:eastAsia="lt-LT"/>
                    </w:rPr>
                  </w:pPr>
                  <w:sdt>
                    <w:sdtPr>
                      <w:alias w:val="Numeris"/>
                      <w:tag w:val="nr_6d65dd92b93a47498e6ab1a99f2b2dff"/>
                      <w:lock w:val="sdtLocked"/>
                      <w:richText/>
                    </w:sdtPr>
                    <w:sdtContent>
                      <w:r>
                        <w:rPr>
                          <w:bCs/>
                          <w:szCs w:val="24"/>
                          <w:lang w:eastAsia="lt-LT"/>
                        </w:rPr>
                        <w:t>7</w:t>
                      </w:r>
                    </w:sdtContent>
                  </w:sdt>
                  <w:r>
                    <w:rPr>
                      <w:bCs/>
                      <w:szCs w:val="24"/>
                      <w:lang w:eastAsia="lt-LT"/>
                    </w:rPr>
                    <w:t xml:space="preserve">. Programa </w:t>
                  </w:r>
                  <w:r>
                    <w:rPr>
                      <w:bCs/>
                      <w:color w:val="000000"/>
                      <w:szCs w:val="24"/>
                      <w:lang w:eastAsia="lt-LT"/>
                    </w:rPr>
                    <w:t>2024–2026 m.</w:t>
                  </w:r>
                  <w:r>
                    <w:rPr>
                      <w:bCs/>
                      <w:szCs w:val="24"/>
                      <w:lang w:eastAsia="lt-LT"/>
                    </w:rPr>
                    <w:t xml:space="preserve"> įgyvendinama pagal III skyriuje pateiktas priemones.</w:t>
                  </w:r>
                </w:p>
              </w:sdtContent>
            </w:sdt>
            <w:sdt>
              <w:sdtPr>
                <w:alias w:val="8 p."/>
                <w:tag w:val="part_c5ce2c295d5a457d9478d3c49fd34df0"/>
                <w:lock w:val="sdtLocked"/>
                <w:richText/>
              </w:sdtPr>
              <w:sdtContent>
                <w:p>
                  <w:pPr>
                    <w:tabs>
                      <w:tab w:val="left" w:pos="1134"/>
                    </w:tabs>
                    <w:ind w:firstLine="851"/>
                    <w:jc w:val="both"/>
                    <w:rPr>
                      <w:bCs/>
                      <w:szCs w:val="24"/>
                      <w:lang w:eastAsia="lt-LT"/>
                    </w:rPr>
                  </w:pPr>
                  <w:sdt>
                    <w:sdtPr>
                      <w:alias w:val="Numeris"/>
                      <w:tag w:val="nr_c5ce2c295d5a457d9478d3c49fd34df0"/>
                      <w:lock w:val="sdtLocked"/>
                      <w:richText/>
                    </w:sdtPr>
                    <w:sdtContent>
                      <w:r>
                        <w:rPr>
                          <w:bCs/>
                          <w:szCs w:val="24"/>
                          <w:lang w:eastAsia="lt-LT"/>
                        </w:rPr>
                        <w:t>8</w:t>
                      </w:r>
                    </w:sdtContent>
                  </w:sdt>
                  <w:r>
                    <w:rPr>
                      <w:bCs/>
                      <w:szCs w:val="24"/>
                      <w:lang w:eastAsia="lt-LT"/>
                    </w:rPr>
                    <w:t>. Programos priemonių įgyvendinimą koordinuoja ir stebėseną vykdo Šiaulių švietimo kompetencijų centras. Stebėsenos ataskaitos teikiamos Švietimo skyriui ne vėliau kaip iki kitų metų sausio 15 d.</w:t>
                  </w:r>
                </w:p>
              </w:sdtContent>
            </w:sdt>
            <w:sdt>
              <w:sdtPr>
                <w:alias w:val="9 p."/>
                <w:tag w:val="part_cd0d307b16a548acb66ed8f5c162dfe3"/>
                <w:lock w:val="sdtLocked"/>
                <w:richText/>
              </w:sdtPr>
              <w:sdtContent>
                <w:p>
                  <w:pPr>
                    <w:tabs>
                      <w:tab w:val="left" w:pos="1134"/>
                    </w:tabs>
                    <w:ind w:firstLine="851"/>
                    <w:jc w:val="both"/>
                    <w:rPr>
                      <w:bCs/>
                      <w:szCs w:val="24"/>
                      <w:lang w:eastAsia="lt-LT"/>
                    </w:rPr>
                  </w:pPr>
                  <w:sdt>
                    <w:sdtPr>
                      <w:alias w:val="Numeris"/>
                      <w:tag w:val="nr_cd0d307b16a548acb66ed8f5c162dfe3"/>
                      <w:lock w:val="sdtLocked"/>
                      <w:richText/>
                    </w:sdtPr>
                    <w:sdtContent>
                      <w:r>
                        <w:rPr>
                          <w:bCs/>
                          <w:szCs w:val="24"/>
                          <w:lang w:eastAsia="lt-LT"/>
                        </w:rPr>
                        <w:t>9</w:t>
                      </w:r>
                    </w:sdtContent>
                  </w:sdt>
                  <w:r>
                    <w:rPr>
                      <w:bCs/>
                      <w:szCs w:val="24"/>
                      <w:lang w:eastAsia="lt-LT"/>
                    </w:rPr>
                    <w:t>. Programos įgyvendinimo priežiūrą vykdo Švietimo skyrius.</w:t>
                  </w:r>
                </w:p>
              </w:sdtContent>
            </w:sdt>
            <w:sdt>
              <w:sdtPr>
                <w:alias w:val="10 p."/>
                <w:tag w:val="part_eab9df0ca6cf4f71a2f491bcd2357b77"/>
                <w:lock w:val="sdtLocked"/>
                <w:richText/>
              </w:sdtPr>
              <w:sdtContent>
                <w:p>
                  <w:pPr>
                    <w:ind w:firstLine="851"/>
                    <w:jc w:val="both"/>
                    <w:rPr>
                      <w:bCs/>
                      <w:szCs w:val="24"/>
                      <w:lang w:eastAsia="lt-LT"/>
                    </w:rPr>
                  </w:pPr>
                  <w:sdt>
                    <w:sdtPr>
                      <w:alias w:val="Numeris"/>
                      <w:tag w:val="nr_eab9df0ca6cf4f71a2f491bcd2357b77"/>
                      <w:lock w:val="sdtLocked"/>
                      <w:richText/>
                    </w:sdtPr>
                    <w:sdtContent>
                      <w:r>
                        <w:rPr>
                          <w:bCs/>
                          <w:szCs w:val="24"/>
                          <w:lang w:eastAsia="lt-LT"/>
                        </w:rPr>
                        <w:t>10</w:t>
                      </w:r>
                    </w:sdtContent>
                  </w:sdt>
                  <w:r>
                    <w:rPr>
                      <w:bCs/>
                      <w:szCs w:val="24"/>
                      <w:lang w:eastAsia="lt-LT"/>
                    </w:rPr>
                    <w:t>.Programos priemonių įgyvendinimas finansuojamas iš patvirtintų bendrųjų savivaldybės ir valstybės biudžeto asignavimų ir kitų finansavimo šaltinių.</w:t>
                  </w:r>
                </w:p>
              </w:sdtContent>
            </w:sdt>
            <w:sdt>
              <w:sdtPr>
                <w:alias w:val="11 p."/>
                <w:tag w:val="part_f08de2008a2447fb85e81d4b3450f447"/>
                <w:lock w:val="sdtLocked"/>
                <w:richText/>
              </w:sdtPr>
              <w:sdtContent>
                <w:p>
                  <w:pPr>
                    <w:ind w:firstLine="851"/>
                    <w:jc w:val="both"/>
                    <w:rPr>
                      <w:bCs/>
                      <w:szCs w:val="24"/>
                      <w:lang w:eastAsia="lt-LT"/>
                    </w:rPr>
                  </w:pPr>
                  <w:sdt>
                    <w:sdtPr>
                      <w:alias w:val="Numeris"/>
                      <w:tag w:val="nr_f08de2008a2447fb85e81d4b3450f447"/>
                      <w:lock w:val="sdtLocked"/>
                      <w:richText/>
                    </w:sdtPr>
                    <w:sdtContent>
                      <w:r>
                        <w:rPr>
                          <w:bCs/>
                          <w:szCs w:val="24"/>
                          <w:lang w:eastAsia="lt-LT"/>
                        </w:rPr>
                        <w:t>11</w:t>
                      </w:r>
                    </w:sdtContent>
                  </w:sdt>
                  <w:r>
                    <w:rPr>
                      <w:bCs/>
                      <w:szCs w:val="24"/>
                      <w:lang w:eastAsia="lt-LT"/>
                    </w:rPr>
                    <w:t>. Priemonių įgyvendinimas finansuojamos pagal Šiaulių miesto s</w:t>
                  </w:r>
                  <w:r>
                    <w:rPr>
                      <w:bCs/>
                      <w:color w:val="000000"/>
                      <w:szCs w:val="24"/>
                      <w:lang w:eastAsia="lt-LT"/>
                    </w:rPr>
                    <w:t xml:space="preserve">avivaldybės </w:t>
                  </w:r>
                  <w:r>
                    <w:rPr>
                      <w:bCs/>
                      <w:szCs w:val="24"/>
                      <w:lang w:eastAsia="lt-LT"/>
                    </w:rPr>
                    <w:t>mero potvarkiu patvirtintą finansavimo tvarkos aprašą.</w:t>
                  </w:r>
                </w:p>
                <w:p>
                  <w:pPr>
                    <w:jc w:val="center"/>
                    <w:rPr>
                      <w:b/>
                      <w:smallCaps/>
                      <w:szCs w:val="24"/>
                      <w:lang w:eastAsia="lt-LT"/>
                    </w:rPr>
                  </w:pPr>
                </w:p>
              </w:sdtContent>
            </w:sdt>
          </w:sdtContent>
        </w:sdt>
        <w:sdt>
          <w:sdtPr>
            <w:alias w:val="skyrius"/>
            <w:tag w:val="part_561fc88194d7496c8922f453d660fe16"/>
            <w:lock w:val="sdtLocked"/>
            <w:richText/>
          </w:sdtPr>
          <w:sdtContent>
            <w:p>
              <w:pPr>
                <w:jc w:val="center"/>
                <w:rPr>
                  <w:b/>
                  <w:smallCaps/>
                  <w:szCs w:val="24"/>
                  <w:lang w:eastAsia="lt-LT"/>
                </w:rPr>
              </w:pPr>
              <w:sdt>
                <w:sdtPr>
                  <w:alias w:val="Numeris"/>
                  <w:tag w:val="nr_561fc88194d7496c8922f453d660fe16"/>
                  <w:lock w:val="sdtLocked"/>
                  <w:richText/>
                </w:sdtPr>
                <w:sdtContent>
                  <w:r>
                    <w:rPr>
                      <w:b/>
                      <w:smallCaps/>
                      <w:szCs w:val="24"/>
                      <w:lang w:eastAsia="lt-LT"/>
                    </w:rPr>
                    <w:t>V</w:t>
                  </w:r>
                </w:sdtContent>
              </w:sdt>
              <w:r>
                <w:rPr>
                  <w:b/>
                  <w:smallCaps/>
                  <w:szCs w:val="24"/>
                  <w:lang w:eastAsia="lt-LT"/>
                </w:rPr>
                <w:t xml:space="preserve"> SKYRIUS</w:t>
              </w:r>
            </w:p>
            <w:p>
              <w:pPr>
                <w:jc w:val="center"/>
                <w:rPr>
                  <w:b/>
                  <w:smallCaps/>
                  <w:szCs w:val="24"/>
                  <w:lang w:eastAsia="lt-LT"/>
                </w:rPr>
              </w:pPr>
              <w:sdt>
                <w:sdtPr>
                  <w:alias w:val="Pavadinimas"/>
                  <w:tag w:val="title_561fc88194d7496c8922f453d660fe16"/>
                  <w:lock w:val="sdtLocked"/>
                  <w:richText/>
                </w:sdtPr>
                <w:sdtContent>
                  <w:r>
                    <w:rPr>
                      <w:b/>
                      <w:smallCaps/>
                      <w:szCs w:val="24"/>
                      <w:lang w:eastAsia="lt-LT"/>
                    </w:rPr>
                    <w:t>BAIGIAMOSIOS NUOSTATOS</w:t>
                  </w:r>
                </w:sdtContent>
              </w:sdt>
            </w:p>
            <w:p>
              <w:pPr>
                <w:jc w:val="center"/>
                <w:rPr>
                  <w:szCs w:val="24"/>
                  <w:lang w:eastAsia="lt-LT"/>
                </w:rPr>
              </w:pPr>
            </w:p>
            <w:sdt>
              <w:sdtPr>
                <w:alias w:val="12 p."/>
                <w:tag w:val="part_d6257fac6c014cec85dfa5538b4aa696"/>
                <w:lock w:val="sdtLocked"/>
                <w:richText/>
              </w:sdtPr>
              <w:sdtContent>
                <w:p>
                  <w:pPr>
                    <w:ind w:firstLine="851"/>
                    <w:jc w:val="both"/>
                    <w:rPr>
                      <w:szCs w:val="24"/>
                      <w:lang w:eastAsia="lt-LT"/>
                    </w:rPr>
                  </w:pPr>
                  <w:sdt>
                    <w:sdtPr>
                      <w:alias w:val="Numeris"/>
                      <w:tag w:val="nr_d6257fac6c014cec85dfa5538b4aa696"/>
                      <w:lock w:val="sdtLocked"/>
                      <w:richText/>
                    </w:sdtPr>
                    <w:sdtContent>
                      <w:r>
                        <w:rPr>
                          <w:szCs w:val="24"/>
                          <w:lang w:eastAsia="lt-LT"/>
                        </w:rPr>
                        <w:t>12</w:t>
                      </w:r>
                    </w:sdtContent>
                  </w:sdt>
                  <w:r>
                    <w:rPr>
                      <w:szCs w:val="24"/>
                      <w:lang w:eastAsia="lt-LT"/>
                    </w:rPr>
                    <w:t xml:space="preserve">. Programa skelbiama </w:t>
                  </w:r>
                  <w:r>
                    <w:rPr>
                      <w:bCs/>
                      <w:szCs w:val="24"/>
                      <w:lang w:eastAsia="lt-LT"/>
                    </w:rPr>
                    <w:t>Šiaulių miesto s</w:t>
                  </w:r>
                  <w:r>
                    <w:rPr>
                      <w:bCs/>
                      <w:color w:val="000000"/>
                      <w:szCs w:val="24"/>
                      <w:lang w:eastAsia="lt-LT"/>
                    </w:rPr>
                    <w:t xml:space="preserve">avivaldybės </w:t>
                  </w:r>
                  <w:r>
                    <w:rPr>
                      <w:szCs w:val="24"/>
                      <w:lang w:eastAsia="lt-LT"/>
                    </w:rPr>
                    <w:t xml:space="preserve">interneto svetainėje </w:t>
                  </w:r>
                  <w:r>
                    <w:rPr>
                      <w:color w:val="0563C1"/>
                      <w:szCs w:val="24"/>
                      <w:lang w:eastAsia="lt-LT"/>
                    </w:rPr>
                    <w:t>https://www.siauliai.lt</w:t>
                  </w:r>
                  <w:r>
                    <w:rPr>
                      <w:color w:val="0563C1"/>
                      <w:szCs w:val="24"/>
                      <w:lang w:eastAsia="lt-LT"/>
                    </w:rPr>
                    <w:t>.</w:t>
                  </w:r>
                </w:p>
              </w:sdtContent>
            </w:sdt>
            <w:sdt>
              <w:sdtPr>
                <w:alias w:val="13 p."/>
                <w:tag w:val="part_ae78b3140bf545a5a7ad2cea853ad5c0"/>
                <w:lock w:val="sdtLocked"/>
                <w:richText/>
              </w:sdtPr>
              <w:sdtContent>
                <w:p>
                  <w:pPr>
                    <w:ind w:firstLine="851"/>
                    <w:jc w:val="both"/>
                    <w:rPr>
                      <w:szCs w:val="24"/>
                      <w:lang w:eastAsia="lt-LT"/>
                    </w:rPr>
                  </w:pPr>
                  <w:sdt>
                    <w:sdtPr>
                      <w:alias w:val="Numeris"/>
                      <w:tag w:val="nr_ae78b3140bf545a5a7ad2cea853ad5c0"/>
                      <w:lock w:val="sdtLocked"/>
                      <w:richText/>
                    </w:sdtPr>
                    <w:sdtContent>
                      <w:r>
                        <w:rPr>
                          <w:szCs w:val="24"/>
                          <w:lang w:eastAsia="lt-LT"/>
                        </w:rPr>
                        <w:t>13</w:t>
                      </w:r>
                    </w:sdtContent>
                  </w:sdt>
                  <w:r>
                    <w:rPr>
                      <w:szCs w:val="24"/>
                      <w:lang w:eastAsia="lt-LT"/>
                    </w:rPr>
                    <w:t xml:space="preserve">. Programa keičiama, pripažįstama netekusia galios ar stabdomas jos galiojimas </w:t>
                  </w:r>
                  <w:r>
                    <w:rPr>
                      <w:bCs/>
                      <w:szCs w:val="24"/>
                      <w:lang w:eastAsia="lt-LT"/>
                    </w:rPr>
                    <w:t>Šiaulių miesto s</w:t>
                  </w:r>
                  <w:r>
                    <w:rPr>
                      <w:bCs/>
                      <w:color w:val="000000"/>
                      <w:szCs w:val="24"/>
                      <w:lang w:eastAsia="lt-LT"/>
                    </w:rPr>
                    <w:t xml:space="preserve">avivaldybės </w:t>
                  </w:r>
                  <w:r>
                    <w:rPr>
                      <w:szCs w:val="24"/>
                      <w:lang w:eastAsia="lt-LT"/>
                    </w:rPr>
                    <w:t>tarybos sprendimu.</w:t>
                  </w:r>
                </w:p>
              </w:sdtContent>
            </w:sdt>
          </w:sdtContent>
        </w:sdt>
        <w:sdt>
          <w:sdtPr>
            <w:alias w:val="pabaiga"/>
            <w:tag w:val="part_1371cc3391b34404be2300a276bc5f3f"/>
            <w:lock w:val="sdtLocked"/>
            <w:richText/>
          </w:sdtPr>
          <w:sdtContent>
            <w:p>
              <w:pPr>
                <w:jc w:val="center"/>
                <w:rPr>
                  <w:szCs w:val="24"/>
                  <w:lang w:eastAsia="lt-LT"/>
                </w:rPr>
              </w:pPr>
              <w:r>
                <w:rPr>
                  <w:szCs w:val="24"/>
                  <w:lang w:eastAsia="lt-LT"/>
                </w:rPr>
                <w:t>–––––––––––––––</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Regeneracijos koeficientas apskaičiuojamas mokytojų, jaunesnių, nei 50 metų, skaičių padalinus iš mokytojų, kurių amžius didesnis nei 50 metų, skaičiaus.</w:t>
      </w:r>
    </w:p>
  </w:footnote>
  <w:footnote w:id="2">
    <w:p>
      <w:pPr>
        <w:rPr>
          <w:sz w:val="20"/>
          <w:lang w:eastAsia="lt-LT"/>
        </w:rPr>
      </w:pPr>
      <w:r>
        <w:rPr>
          <w:sz w:val="20"/>
          <w:vertAlign w:val="superscript"/>
          <w:lang w:eastAsia="lt-LT"/>
        </w:rPr>
        <w:footnoteRef/>
      </w:r>
      <w:r>
        <w:rPr>
          <w:sz w:val="20"/>
          <w:lang w:eastAsia="lt-LT"/>
        </w:rPr>
        <w:t xml:space="preserve"> Užimtumo tarnyba. Lietuvos užimtumo 2023 m. tendencijos ir ateities prognozės. Prieiga per internetą: </w:t>
      </w:r>
      <w:r>
        <w:rPr>
          <w:color w:val="0563C1"/>
          <w:sz w:val="20"/>
          <w:u w:val="single"/>
          <w:lang w:eastAsia="lt-LT"/>
        </w:rPr>
        <w:t>https://uzt.lt/data/public/uploads/2024/02/lietuvos-uzimtumo-2023-m.-tendencijos-ir-ateities-prognozes.pdf</w:t>
      </w:r>
      <w:r>
        <w:rPr>
          <w:sz w:val="20"/>
          <w:u w:val="single"/>
          <w:lang w:eastAsia="lt-LT"/>
        </w:rPr>
        <w:t>.</w:t>
      </w:r>
    </w:p>
  </w:footnote>
  <w:footnote w:id="3">
    <w:p>
      <w:pPr>
        <w:rPr>
          <w:sz w:val="20"/>
          <w:lang w:val="pt-BR" w:eastAsia="lt-LT"/>
        </w:rPr>
      </w:pPr>
      <w:r>
        <w:rPr>
          <w:sz w:val="20"/>
          <w:vertAlign w:val="superscript"/>
          <w:lang w:eastAsia="lt-LT"/>
        </w:rPr>
        <w:footnoteRef/>
      </w:r>
      <w:r>
        <w:rPr>
          <w:sz w:val="20"/>
          <w:lang w:eastAsia="lt-LT"/>
        </w:rPr>
        <w:t xml:space="preserve"> Valstybės kontrolės vertinimo ataskaita. Pedagogų poreikio užtikrinimo vertinimas (2023). Prieiga per internetą: </w:t>
      </w:r>
      <w:r>
        <w:rPr>
          <w:color w:val="0563C1"/>
          <w:sz w:val="20"/>
          <w:u w:val="single"/>
          <w:lang w:eastAsia="lt-LT"/>
        </w:rPr>
        <w:t>https://www.valstybeskontrole.lt/LT/Product/24180</w:t>
      </w:r>
      <w:r>
        <w:rPr>
          <w:sz w:val="20"/>
          <w:u w:val="single"/>
          <w:lang w:eastAsia="lt-LT"/>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5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4744CB-C336-4A4B-AEE6-98E3DB39EB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85753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emf"/>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styles" Target="styles.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chart" Target="charts/chart1.xml"/>
  <Relationship Id="rId8" Type="http://schemas.openxmlformats.org/officeDocument/2006/relationships/chart" Target="charts/chart2.xml"/>
  <Relationship Id="rId9" Type="http://schemas.openxmlformats.org/officeDocument/2006/relationships/chart" Target="charts/chart3.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C:/Users/kristina.vaitkuviene/Desktop/Pedagogu_pritraukimo_aprasas/Savivaldyb&#279;s%20ataskaita%20-pedagogai%20(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289286486982635E-2"/>
          <c:y val="6.3109581181870336E-2"/>
          <c:w val="0.91381312816747196"/>
          <c:h val="0.55583142468637203"/>
        </c:manualLayout>
      </c:layout>
      <c:barChart>
        <c:barDir val="col"/>
        <c:grouping val="clustered"/>
        <c:varyColors val="0"/>
        <c:ser>
          <c:idx val="0"/>
          <c:order val="0"/>
          <c:tx>
            <c:strRef>
              <c:f>Lapas1!$E$33</c:f>
              <c:strCache>
                <c:ptCount val="1"/>
                <c:pt idx="0">
                  <c:v>2018– 2019 m. m.</c:v>
                </c:pt>
              </c:strCache>
            </c:strRef>
          </c:tx>
          <c:spPr>
            <a:solidFill>
              <a:schemeClr val="accent1"/>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Lapas1!$E$34:$E$43</c:f>
              <c:numCache>
                <c:formatCode>0%</c:formatCode>
                <c:ptCount val="10"/>
                <c:pt idx="0">
                  <c:v>0.01</c:v>
                </c:pt>
                <c:pt idx="1">
                  <c:v>0.03</c:v>
                </c:pt>
                <c:pt idx="2">
                  <c:v>0.06</c:v>
                </c:pt>
                <c:pt idx="3">
                  <c:v>0.08</c:v>
                </c:pt>
                <c:pt idx="4">
                  <c:v>0.15</c:v>
                </c:pt>
                <c:pt idx="5">
                  <c:v>0.17</c:v>
                </c:pt>
                <c:pt idx="6">
                  <c:v>0.17</c:v>
                </c:pt>
                <c:pt idx="7">
                  <c:v>0.2</c:v>
                </c:pt>
                <c:pt idx="8">
                  <c:v>0.12</c:v>
                </c:pt>
                <c:pt idx="9">
                  <c:v>0.02</c:v>
                </c:pt>
              </c:numCache>
            </c:numRef>
          </c:val>
          <c:extLst>
            <c:ext xmlns:c16="http://schemas.microsoft.com/office/drawing/2014/chart" uri="{C3380CC4-5D6E-409C-BE32-E72D297353CC}">
              <c16:uniqueId val="{00000000-E3E2-4E1E-B028-32C04AC4F33C}"/>
            </c:ext>
          </c:extLst>
        </c:ser>
        <c:ser>
          <c:idx val="1"/>
          <c:order val="1"/>
          <c:tx>
            <c:strRef>
              <c:f>Lapas1!$F$33</c:f>
              <c:strCache>
                <c:ptCount val="1"/>
                <c:pt idx="0">
                  <c:v>2019– 2020 m. m.</c:v>
                </c:pt>
              </c:strCache>
            </c:strRef>
          </c:tx>
          <c:spPr>
            <a:solidFill>
              <a:schemeClr val="accent2"/>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Lapas1!$F$34:$F$43</c:f>
              <c:numCache>
                <c:formatCode>0%</c:formatCode>
                <c:ptCount val="10"/>
                <c:pt idx="0">
                  <c:v>0.01</c:v>
                </c:pt>
                <c:pt idx="1">
                  <c:v>0.03</c:v>
                </c:pt>
                <c:pt idx="2">
                  <c:v>0.04</c:v>
                </c:pt>
                <c:pt idx="3">
                  <c:v>0.08</c:v>
                </c:pt>
                <c:pt idx="4">
                  <c:v>0.15</c:v>
                </c:pt>
                <c:pt idx="5">
                  <c:v>0.18</c:v>
                </c:pt>
                <c:pt idx="6">
                  <c:v>0.16</c:v>
                </c:pt>
                <c:pt idx="7">
                  <c:v>0.19</c:v>
                </c:pt>
                <c:pt idx="8">
                  <c:v>0.13</c:v>
                </c:pt>
                <c:pt idx="9">
                  <c:v>0.02</c:v>
                </c:pt>
              </c:numCache>
            </c:numRef>
          </c:val>
          <c:extLst>
            <c:ext xmlns:c16="http://schemas.microsoft.com/office/drawing/2014/chart" uri="{C3380CC4-5D6E-409C-BE32-E72D297353CC}">
              <c16:uniqueId val="{00000001-E3E2-4E1E-B028-32C04AC4F33C}"/>
            </c:ext>
          </c:extLst>
        </c:ser>
        <c:ser>
          <c:idx val="2"/>
          <c:order val="2"/>
          <c:tx>
            <c:strRef>
              <c:f>Lapas1!$G$33</c:f>
              <c:strCache>
                <c:ptCount val="1"/>
                <c:pt idx="0">
                  <c:v>2020– 2021 m. m.</c:v>
                </c:pt>
              </c:strCache>
            </c:strRef>
          </c:tx>
          <c:spPr>
            <a:solidFill>
              <a:schemeClr val="accent3"/>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Lapas1!$G$34:$G$43</c:f>
              <c:numCache>
                <c:formatCode>0%</c:formatCode>
                <c:ptCount val="10"/>
                <c:pt idx="0">
                  <c:v>0.01</c:v>
                </c:pt>
                <c:pt idx="1">
                  <c:v>0.03</c:v>
                </c:pt>
                <c:pt idx="2">
                  <c:v>0.04</c:v>
                </c:pt>
                <c:pt idx="3">
                  <c:v>0.09</c:v>
                </c:pt>
                <c:pt idx="4">
                  <c:v>0.14000000000000001</c:v>
                </c:pt>
                <c:pt idx="5">
                  <c:v>0.18</c:v>
                </c:pt>
                <c:pt idx="6">
                  <c:v>0.18</c:v>
                </c:pt>
                <c:pt idx="7">
                  <c:v>0.18</c:v>
                </c:pt>
                <c:pt idx="8">
                  <c:v>0.14000000000000001</c:v>
                </c:pt>
                <c:pt idx="9">
                  <c:v>0.02</c:v>
                </c:pt>
              </c:numCache>
            </c:numRef>
          </c:val>
          <c:extLst>
            <c:ext xmlns:c16="http://schemas.microsoft.com/office/drawing/2014/chart" uri="{C3380CC4-5D6E-409C-BE32-E72D297353CC}">
              <c16:uniqueId val="{00000002-E3E2-4E1E-B028-32C04AC4F33C}"/>
            </c:ext>
          </c:extLst>
        </c:ser>
        <c:ser>
          <c:idx val="3"/>
          <c:order val="3"/>
          <c:tx>
            <c:strRef>
              <c:f>Lapas1!$H$33</c:f>
              <c:strCache>
                <c:ptCount val="1"/>
                <c:pt idx="0">
                  <c:v>2021– 2022 m. m.</c:v>
                </c:pt>
              </c:strCache>
            </c:strRef>
          </c:tx>
          <c:spPr>
            <a:solidFill>
              <a:schemeClr val="accent4"/>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Lapas1!$H$34:$H$43</c:f>
              <c:numCache>
                <c:formatCode>0%</c:formatCode>
                <c:ptCount val="10"/>
                <c:pt idx="0">
                  <c:v>0</c:v>
                </c:pt>
                <c:pt idx="1">
                  <c:v>0.03</c:v>
                </c:pt>
                <c:pt idx="2">
                  <c:v>0.04</c:v>
                </c:pt>
                <c:pt idx="3">
                  <c:v>0.08</c:v>
                </c:pt>
                <c:pt idx="4">
                  <c:v>0.13</c:v>
                </c:pt>
                <c:pt idx="5">
                  <c:v>0.17</c:v>
                </c:pt>
                <c:pt idx="6">
                  <c:v>0.18</c:v>
                </c:pt>
                <c:pt idx="7">
                  <c:v>0.18</c:v>
                </c:pt>
                <c:pt idx="8">
                  <c:v>0.15</c:v>
                </c:pt>
                <c:pt idx="9">
                  <c:v>0.03</c:v>
                </c:pt>
              </c:numCache>
            </c:numRef>
          </c:val>
          <c:extLst>
            <c:ext xmlns:c16="http://schemas.microsoft.com/office/drawing/2014/chart" uri="{C3380CC4-5D6E-409C-BE32-E72D297353CC}">
              <c16:uniqueId val="{00000003-E3E2-4E1E-B028-32C04AC4F33C}"/>
            </c:ext>
          </c:extLst>
        </c:ser>
        <c:ser>
          <c:idx val="4"/>
          <c:order val="4"/>
          <c:tx>
            <c:strRef>
              <c:f>Lapas1!$I$33</c:f>
              <c:strCache>
                <c:ptCount val="1"/>
                <c:pt idx="0">
                  <c:v>2022– 2023 m. m.</c:v>
                </c:pt>
              </c:strCache>
            </c:strRef>
          </c:tx>
          <c:spPr>
            <a:solidFill>
              <a:schemeClr val="accent5"/>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Lapas1!$I$34:$I$43</c:f>
              <c:numCache>
                <c:formatCode>0%</c:formatCode>
                <c:ptCount val="10"/>
                <c:pt idx="0">
                  <c:v>0.01</c:v>
                </c:pt>
                <c:pt idx="1">
                  <c:v>0.03</c:v>
                </c:pt>
                <c:pt idx="2">
                  <c:v>0.03</c:v>
                </c:pt>
                <c:pt idx="3">
                  <c:v>0.08</c:v>
                </c:pt>
                <c:pt idx="4">
                  <c:v>0.13</c:v>
                </c:pt>
                <c:pt idx="5">
                  <c:v>0.16</c:v>
                </c:pt>
                <c:pt idx="6">
                  <c:v>0.19</c:v>
                </c:pt>
                <c:pt idx="7">
                  <c:v>0.18</c:v>
                </c:pt>
                <c:pt idx="8">
                  <c:v>0.17</c:v>
                </c:pt>
                <c:pt idx="9">
                  <c:v>0.03</c:v>
                </c:pt>
              </c:numCache>
            </c:numRef>
          </c:val>
          <c:extLst>
            <c:ext xmlns:c16="http://schemas.microsoft.com/office/drawing/2014/chart" uri="{C3380CC4-5D6E-409C-BE32-E72D297353CC}">
              <c16:uniqueId val="{00000004-E3E2-4E1E-B028-32C04AC4F33C}"/>
            </c:ext>
          </c:extLst>
        </c:ser>
        <c:ser>
          <c:idx val="5"/>
          <c:order val="5"/>
          <c:tx>
            <c:strRef>
              <c:f>Lapas1!$J$33</c:f>
              <c:strCache>
                <c:ptCount val="1"/>
                <c:pt idx="0">
                  <c:v>2023– 2024 m.m. </c:v>
                </c:pt>
              </c:strCache>
            </c:strRef>
          </c:tx>
          <c:spPr>
            <a:solidFill>
              <a:schemeClr val="accent6"/>
            </a:solidFill>
            <a:ln>
              <a:noFill/>
            </a:ln>
            <a:effectLst/>
          </c:spPr>
          <c:invertIfNegative val="0"/>
          <c:cat>
            <c:strRef>
              <c:f>Lapas1!$D$34:$D$43</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Lapas1!$J$34:$J$43</c:f>
              <c:numCache>
                <c:formatCode>0%</c:formatCode>
                <c:ptCount val="10"/>
                <c:pt idx="0">
                  <c:v>0.01</c:v>
                </c:pt>
                <c:pt idx="1">
                  <c:v>0.03</c:v>
                </c:pt>
                <c:pt idx="2">
                  <c:v>0.03</c:v>
                </c:pt>
                <c:pt idx="3">
                  <c:v>0.09</c:v>
                </c:pt>
                <c:pt idx="4">
                  <c:v>0.12</c:v>
                </c:pt>
                <c:pt idx="5">
                  <c:v>0.15</c:v>
                </c:pt>
                <c:pt idx="6">
                  <c:v>0.16</c:v>
                </c:pt>
                <c:pt idx="7">
                  <c:v>0.19</c:v>
                </c:pt>
                <c:pt idx="8">
                  <c:v>0.17</c:v>
                </c:pt>
                <c:pt idx="9">
                  <c:v>0.05</c:v>
                </c:pt>
              </c:numCache>
            </c:numRef>
          </c:val>
          <c:extLst>
            <c:ext xmlns:c16="http://schemas.microsoft.com/office/drawing/2014/chart" uri="{C3380CC4-5D6E-409C-BE32-E72D297353CC}">
              <c16:uniqueId val="{00000005-E3E2-4E1E-B028-32C04AC4F33C}"/>
            </c:ext>
          </c:extLst>
        </c:ser>
        <c:dLbls>
          <c:showLegendKey val="0"/>
          <c:showVal val="0"/>
          <c:showCatName val="0"/>
          <c:showSerName val="0"/>
          <c:showPercent val="0"/>
          <c:showBubbleSize val="0"/>
        </c:dLbls>
        <c:gapWidth val="219"/>
        <c:overlap val="-27"/>
        <c:axId val="2059065983"/>
        <c:axId val="2059052063"/>
      </c:barChart>
      <c:catAx>
        <c:axId val="2059065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052063"/>
        <c:crosses val="autoZero"/>
        <c:auto val="1"/>
        <c:lblAlgn val="ctr"/>
        <c:lblOffset val="100"/>
        <c:noMultiLvlLbl val="0"/>
      </c:catAx>
      <c:valAx>
        <c:axId val="205905206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065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sz="1200" b="1">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Puslapis1_1!$P$4</c:f>
              <c:strCache>
                <c:ptCount val="1"/>
                <c:pt idx="0">
                  <c:v>Bendrojo ugdymo mokyklos</c:v>
                </c:pt>
              </c:strCache>
            </c:strRef>
          </c:tx>
          <c:spPr>
            <a:solidFill>
              <a:schemeClr val="accent1"/>
            </a:solidFill>
            <a:ln>
              <a:noFill/>
            </a:ln>
            <a:effectLst/>
          </c:spPr>
          <c:invertIfNegative val="0"/>
          <c:cat>
            <c:strRef>
              <c:f>Puslapis1_1!$O$5:$O$14</c:f>
              <c:strCache>
                <c:ptCount val="10"/>
                <c:pt idx="0">
                  <c:v>Jaunesni nei 25 metai</c:v>
                </c:pt>
                <c:pt idx="1">
                  <c:v>25–29 m.</c:v>
                </c:pt>
                <c:pt idx="2">
                  <c:v>30–34 m.</c:v>
                </c:pt>
                <c:pt idx="3">
                  <c:v>35–39 m.</c:v>
                </c:pt>
                <c:pt idx="4">
                  <c:v>40–44 m.</c:v>
                </c:pt>
                <c:pt idx="5">
                  <c:v>45–49 m.</c:v>
                </c:pt>
                <c:pt idx="6">
                  <c:v>50–54 m.</c:v>
                </c:pt>
                <c:pt idx="7">
                  <c:v>55–59 m.</c:v>
                </c:pt>
                <c:pt idx="8">
                  <c:v>60–64 m.</c:v>
                </c:pt>
                <c:pt idx="9">
                  <c:v>65 m. ir vyresni</c:v>
                </c:pt>
              </c:strCache>
              <c:extLst/>
            </c:strRef>
          </c:cat>
          <c:val>
            <c:numRef>
              <c:f>Puslapis1_1!$P$5:$P$14</c:f>
              <c:numCache>
                <c:formatCode>0%</c:formatCode>
                <c:ptCount val="10"/>
                <c:pt idx="0">
                  <c:v>6.7204301075268818E-3</c:v>
                </c:pt>
                <c:pt idx="1">
                  <c:v>2.6881720430107527E-2</c:v>
                </c:pt>
                <c:pt idx="2">
                  <c:v>3.4274193548387094E-2</c:v>
                </c:pt>
                <c:pt idx="3">
                  <c:v>8.0645161290322578E-2</c:v>
                </c:pt>
                <c:pt idx="4">
                  <c:v>0.13172043010752688</c:v>
                </c:pt>
                <c:pt idx="5">
                  <c:v>0.15793010752688172</c:v>
                </c:pt>
                <c:pt idx="6">
                  <c:v>0.18682795698924731</c:v>
                </c:pt>
                <c:pt idx="7">
                  <c:v>0.17809139784946237</c:v>
                </c:pt>
                <c:pt idx="8">
                  <c:v>0.16599462365591397</c:v>
                </c:pt>
                <c:pt idx="9">
                  <c:v>3.0913978494623656E-2</c:v>
                </c:pt>
              </c:numCache>
              <c:extLst/>
            </c:numRef>
          </c:val>
          <c:extLst>
            <c:ext xmlns:c16="http://schemas.microsoft.com/office/drawing/2014/chart" uri="{C3380CC4-5D6E-409C-BE32-E72D297353CC}">
              <c16:uniqueId val="{00000000-3BCB-4412-BCE4-78CF1AD4C6B8}"/>
            </c:ext>
          </c:extLst>
        </c:ser>
        <c:ser>
          <c:idx val="1"/>
          <c:order val="1"/>
          <c:tx>
            <c:strRef>
              <c:f>Puslapis1_1!$Q$4</c:f>
              <c:strCache>
                <c:ptCount val="1"/>
                <c:pt idx="0">
                  <c:v>Ikimokyklinio ugdymo įstaigos</c:v>
                </c:pt>
              </c:strCache>
            </c:strRef>
          </c:tx>
          <c:spPr>
            <a:solidFill>
              <a:schemeClr val="accent2"/>
            </a:solidFill>
            <a:ln>
              <a:noFill/>
            </a:ln>
            <a:effectLst/>
          </c:spPr>
          <c:invertIfNegative val="0"/>
          <c:cat>
            <c:strRef>
              <c:f>Puslapis1_1!$O$5:$O$14</c:f>
              <c:strCache>
                <c:ptCount val="10"/>
                <c:pt idx="0">
                  <c:v>Jaunesni nei 25 metai</c:v>
                </c:pt>
                <c:pt idx="1">
                  <c:v>25–29 m.</c:v>
                </c:pt>
                <c:pt idx="2">
                  <c:v>30–34 m.</c:v>
                </c:pt>
                <c:pt idx="3">
                  <c:v>35–39 m.</c:v>
                </c:pt>
                <c:pt idx="4">
                  <c:v>40–44 m.</c:v>
                </c:pt>
                <c:pt idx="5">
                  <c:v>45–49 m.</c:v>
                </c:pt>
                <c:pt idx="6">
                  <c:v>50–54 m.</c:v>
                </c:pt>
                <c:pt idx="7">
                  <c:v>55–59 m.</c:v>
                </c:pt>
                <c:pt idx="8">
                  <c:v>60–64 m.</c:v>
                </c:pt>
                <c:pt idx="9">
                  <c:v>65 m. ir vyresni</c:v>
                </c:pt>
              </c:strCache>
              <c:extLst/>
            </c:strRef>
          </c:cat>
          <c:val>
            <c:numRef>
              <c:f>Puslapis1_1!$Q$5:$Q$14</c:f>
              <c:numCache>
                <c:formatCode>0%</c:formatCode>
                <c:ptCount val="10"/>
                <c:pt idx="0">
                  <c:v>2.9007633587786259E-2</c:v>
                </c:pt>
                <c:pt idx="1">
                  <c:v>4.8854961832061068E-2</c:v>
                </c:pt>
                <c:pt idx="2">
                  <c:v>0.13129770992366413</c:v>
                </c:pt>
                <c:pt idx="3">
                  <c:v>0.17709923664122137</c:v>
                </c:pt>
                <c:pt idx="4">
                  <c:v>0.10839694656488549</c:v>
                </c:pt>
                <c:pt idx="5">
                  <c:v>9.7709923664122136E-2</c:v>
                </c:pt>
                <c:pt idx="6">
                  <c:v>0.14503816793893129</c:v>
                </c:pt>
                <c:pt idx="7">
                  <c:v>0.11450381679389313</c:v>
                </c:pt>
                <c:pt idx="8">
                  <c:v>0.13129770992366413</c:v>
                </c:pt>
                <c:pt idx="9">
                  <c:v>1.6793893129770993E-2</c:v>
                </c:pt>
              </c:numCache>
              <c:extLst/>
            </c:numRef>
          </c:val>
          <c:extLst>
            <c:ext xmlns:c16="http://schemas.microsoft.com/office/drawing/2014/chart" uri="{C3380CC4-5D6E-409C-BE32-E72D297353CC}">
              <c16:uniqueId val="{00000001-3BCB-4412-BCE4-78CF1AD4C6B8}"/>
            </c:ext>
          </c:extLst>
        </c:ser>
        <c:dLbls>
          <c:showLegendKey val="0"/>
          <c:showVal val="0"/>
          <c:showCatName val="0"/>
          <c:showSerName val="0"/>
          <c:showPercent val="0"/>
          <c:showBubbleSize val="0"/>
        </c:dLbls>
        <c:gapWidth val="219"/>
        <c:overlap val="-27"/>
        <c:axId val="727350448"/>
        <c:axId val="727329328"/>
      </c:barChart>
      <c:catAx>
        <c:axId val="72735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7329328"/>
        <c:crosses val="autoZero"/>
        <c:auto val="1"/>
        <c:lblAlgn val="ctr"/>
        <c:lblOffset val="100"/>
        <c:noMultiLvlLbl val="0"/>
      </c:catAx>
      <c:valAx>
        <c:axId val="727329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7350448"/>
        <c:crosses val="autoZero"/>
        <c:crossBetween val="between"/>
      </c:valAx>
      <c:spPr>
        <a:noFill/>
        <a:ln>
          <a:noFill/>
        </a:ln>
        <a:effectLst/>
      </c:spPr>
    </c:plotArea>
    <c:legend>
      <c:legendPos val="b"/>
      <c:layout>
        <c:manualLayout>
          <c:xMode val="edge"/>
          <c:yMode val="edge"/>
          <c:x val="0.10575069483818154"/>
          <c:y val="0.86297826262081268"/>
          <c:w val="0.78769977108329381"/>
          <c:h val="7.8266081791679154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Lapas1!$D$18</c:f>
              <c:strCache>
                <c:ptCount val="1"/>
                <c:pt idx="0">
                  <c:v>Bendrojo ugdymo mokyklos</c:v>
                </c:pt>
              </c:strCache>
            </c:strRef>
          </c:tx>
          <c:spPr>
            <a:solidFill>
              <a:schemeClr val="accent1"/>
            </a:solidFill>
            <a:ln>
              <a:noFill/>
            </a:ln>
            <a:effectLst/>
          </c:spPr>
          <c:invertIfNegative val="0"/>
          <c:cat>
            <c:strRef>
              <c:f>Lapas1!$C$19:$C$28</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Lapas1!$D$19:$D$28</c:f>
              <c:numCache>
                <c:formatCode>0%</c:formatCode>
                <c:ptCount val="10"/>
                <c:pt idx="0">
                  <c:v>0.01</c:v>
                </c:pt>
                <c:pt idx="1">
                  <c:v>0.03</c:v>
                </c:pt>
                <c:pt idx="2">
                  <c:v>0.03</c:v>
                </c:pt>
                <c:pt idx="3">
                  <c:v>0.09</c:v>
                </c:pt>
                <c:pt idx="4">
                  <c:v>0.12</c:v>
                </c:pt>
                <c:pt idx="5">
                  <c:v>0.15</c:v>
                </c:pt>
                <c:pt idx="6">
                  <c:v>0.16</c:v>
                </c:pt>
                <c:pt idx="7">
                  <c:v>0.19</c:v>
                </c:pt>
                <c:pt idx="8">
                  <c:v>0.17</c:v>
                </c:pt>
                <c:pt idx="9">
                  <c:v>0.05</c:v>
                </c:pt>
              </c:numCache>
            </c:numRef>
          </c:val>
          <c:extLst>
            <c:ext xmlns:c16="http://schemas.microsoft.com/office/drawing/2014/chart" uri="{C3380CC4-5D6E-409C-BE32-E72D297353CC}">
              <c16:uniqueId val="{00000000-7D5B-4C6B-A9C3-B8364248F875}"/>
            </c:ext>
          </c:extLst>
        </c:ser>
        <c:ser>
          <c:idx val="1"/>
          <c:order val="1"/>
          <c:tx>
            <c:strRef>
              <c:f>Lapas1!$E$18</c:f>
              <c:strCache>
                <c:ptCount val="1"/>
                <c:pt idx="0">
                  <c:v>Ikimokyklinio ugdymo įstaigos</c:v>
                </c:pt>
              </c:strCache>
            </c:strRef>
          </c:tx>
          <c:spPr>
            <a:solidFill>
              <a:schemeClr val="accent2"/>
            </a:solidFill>
            <a:ln>
              <a:noFill/>
            </a:ln>
            <a:effectLst/>
          </c:spPr>
          <c:invertIfNegative val="0"/>
          <c:cat>
            <c:strRef>
              <c:f>Lapas1!$C$19:$C$28</c:f>
              <c:strCache>
                <c:ptCount val="10"/>
                <c:pt idx="0">
                  <c:v>Jaunesni nei 25 metai</c:v>
                </c:pt>
                <c:pt idx="1">
                  <c:v>25– 29 m.</c:v>
                </c:pt>
                <c:pt idx="2">
                  <c:v>30– 34 m.</c:v>
                </c:pt>
                <c:pt idx="3">
                  <c:v>35– 39 m.  </c:v>
                </c:pt>
                <c:pt idx="4">
                  <c:v>40– 44 m. </c:v>
                </c:pt>
                <c:pt idx="5">
                  <c:v>45– 49 m.</c:v>
                </c:pt>
                <c:pt idx="6">
                  <c:v>50– 54 m. </c:v>
                </c:pt>
                <c:pt idx="7">
                  <c:v>55– 59 m. </c:v>
                </c:pt>
                <c:pt idx="8">
                  <c:v>60– 64 m. </c:v>
                </c:pt>
                <c:pt idx="9">
                  <c:v>65 ir vyresni</c:v>
                </c:pt>
              </c:strCache>
            </c:strRef>
          </c:cat>
          <c:val>
            <c:numRef>
              <c:f>Lapas1!$E$19:$E$28</c:f>
              <c:numCache>
                <c:formatCode>0%</c:formatCode>
                <c:ptCount val="10"/>
                <c:pt idx="0">
                  <c:v>0.03</c:v>
                </c:pt>
                <c:pt idx="1">
                  <c:v>0.03</c:v>
                </c:pt>
                <c:pt idx="2">
                  <c:v>0.13</c:v>
                </c:pt>
                <c:pt idx="3">
                  <c:v>0.16</c:v>
                </c:pt>
                <c:pt idx="4">
                  <c:v>0.13</c:v>
                </c:pt>
                <c:pt idx="5">
                  <c:v>7.0000000000000007E-2</c:v>
                </c:pt>
                <c:pt idx="6">
                  <c:v>0.15</c:v>
                </c:pt>
                <c:pt idx="7">
                  <c:v>0.14000000000000001</c:v>
                </c:pt>
                <c:pt idx="8">
                  <c:v>0.16</c:v>
                </c:pt>
                <c:pt idx="9">
                  <c:v>0.03</c:v>
                </c:pt>
              </c:numCache>
            </c:numRef>
          </c:val>
          <c:extLst>
            <c:ext xmlns:c16="http://schemas.microsoft.com/office/drawing/2014/chart" uri="{C3380CC4-5D6E-409C-BE32-E72D297353CC}">
              <c16:uniqueId val="{00000001-7D5B-4C6B-A9C3-B8364248F875}"/>
            </c:ext>
          </c:extLst>
        </c:ser>
        <c:dLbls>
          <c:showLegendKey val="0"/>
          <c:showVal val="0"/>
          <c:showCatName val="0"/>
          <c:showSerName val="0"/>
          <c:showPercent val="0"/>
          <c:showBubbleSize val="0"/>
        </c:dLbls>
        <c:gapWidth val="219"/>
        <c:overlap val="-27"/>
        <c:axId val="58539471"/>
        <c:axId val="58546671"/>
      </c:barChart>
      <c:catAx>
        <c:axId val="58539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46671"/>
        <c:crosses val="autoZero"/>
        <c:auto val="1"/>
        <c:lblAlgn val="ctr"/>
        <c:lblOffset val="100"/>
        <c:noMultiLvlLbl val="0"/>
      </c:catAx>
      <c:valAx>
        <c:axId val="5854667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39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04560e65cee487fa6d26828742adcfa" PartId="3cec0d2c78674a4a9f62cd71b65e999e"/>
  <Part Type="patvirtinta" Title="PEDAGOGŲ PRITRAUKIMO Į ŠIAULIŲ MIESTO ŠVIETIMO ĮSTAIGAS, PERKVALIFIKAVIMO IR KVALIFIKACIJOS TOBULINIMO 2024–2026 METAIS PROGRAMA" DocPartId="b949f4cd8bf94f5b90f0be675bbf4eb3" PartId="4c6b09bfff084e53bf35f7574eb319ac">
    <Part Type="skyrius" Nr="1" Title="BENDROSIOS NUOSTATOS" DocPartId="7483b1d956034b89a6e4b94c7367388e" PartId="8261156a529347be9f76e6ba79d6f8f5">
      <Part Type="punktas" Nr="1" Abbr="1 p." DocPartId="8fa83652cebf4697893b2feebf0b2144" PartId="bde7286e80c248b7a8141dbed3efacd0"/>
      <Part Type="punktas" Nr="2" Abbr="2 p." DocPartId="329263b9083e4b5793cc19c528762241" PartId="612a97984b914000b7a6165918b53ee1">
        <Part Type="papunktis" Nr="2.1" Abbr="2.1 pp." DocPartId="a64931a78d2948518595e337e9df55e0" PartId="d5b4c252cfd74a5db1ef28974d17458a"/>
        <Part Type="papunktis" Nr="2.2" Abbr="2.2 pp." DocPartId="1aad55b0906440a7bc9647dee4e53e74" PartId="4bd90d72c0d64062bc3d4235f3d0964c"/>
        <Part Type="papunktis" Nr="2.3" Abbr="2.3 pp." DocPartId="4f66f0eb24b34bfa8f7c32f674fde82c" PartId="38a132ad34ef48cdb4ebd7d94dd4daf3"/>
        <Part Type="papunktis" Nr="2.4" Abbr="2.4 pp." DocPartId="d198a65defc34fd3a0563a3a0d666f7e" PartId="54b431cbe1d7410d8a7b1ecbd5d66d58"/>
        <Part Type="papunktis" Nr="2.5" Abbr="2.5 pp." DocPartId="6f51dbcb2ae641aa9b9672e19eee9033" PartId="2f6d5d9d15c54d9baaeffe7a0a54bf68"/>
        <Part Type="papunktis" Nr="2.6" Abbr="2.6 pp." DocPartId="b00c35d0cbb2485b863a90a60d6acd96" PartId="217a5bdf920a431bbcb6b4ec274421af"/>
        <Part Type="papunktis" Nr="2.7" Abbr="2.7 pp." DocPartId="f2fe6766f8b34ca5a487f9025c7973a5" PartId="d0787eeeefe342fa8e91b8338c96b378"/>
      </Part>
      <Part Type="punktas" Nr="3" Abbr="3 p." DocPartId="a7e7b4cbbef642a48a60eb6f161654ba" PartId="9c405080d7494db6be934422de80cfb9"/>
    </Part>
    <Part Type="skyrius" Nr="2" Title="SITUACIJOS ANALIZĖ LIETUVOJE IR ŠIAULIŲ MIESTE" DocPartId="6ed2dc558637485ca49a3b19729f76c6" PartId="edfd29280374472b88d9a61d658b6e08">
      <Part Type="punktas" Nr="4" Abbr="4 p." DocPartId="2940ea0e2a744bb5821495f5aa2a5f57" PartId="c598956bd4a94e069da121aa3bcd752d"/>
      <Part Type="punktas" Nr="5" Abbr="5 p." DocPartId="ee1e2e716b804476aa3e2eb948efc450" PartId="cd7bec0c93174f77a16db7608f955565"/>
      <Part Type="punktas" Nr="6" Abbr="6 p." DocPartId="300f70221bac4ae182045591cdf47469" PartId="69d51e5afb4342f5b75840d94ff29a86"/>
    </Part>
    <Part Type="skyrius" Nr="3" Title="PROGRAMOS ĮGYVENDINIMO PRIEMONĖS 2024–2026 M." DocPartId="0a62457e8f5f4a89bb5b9773498b51d1" PartId="63c3a5cc73b74833ab9aaeaaedbda2c7">
      <Part Type="punktas" Nr="1" Abbr="1 p." DocPartId="cf66a91337bd4689a2b1b5a245dc50b5" PartId="40c36cfd98654bba820be611e3439abf"/>
      <Part Type="punktas" Nr="2" Abbr="2 p." DocPartId="149c2b11ae1342e5a432f592c5f658f8" PartId="cbf506f1e37941e58417da87dafbbf7d"/>
      <Part Type="punktas" Nr="3" Abbr="3 p." DocPartId="6e82390f7990405eba33d4cc08595ace" PartId="2279b89af2274080a3bff0a7d30cbda4"/>
      <Part Type="punktas" Nr="4" Abbr="4 p." DocPartId="a6f5c09bdd48465f88ab7c4942728f07" PartId="763ee2b28aaf4a1fb698512f93674d73"/>
    </Part>
    <Part Type="skyrius" Nr="4" Title="PROGRAMOS ĮGYVENDINIMAS" DocPartId="b6b235fd66e741b48f3663fc2e394df6" PartId="1e88f9d9a7e347509ce6ce17748fda1d">
      <Part Type="punktas" Nr="7" Abbr="7 p." Notes="Numeris ne iš eilės. Trūksta dalių? [DocDalys]" DocPartId="c03bcc510a354bcb920606e2b8f04a0b" PartId="6d65dd92b93a47498e6ab1a99f2b2dff"/>
      <Part Type="punktas" Nr="8" Abbr="8 p." DocPartId="94c86a1d68a449e897f3b09f424243c6" PartId="c5ce2c295d5a457d9478d3c49fd34df0"/>
      <Part Type="punktas" Nr="9" Abbr="9 p." DocPartId="9aee7ec7c6304fd09ed1377382206228" PartId="cd0d307b16a548acb66ed8f5c162dfe3"/>
      <Part Type="punktas" Nr="10" Abbr="10 p." DocPartId="ffef6a5af6c6489888d5091e0f6c405e" PartId="eab9df0ca6cf4f71a2f491bcd2357b77"/>
      <Part Type="punktas" Nr="11" Abbr="11 p." DocPartId="5991b45589ea424a8b87a1acce8f2d7a" PartId="f08de2008a2447fb85e81d4b3450f447"/>
    </Part>
    <Part Type="skyrius" Nr="5" Title="BAIGIAMOSIOS NUOSTATOS" DocPartId="b75f7524db4b45ba91df5bbd70fe64ad" PartId="561fc88194d7496c8922f453d660fe16">
      <Part Type="punktas" Nr="12" Abbr="12 p." DocPartId="ea439732e3fd4c4cb501757adad3551a" PartId="d6257fac6c014cec85dfa5538b4aa696"/>
      <Part Type="punktas" Nr="13" Abbr="13 p." DocPartId="13b77f29eccb42ed803edcd9ce2ac290" PartId="ae78b3140bf545a5a7ad2cea853ad5c0"/>
    </Part>
    <Part Type="pabaiga" DocPartId="fe63bd5f78fc4059bf1f3eba46bf3939" PartId="1371cc3391b34404be2300a276bc5f3f"/>
  </Part>
</Parts>
</file>

<file path=customXml/itemProps1.xml><?xml version="1.0" encoding="utf-8"?>
<ds:datastoreItem xmlns:ds="http://schemas.openxmlformats.org/officeDocument/2006/customXml" ds:itemID="{E8D4EA5B-A1CA-4232-89A7-DB08CBCD01E3}">
  <ds:schemaRefs>
    <ds:schemaRef ds:uri="http://schemas.openxmlformats.org/officeDocument/2006/bibliography"/>
  </ds:schemaRefs>
</ds:datastoreItem>
</file>

<file path=customXml/itemProps2.xml><?xml version="1.0" encoding="utf-8"?>
<ds:datastoreItem xmlns:ds="http://schemas.openxmlformats.org/officeDocument/2006/customXml" ds:itemID="{F61220CE-672D-475B-B5D9-B8E5FDBBFE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2668</Words>
  <Characters>18890</Characters>
  <Application>Microsoft Office Word</Application>
  <DocSecurity>4</DocSecurity>
  <Lines>651</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21255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2024-08-12T05:23:00Z</dcterms:created>
  <dc:creator>Danguolė Teišerskienė</dc:creator>
  <lastModifiedBy>adlibuser</lastModifiedBy>
  <lastPrinted>2024-07-31T07:17:00Z</lastPrinted>
  <dcterms:modified xsi:type="dcterms:W3CDTF">2024-08-12T05:23:00Z</dcterms:modified>
  <revision>2</revision>
</coreProperties>
</file>