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lentele"/>
        <w:tag w:val="part_98ce9b815e0b4c788b79b0e847f93e7b"/>
        <w:lock w:val="sdtLocked"/>
        <w:richText/>
      </w:sdtPr>
      <w:sdtContent>
        <w:p w14:paraId="27CE9D43" w14:textId="77777777">
          <w:pPr>
            <w:rPr>
              <w:sz w:val="22"/>
              <w:szCs w:val="22"/>
            </w:rPr>
          </w:pPr>
        </w:p>
        <w:p w14:paraId="5AA3AE86" w14:textId="4A338E4D">
          <w:pPr>
            <w:jc w:val="center"/>
            <w:rPr>
              <w:sz w:val="22"/>
              <w:szCs w:val="22"/>
            </w:rPr>
          </w:pPr>
          <w:r>
            <w:rPr>
              <w:rFonts w:eastAsia="Arial Unicode MS"/>
              <w:b/>
              <w:bCs/>
              <w:sz w:val="22"/>
              <w:szCs w:val="22"/>
              <w:lang w:eastAsia="lt-LT"/>
            </w:rPr>
            <w:t xml:space="preserve">REGLAMENTO (ES) 2026/261 IR </w:t>
          </w:r>
          <w:r>
            <w:rPr>
              <w:b/>
              <w:bCs/>
              <w:sz w:val="22"/>
              <w:szCs w:val="22"/>
            </w:rPr>
            <w:t xml:space="preserve">LIETUVOS RESPUBLIKOS ENERGETIKOS ĮSTATYMO NR. IX-884 6, 8, 21, 27, 36 STRAIPSNIŲ,  PRIEDO PAKEITIMO IR  ĮSTATYMO PAPILDYMO 29</w:t>
          </w:r>
          <w:r>
            <w:rPr>
              <w:b/>
              <w:bCs/>
              <w:sz w:val="22"/>
              <w:szCs w:val="22"/>
              <w:vertAlign w:val="superscript"/>
            </w:rPr>
            <w:t>1</w:t>
          </w:r>
          <w:r>
            <w:rPr>
              <w:b/>
              <w:bCs/>
              <w:sz w:val="22"/>
              <w:szCs w:val="22"/>
            </w:rPr>
            <w:t xml:space="preserve"> STRAIPSNIU ĮSTATYMO PROJEKTO ATITIKTIES LENTELĖ</w:t>
          </w:r>
        </w:p>
        <w:p w14:paraId="43A16EF0" w14:textId="546B31DB">
          <w:pPr>
            <w:widowControl w:val="0"/>
            <w:suppressAutoHyphens/>
            <w:jc w:val="center"/>
            <w:rPr>
              <w:sz w:val="22"/>
              <w:szCs w:val="22"/>
            </w:rPr>
          </w:pPr>
        </w:p>
        <w:tbl>
          <w:tblPr>
            <w:tblW w:w="14970" w:type="dxa"/>
            <w:tblInd w:w="197" w:type="dxa"/>
            <w:tblLayout w:type="fixed"/>
            <w:tblCellMar>
              <w:top w:w="55" w:type="dxa"/>
              <w:left w:w="55" w:type="dxa"/>
              <w:bottom w:w="55" w:type="dxa"/>
              <w:right w:w="55" w:type="dxa"/>
            </w:tblCellMar>
            <w:tblLook w:val="0000" w:firstRow="0" w:lastRow="0" w:firstColumn="0" w:lastColumn="0" w:noHBand="0" w:noVBand="0"/>
          </w:tblPr>
          <w:tblGrid>
            <w:gridCol w:w="6606"/>
            <w:gridCol w:w="6804"/>
            <w:gridCol w:w="1560"/>
          </w:tblGrid>
          <w:tr w14:paraId="7FB302F0" w14:textId="77777777">
            <w:trPr>
              <w:trHeight w:val="114"/>
            </w:trPr>
            <w:tc>
              <w:tcPr>
                <w:tcW w:w="6606" w:type="dxa"/>
                <w:tcBorders>
                  <w:top w:val="single" w:sz="1" w:space="0" w:color="000000" w:themeColor="text1"/>
                  <w:left w:val="single" w:sz="1" w:space="0" w:color="000000" w:themeColor="text1"/>
                  <w:bottom w:val="single" w:sz="1" w:space="0" w:color="000000" w:themeColor="text1"/>
                </w:tcBorders>
              </w:tcPr>
              <w:p w14:paraId="1660E220" w14:textId="2C21F985">
                <w:pPr>
                  <w:widowControl w:val="0"/>
                  <w:suppressAutoHyphens/>
                  <w:jc w:val="both"/>
                  <w:rPr>
                    <w:sz w:val="20"/>
                  </w:rPr>
                </w:pPr>
                <w:r>
                  <w:rPr>
                    <w:rFonts w:eastAsia="Yu Gothic"/>
                    <w:b/>
                    <w:bCs/>
                    <w:kern w:val="2"/>
                    <w:sz w:val="22"/>
                    <w:szCs w:val="22"/>
                    <w:lang w:eastAsia="zh-TW"/>
                    <w14:ligatures w14:val="standardContextual"/>
                  </w:rPr>
                  <w:t xml:space="preserve">2026 m. sausio 26 d. Europos Parlamento ir Tarybos reglamentas </w:t>
                </w:r>
                <w:fldSimple w:instr="HYPERLINK http://eur-lex.europa.eu/legal-content/LIT/TXT/?uri=CELEX:32026R0261&amp;locale=lt \t _blank">
                  <w:r>
                    <w:rPr>
                      <w:rFonts w:eastAsia="Yu Gothic"/>
                      <w:b/>
                      <w:bCs/>
                      <w:kern w:val="2"/>
                      <w:sz w:val="22"/>
                      <w:szCs w:val="22"/>
                      <w:lang w:eastAsia="zh-TW"/>
                      <w14:ligatures w14:val="standardContextual"/>
                      <w:u w:val="single"/>
                      <w:color w:val="0000FF" w:themeColor="hyperlink"/>
                    </w:rPr>
                    <w:t>(ES) 2026/261</w:t>
                  </w:r>
                </w:fldSimple>
                <w:r>
                  <w:rPr>
                    <w:rFonts w:eastAsia="Yu Gothic"/>
                    <w:b/>
                    <w:bCs/>
                    <w:kern w:val="2"/>
                    <w:sz w:val="22"/>
                    <w:szCs w:val="22"/>
                    <w:lang w:eastAsia="zh-TW"/>
                    <w14:ligatures w14:val="standardContextual"/>
                  </w:rPr>
                  <w:t xml:space="preserve"> dėl laipsniško gamtinių dujų importo iš Rusijos nutraukimo ir pasirengimo laipsniškam Rusijos naftos importo nutraukimui bei galimos energetinės priklausomybės stebėsenos gerinimo, kuriuo iš dalies keičiamas Reglamentas </w:t>
                </w:r>
                <w:fldSimple w:instr="HYPERLINK http://eur-lex.europa.eu/legal-content/LIT/TXT/?uri=CELEX:32017R1938&amp;locale=lt \t _blank">
                  <w:r>
                    <w:rPr>
                      <w:rFonts w:eastAsia="Yu Gothic"/>
                      <w:b/>
                      <w:bCs/>
                      <w:kern w:val="2"/>
                      <w:sz w:val="22"/>
                      <w:szCs w:val="22"/>
                      <w:lang w:eastAsia="zh-TW"/>
                      <w14:ligatures w14:val="standardContextual"/>
                      <w:u w:val="single"/>
                      <w:color w:val="0000FF" w:themeColor="hyperlink"/>
                    </w:rPr>
                    <w:t>(ES) 2017/1938</w:t>
                  </w:r>
                </w:fldSimple>
              </w:p>
              <w:p w14:paraId="2329CEAC" w14:textId="1DCFB62D">
                <w:pPr>
                  <w:tabs>
                    <w:tab w:val="left" w:pos="990"/>
                  </w:tabs>
                  <w:ind w:firstLine="990"/>
                  <w:rPr>
                    <w:sz w:val="22"/>
                    <w:szCs w:val="22"/>
                  </w:rPr>
                </w:pPr>
              </w:p>
            </w:tc>
            <w:tc>
              <w:tcPr>
                <w:tcW w:w="6804" w:type="dxa"/>
                <w:tcBorders>
                  <w:top w:val="single" w:sz="1" w:space="0" w:color="000000" w:themeColor="text1"/>
                  <w:left w:val="single" w:sz="1" w:space="0" w:color="000000" w:themeColor="text1"/>
                  <w:bottom w:val="single" w:sz="1" w:space="0" w:color="000000" w:themeColor="text1"/>
                </w:tcBorders>
              </w:tcPr>
              <w:p w14:paraId="5AD92D37" w14:textId="0EFA6F18">
                <w:pPr>
                  <w:widowControl w:val="0"/>
                  <w:suppressAutoHyphens/>
                  <w:jc w:val="both"/>
                  <w:rPr>
                    <w:rFonts w:eastAsia="Arial Unicode MS"/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rFonts w:eastAsia="Arial Unicode MS"/>
                    <w:b/>
                    <w:bCs/>
                    <w:sz w:val="22"/>
                    <w:szCs w:val="22"/>
                    <w:lang w:eastAsia="lt-LT"/>
                  </w:rPr>
                  <w:t xml:space="preserve">LIETUVOS RESPUBLIKOS ENERGETIKOS ĮSTATYMO NR.  IX- 884 6, 8, 21, 27, ir 36 STRAIPSNIŲ,  PRIEDO PAKEITIMO IR  ĮSTATYMO PAPILDYMO 29</w:t>
                </w:r>
                <w:r>
                  <w:rPr>
                    <w:rFonts w:eastAsia="Arial Unicode MS"/>
                    <w:b/>
                    <w:bCs/>
                    <w:sz w:val="22"/>
                    <w:szCs w:val="22"/>
                    <w:vertAlign w:val="superscript"/>
                    <w:lang w:eastAsia="lt-LT"/>
                  </w:rPr>
                  <w:t>1</w:t>
                </w:r>
                <w:r>
                  <w:rPr>
                    <w:rFonts w:eastAsia="Arial Unicode MS"/>
                    <w:b/>
                    <w:bCs/>
                    <w:sz w:val="22"/>
                    <w:szCs w:val="22"/>
                    <w:lang w:eastAsia="lt-LT"/>
                  </w:rPr>
                  <w:t xml:space="preserve"> STRAIPSNIU ĮSTATYMO PROJEKTAS </w:t>
                </w:r>
                <w:r>
                  <w:rPr>
                    <w:rFonts w:eastAsia="Arial Unicode MS"/>
                    <w:sz w:val="22"/>
                    <w:szCs w:val="22"/>
                    <w:lang w:eastAsia="lt-LT"/>
                  </w:rPr>
                  <w:t>(toliau – įstatymo projektas)</w:t>
                </w:r>
                <w:r>
                  <w:rPr>
                    <w:rFonts w:eastAsia="Arial Unicode MS"/>
                    <w:b/>
                    <w:bCs/>
                    <w:sz w:val="22"/>
                    <w:szCs w:val="22"/>
                    <w:lang w:eastAsia="lt-LT"/>
                  </w:rPr>
                  <w:t xml:space="preserve"> </w:t>
                </w:r>
              </w:p>
            </w:tc>
            <w:tc>
              <w:tcPr>
                <w:tcW w:w="1560" w:type="dxa"/>
                <w:tcBorders>
                  <w:top w:val="single" w:sz="1" w:space="0" w:color="000000" w:themeColor="text1"/>
                  <w:left w:val="single" w:sz="1" w:space="0" w:color="000000" w:themeColor="text1"/>
                  <w:bottom w:val="single" w:sz="2" w:space="0" w:color="000000" w:themeColor="text1"/>
                  <w:right w:val="single" w:sz="1" w:space="0" w:color="000000" w:themeColor="text1"/>
                </w:tcBorders>
              </w:tcPr>
              <w:p w14:paraId="54F96C0D" w14:textId="3BEC803A">
                <w:pPr>
                  <w:widowControl w:val="0"/>
                  <w:suppressAutoHyphens/>
                  <w:jc w:val="both"/>
                  <w:rPr>
                    <w:rFonts w:eastAsia="Arial Unicode MS"/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rFonts w:eastAsia="Arial Unicode MS"/>
                    <w:b/>
                    <w:bCs/>
                    <w:sz w:val="22"/>
                    <w:szCs w:val="22"/>
                    <w:lang w:eastAsia="lt-LT"/>
                  </w:rPr>
                  <w:t>ES teisės akto įgyvendinimo lygis</w:t>
                </w:r>
              </w:p>
            </w:tc>
          </w:tr>
          <w:tr w14:paraId="73DA3900" w14:textId="77777777">
            <w:trPr>
              <w:trHeight w:val="300"/>
            </w:trPr>
            <w:tc>
              <w:tcPr>
                <w:tcW w:w="6606" w:type="dxa"/>
                <w:tcBorders>
                  <w:top w:val="single" w:sz="4" w:space="0" w:color="auto"/>
                  <w:left w:val="single" w:sz="2" w:space="0" w:color="000000" w:themeColor="text1"/>
                  <w:bottom w:val="single" w:sz="4" w:space="0" w:color="auto"/>
                  <w:right w:val="single" w:sz="2" w:space="0" w:color="000000" w:themeColor="text1"/>
                </w:tcBorders>
              </w:tcPr>
              <w:p w14:paraId="7B7C1C89" w14:textId="6281C808">
                <w:pPr>
                  <w:jc w:val="both"/>
                  <w:rPr>
                    <w:i/>
                    <w:iCs/>
                    <w:color w:val="333333"/>
                    <w:sz w:val="22"/>
                    <w:szCs w:val="22"/>
                  </w:rPr>
                </w:pPr>
                <w:r>
                  <w:rPr>
                    <w:i/>
                    <w:iCs/>
                    <w:color w:val="333333"/>
                    <w:sz w:val="22"/>
                    <w:szCs w:val="22"/>
                  </w:rPr>
                  <w:t>8 straipsnis</w:t>
                </w:r>
              </w:p>
              <w:p w14:paraId="635FBC36" w14:textId="77777777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b/>
                    <w:bCs/>
                    <w:color w:val="333333"/>
                    <w:sz w:val="22"/>
                    <w:szCs w:val="22"/>
                  </w:rPr>
                  <w:t>Sankcijos</w:t>
                </w:r>
              </w:p>
              <w:p w14:paraId="187EB5CF" w14:textId="2AF37051">
                <w:pPr>
                  <w:jc w:val="both"/>
                  <w:rPr>
                    <w:color w:val="333333"/>
                    <w:sz w:val="22"/>
                    <w:szCs w:val="22"/>
                  </w:rPr>
                </w:pPr>
                <w:r>
                  <w:rPr>
                    <w:color w:val="333333"/>
                    <w:sz w:val="22"/>
                    <w:szCs w:val="22"/>
                  </w:rPr>
                  <w:t>1. Valstybės narės numato veiksmingas, proporcingas ir atgrasomas sankcijas už 3, 4 ir 5 straipsnių nesilaikymą.</w:t>
                </w:r>
              </w:p>
              <w:p w14:paraId="5011952C" w14:textId="77777777">
                <w:pPr>
                  <w:jc w:val="both"/>
                  <w:rPr>
                    <w:color w:val="333333"/>
                    <w:sz w:val="22"/>
                    <w:szCs w:val="22"/>
                  </w:rPr>
                </w:pPr>
              </w:p>
              <w:p w14:paraId="4D94A40E" w14:textId="77777777">
                <w:pPr>
                  <w:jc w:val="both"/>
                  <w:rPr>
                    <w:color w:val="333333"/>
                    <w:sz w:val="22"/>
                    <w:szCs w:val="22"/>
                  </w:rPr>
                </w:pPr>
                <w:r>
                  <w:rPr>
                    <w:color w:val="333333"/>
                    <w:sz w:val="22"/>
                    <w:szCs w:val="22"/>
                  </w:rPr>
                  <w:t xml:space="preserve">2.   Didžiausia bausmė juridiniams asmenims yra bent:</w:t>
                </w:r>
              </w:p>
              <w:p w14:paraId="5A669C94" w14:textId="77777777">
                <w:pPr>
                  <w:jc w:val="both"/>
                  <w:rPr>
                    <w:color w:val="333333"/>
                    <w:sz w:val="22"/>
                    <w:szCs w:val="22"/>
                  </w:rPr>
                </w:pPr>
              </w:p>
              <w:p w14:paraId="3E1490D4" w14:textId="05497F12">
                <w:pPr>
                  <w:ind w:left="720" w:hanging="360"/>
                  <w:jc w:val="both"/>
                  <w:rPr>
                    <w:color w:val="333333"/>
                    <w:sz w:val="22"/>
                    <w:szCs w:val="22"/>
                  </w:rPr>
                </w:pPr>
                <w:r>
                  <w:rPr>
                    <w:color w:val="333333"/>
                    <w:sz w:val="22"/>
                    <w:szCs w:val="22"/>
                  </w:rPr>
                  <w:t>a)</w:t>
                  <w:tab/>
                  <w:t>3,5 % praėjusių finansinių metų įmonės bendros pasaulinės apyvartos;</w:t>
                </w:r>
              </w:p>
              <w:p w14:paraId="3604F2D4" w14:textId="77777777">
                <w:pPr>
                  <w:jc w:val="both"/>
                  <w:rPr>
                    <w:color w:val="333333"/>
                    <w:sz w:val="22"/>
                    <w:szCs w:val="22"/>
                  </w:rPr>
                </w:pPr>
              </w:p>
              <w:p w14:paraId="102E98C7" w14:textId="617C3D5B">
                <w:pPr>
                  <w:ind w:left="720" w:hanging="360"/>
                  <w:jc w:val="both"/>
                  <w:rPr>
                    <w:color w:val="333333"/>
                    <w:sz w:val="22"/>
                    <w:szCs w:val="22"/>
                  </w:rPr>
                </w:pPr>
                <w:r>
                  <w:rPr>
                    <w:color w:val="333333"/>
                    <w:sz w:val="22"/>
                    <w:szCs w:val="22"/>
                  </w:rPr>
                  <w:t>b)</w:t>
                  <w:tab/>
                  <w:t>40 mln. EUR arba</w:t>
                </w:r>
              </w:p>
              <w:p w14:paraId="66A7C2C9" w14:textId="77777777">
                <w:pPr>
                  <w:jc w:val="both"/>
                  <w:rPr>
                    <w:color w:val="333333"/>
                    <w:sz w:val="22"/>
                    <w:szCs w:val="22"/>
                  </w:rPr>
                </w:pPr>
              </w:p>
              <w:p w14:paraId="660DD608" w14:textId="7F99F918">
                <w:pPr>
                  <w:ind w:left="720" w:hanging="360"/>
                  <w:jc w:val="both"/>
                  <w:rPr>
                    <w:color w:val="333333"/>
                    <w:sz w:val="22"/>
                    <w:szCs w:val="22"/>
                  </w:rPr>
                </w:pPr>
                <w:r>
                  <w:rPr>
                    <w:color w:val="333333"/>
                    <w:sz w:val="22"/>
                    <w:szCs w:val="22"/>
                  </w:rPr>
                  <w:t>c)</w:t>
                  <w:tab/>
                  <w:t>300 % numatomos sandorio apyvartos, kuri apskaičiuojama remiantis susijusiu gamtinių dujų kiekiu ir kitos paros sutarčių kainomis TTF rinkoje.</w:t>
                </w:r>
              </w:p>
              <w:p w14:paraId="3BD8DD41" w14:textId="77777777">
                <w:pPr>
                  <w:jc w:val="both"/>
                  <w:rPr>
                    <w:color w:val="333333"/>
                    <w:sz w:val="22"/>
                    <w:szCs w:val="22"/>
                  </w:rPr>
                </w:pPr>
              </w:p>
              <w:p w14:paraId="3A7479C6" w14:textId="1478F280">
                <w:pPr>
                  <w:jc w:val="both"/>
                  <w:rPr>
                    <w:color w:val="333333"/>
                    <w:sz w:val="22"/>
                    <w:szCs w:val="22"/>
                  </w:rPr>
                </w:pPr>
                <w:r>
                  <w:rPr>
                    <w:color w:val="333333"/>
                    <w:sz w:val="22"/>
                    <w:szCs w:val="22"/>
                  </w:rPr>
                  <w:t>Fiziniams asmenims skiriama didžiausia bausmė turi būti bent 2,5 mln. EUR.</w:t>
                </w:r>
              </w:p>
              <w:p w14:paraId="265F9A25" w14:textId="1CB86B76">
                <w:pPr>
                  <w:jc w:val="both"/>
                  <w:rPr>
                    <w:color w:val="333333"/>
                    <w:sz w:val="22"/>
                    <w:szCs w:val="22"/>
                  </w:rPr>
                </w:pPr>
              </w:p>
            </w:tc>
            <w:tc>
              <w:tcPr>
                <w:tcW w:w="6804" w:type="dxa"/>
                <w:tcBorders>
                  <w:top w:val="single" w:sz="4" w:space="0" w:color="auto"/>
                  <w:left w:val="single" w:sz="2" w:space="0" w:color="000000" w:themeColor="text1"/>
                  <w:bottom w:val="single" w:sz="4" w:space="0" w:color="auto"/>
                  <w:right w:val="single" w:sz="2" w:space="0" w:color="000000" w:themeColor="text1"/>
                </w:tcBorders>
              </w:tcPr>
              <w:p w14:paraId="7B3ABE7D" w14:textId="2F57D5FE">
                <w:pPr>
                  <w:tabs>
                    <w:tab w:val="left" w:pos="709"/>
                    <w:tab w:val="left" w:pos="993"/>
                  </w:tabs>
                  <w:jc w:val="both"/>
                  <w:rPr>
                    <w:b/>
                    <w:sz w:val="22"/>
                    <w:szCs w:val="22"/>
                    <w:lang w:val="lt"/>
                  </w:rPr>
                </w:pPr>
                <w:r>
                  <w:rPr>
                    <w:b/>
                    <w:sz w:val="22"/>
                    <w:szCs w:val="22"/>
                    <w:lang w:val="lt"/>
                  </w:rPr>
                  <w:t>Įstatymo projektas</w:t>
                </w:r>
              </w:p>
              <w:p w14:paraId="6855E01D" w14:textId="77777777">
                <w:pPr>
                  <w:ind w:firstLine="720"/>
                  <w:jc w:val="both"/>
                  <w:rPr>
                    <w:rFonts w:eastAsia="Yu Gothic"/>
                    <w:kern w:val="2"/>
                    <w:szCs w:val="24"/>
                    <w:lang w:eastAsia="zh-TW"/>
                    <w14:ligatures w14:val="standardContextual"/>
                  </w:rPr>
                </w:pPr>
                <w:r>
                  <w:rPr>
                    <w:rFonts w:eastAsia="Yu Gothic"/>
                    <w:kern w:val="2"/>
                    <w:szCs w:val="24"/>
                    <w:lang w:eastAsia="zh-TW"/>
                    <w14:ligatures w14:val="standardContextual"/>
                  </w:rPr>
                  <w:t>4. Papildyti 36 straipsnį 2</w:t>
                </w:r>
                <w:r>
                  <w:rPr>
                    <w:rFonts w:eastAsia="Yu Gothic"/>
                    <w:kern w:val="2"/>
                    <w:szCs w:val="24"/>
                    <w:vertAlign w:val="superscript"/>
                    <w:lang w:eastAsia="zh-TW"/>
                    <w14:ligatures w14:val="standardContextual"/>
                  </w:rPr>
                  <w:t>5</w:t>
                </w:r>
                <w:r>
                  <w:rPr>
                    <w:rFonts w:eastAsia="Yu Gothic"/>
                    <w:kern w:val="2"/>
                    <w:szCs w:val="24"/>
                    <w:lang w:eastAsia="zh-TW"/>
                    <w14:ligatures w14:val="standardContextual"/>
                  </w:rPr>
                  <w:t xml:space="preserve"> dalimi:</w:t>
                </w:r>
              </w:p>
              <w:p w14:paraId="4183A2B5" w14:textId="77777777">
                <w:pPr>
                  <w:ind w:firstLine="720"/>
                  <w:jc w:val="both"/>
                  <w:rPr>
                    <w:rFonts w:eastAsia="Yu Gothic"/>
                    <w:b/>
                    <w:bCs/>
                    <w:kern w:val="2"/>
                    <w:szCs w:val="24"/>
                    <w:lang w:eastAsia="zh-TW"/>
                    <w14:ligatures w14:val="standardContextual"/>
                  </w:rPr>
                </w:pPr>
                <w:r>
                  <w:rPr>
                    <w:rFonts w:eastAsia="Yu Gothic"/>
                    <w:kern w:val="2"/>
                    <w:szCs w:val="24"/>
                    <w:lang w:eastAsia="zh-TW"/>
                    <w14:ligatures w14:val="standardContextual"/>
                  </w:rPr>
                  <w:t>„</w:t>
                </w:r>
                <w:r>
                  <w:rPr>
                    <w:rFonts w:eastAsia="Yu Gothic"/>
                    <w:b/>
                    <w:bCs/>
                    <w:kern w:val="2"/>
                    <w:szCs w:val="24"/>
                    <w:lang w:eastAsia="zh-TW"/>
                    <w14:ligatures w14:val="standardContextual"/>
                  </w:rPr>
                  <w:t>2</w:t>
                </w:r>
                <w:r>
                  <w:rPr>
                    <w:rFonts w:eastAsia="Yu Gothic"/>
                    <w:b/>
                    <w:bCs/>
                    <w:kern w:val="2"/>
                    <w:szCs w:val="24"/>
                    <w:vertAlign w:val="superscript"/>
                    <w:lang w:eastAsia="zh-TW"/>
                    <w14:ligatures w14:val="standardContextual"/>
                  </w:rPr>
                  <w:t>5</w:t>
                </w:r>
                <w:r>
                  <w:rPr>
                    <w:rFonts w:eastAsia="Yu Gothic"/>
                    <w:b/>
                    <w:bCs/>
                    <w:kern w:val="2"/>
                    <w:szCs w:val="24"/>
                    <w:lang w:eastAsia="zh-TW"/>
                    <w14:ligatures w14:val="standardContextual"/>
                  </w:rPr>
                  <w:t xml:space="preserve">. Už Reglamento </w:t>
                </w:r>
                <w:fldSimple w:instr="HYPERLINK http://eur-lex.europa.eu/legal-content/LIT/TXT/?uri=CELEX:32026R0261&amp;locale=lt \t _blank">
                  <w:r>
                    <w:rPr>
                      <w:rFonts w:eastAsia="Yu Gothic"/>
                      <w:b/>
                      <w:bCs/>
                      <w:kern w:val="2"/>
                      <w:szCs w:val="24"/>
                      <w:lang w:eastAsia="zh-TW"/>
                      <w14:ligatures w14:val="standardContextual"/>
                      <w:u w:val="single"/>
                      <w:color w:val="0000FF" w:themeColor="hyperlink"/>
                    </w:rPr>
                    <w:t>(ES) 2026/261</w:t>
                  </w:r>
                </w:fldSimple>
                <w:r>
                  <w:rPr>
                    <w:rFonts w:eastAsia="Yu Gothic"/>
                    <w:b/>
                    <w:bCs/>
                    <w:kern w:val="2"/>
                    <w:szCs w:val="24"/>
                    <w:lang w:eastAsia="zh-TW"/>
                    <w14:ligatures w14:val="standardContextual"/>
                  </w:rPr>
                  <w:t xml:space="preserve"> 3, 4 ir 5 straipsnių pažeidimus Taryba skiria šias baudas:</w:t>
                </w:r>
              </w:p>
              <w:p w14:paraId="48B48A76" w14:textId="77777777">
                <w:pPr>
                  <w:ind w:firstLine="720"/>
                  <w:jc w:val="both"/>
                  <w:rPr>
                    <w:rFonts w:eastAsia="Yu Gothic"/>
                    <w:b/>
                    <w:bCs/>
                    <w:kern w:val="2"/>
                    <w:szCs w:val="24"/>
                    <w:lang w:eastAsia="zh-TW"/>
                    <w14:ligatures w14:val="standardContextual"/>
                  </w:rPr>
                </w:pPr>
                <w:r>
                  <w:rPr>
                    <w:rFonts w:eastAsia="Yu Gothic"/>
                    <w:b/>
                    <w:bCs/>
                    <w:kern w:val="2"/>
                    <w:szCs w:val="24"/>
                    <w:lang w:eastAsia="zh-TW"/>
                    <w14:ligatures w14:val="standardContextual"/>
                  </w:rPr>
                  <w:t>1) juridiniams asmenims skiriama piniginė bauda, ne mažesnė kaip:</w:t>
                </w:r>
              </w:p>
              <w:p w14:paraId="5130BBCA" w14:textId="77777777">
                <w:pPr>
                  <w:ind w:firstLine="720"/>
                  <w:jc w:val="both"/>
                  <w:rPr>
                    <w:rFonts w:eastAsia="Yu Gothic"/>
                    <w:b/>
                    <w:bCs/>
                    <w:kern w:val="2"/>
                    <w:szCs w:val="24"/>
                    <w:lang w:eastAsia="zh-TW"/>
                    <w14:ligatures w14:val="standardContextual"/>
                  </w:rPr>
                </w:pPr>
                <w:r>
                  <w:rPr>
                    <w:rFonts w:eastAsia="Yu Gothic"/>
                    <w:b/>
                    <w:bCs/>
                    <w:kern w:val="2"/>
                    <w:szCs w:val="24"/>
                    <w:lang w:eastAsia="zh-TW"/>
                    <w14:ligatures w14:val="standardContextual"/>
                  </w:rPr>
                  <w:t>a) 3,5 procento praėjusių finansinių metų įmonės bendros pasaulinės apyvartos; arba</w:t>
                </w:r>
              </w:p>
              <w:p w14:paraId="5C3663C0" w14:textId="77777777">
                <w:pPr>
                  <w:ind w:firstLine="720"/>
                  <w:jc w:val="both"/>
                  <w:rPr>
                    <w:rFonts w:eastAsia="Yu Gothic"/>
                    <w:b/>
                    <w:bCs/>
                    <w:kern w:val="2"/>
                    <w:szCs w:val="24"/>
                    <w:lang w:eastAsia="zh-TW"/>
                    <w14:ligatures w14:val="standardContextual"/>
                  </w:rPr>
                </w:pPr>
                <w:r>
                  <w:rPr>
                    <w:rFonts w:eastAsia="Yu Gothic"/>
                    <w:b/>
                    <w:bCs/>
                    <w:kern w:val="2"/>
                    <w:szCs w:val="24"/>
                    <w:lang w:eastAsia="zh-TW"/>
                    <w14:ligatures w14:val="standardContextual"/>
                  </w:rPr>
                  <w:t>b) 40 000 000 Eur (keturiasdešimt milijonų eurų); arba</w:t>
                </w:r>
              </w:p>
              <w:p w14:paraId="1FD38510" w14:textId="0C32E09C">
                <w:pPr>
                  <w:ind w:firstLine="720"/>
                  <w:jc w:val="both"/>
                  <w:rPr>
                    <w:rFonts w:eastAsia="Yu Gothic"/>
                    <w:b/>
                    <w:bCs/>
                    <w:kern w:val="2"/>
                    <w:szCs w:val="24"/>
                    <w:lang w:eastAsia="zh-TW"/>
                    <w14:ligatures w14:val="standardContextual"/>
                  </w:rPr>
                </w:pPr>
                <w:r>
                  <w:rPr>
                    <w:rFonts w:eastAsia="Yu Gothic"/>
                    <w:b/>
                    <w:bCs/>
                    <w:kern w:val="2"/>
                    <w:szCs w:val="24"/>
                    <w:lang w:eastAsia="zh-TW"/>
                    <w14:ligatures w14:val="standardContextual"/>
                  </w:rPr>
                  <w:t>c) 300 procentų numatomos sandorio apyvartos, apskaičiuojamos pagal susijusį gamtinių dujų kiekį ir kitos paros sandorių kainas, numatytas dujų prekybos taške TTF;</w:t>
                </w:r>
              </w:p>
              <w:p w14:paraId="16445B61" w14:textId="77777777">
                <w:pPr>
                  <w:ind w:firstLine="720"/>
                  <w:jc w:val="both"/>
                  <w:rPr>
                    <w:rFonts w:eastAsia="Yu Gothic"/>
                    <w:b/>
                    <w:bCs/>
                    <w:kern w:val="2"/>
                    <w:szCs w:val="24"/>
                    <w:lang w:eastAsia="zh-TW"/>
                    <w14:ligatures w14:val="standardContextual"/>
                  </w:rPr>
                </w:pPr>
                <w:r>
                  <w:rPr>
                    <w:rFonts w:eastAsia="Yu Gothic"/>
                    <w:b/>
                    <w:bCs/>
                    <w:kern w:val="2"/>
                    <w:szCs w:val="24"/>
                    <w:lang w:eastAsia="zh-TW"/>
                    <w14:ligatures w14:val="standardContextual"/>
                  </w:rPr>
                  <w:t>2) fiziniams asmenims skiriama piniginė bauda, ne mažesnė kaip 2 500 000 Eur (du milijonai penki šimtai tūkstančių eurų).</w:t>
                </w:r>
                <w:r>
                  <w:rPr>
                    <w:rFonts w:eastAsia="Yu Gothic"/>
                    <w:kern w:val="2"/>
                    <w:szCs w:val="24"/>
                    <w:lang w:eastAsia="zh-TW"/>
                    <w14:ligatures w14:val="standardContextual"/>
                  </w:rPr>
                  <w:t>“</w:t>
                </w:r>
              </w:p>
              <w:p w14:paraId="3CA93CD5" w14:textId="643903AD">
                <w:pPr>
                  <w:widowControl w:val="0"/>
                  <w:tabs>
                    <w:tab w:val="left" w:pos="993"/>
                  </w:tabs>
                  <w:suppressAutoHyphens/>
                  <w:jc w:val="both"/>
                  <w:textAlignment w:val="center"/>
                  <w:rPr>
                    <w:b/>
                    <w:bCs/>
                    <w:color w:val="000000"/>
                    <w:sz w:val="22"/>
                    <w:szCs w:val="22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2" w:space="0" w:color="000000" w:themeColor="text1"/>
                  <w:bottom w:val="single" w:sz="4" w:space="0" w:color="auto"/>
                  <w:right w:val="single" w:sz="2" w:space="0" w:color="000000" w:themeColor="text1"/>
                </w:tcBorders>
              </w:tcPr>
              <w:p w14:paraId="438F847B" w14:textId="10A799B0">
                <w:pPr>
                  <w:jc w:val="both"/>
                  <w:rPr>
                    <w:rFonts w:eastAsia="Arial Unicode MS"/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rFonts w:eastAsia="Arial Unicode MS"/>
                    <w:b/>
                    <w:bCs/>
                    <w:sz w:val="22"/>
                    <w:szCs w:val="22"/>
                    <w:lang w:eastAsia="lt-LT"/>
                  </w:rPr>
                  <w:t>Visiškas</w:t>
                </w:r>
              </w:p>
            </w:tc>
          </w:tr>
        </w:tbl>
        <w:p w14:paraId="431E6FDF" w14:textId="77777777">
          <w:pPr>
            <w:widowControl w:val="0"/>
            <w:suppressAutoHyphens/>
            <w:rPr>
              <w:rFonts w:eastAsia="Arial Unicode MS"/>
              <w:szCs w:val="24"/>
              <w:lang w:eastAsia="lt-LT"/>
            </w:rPr>
            <w:sectPr>
              <w:footnotePr>
                <w:pos w:val="beneathText"/>
              </w:footnotePr>
              <w:type w:val="continuous"/>
              <w:pgSz w:w="16837" w:h="11905" w:orient="landscape"/>
              <w:pgMar w:top="1701" w:right="819" w:bottom="1134" w:left="1134" w:header="567" w:footer="567" w:gutter="0"/>
              <w:cols w:space="1296"/>
            </w:sectPr>
          </w:pPr>
        </w:p>
        <w:p w14:paraId="01B6A471" w14:textId="77777777">
          <w:pPr>
            <w:rPr>
              <w:sz w:val="10"/>
              <w:szCs w:val="10"/>
            </w:rPr>
          </w:pPr>
        </w:p>
        <w:sdt>
          <w:sdtPr>
            <w:alias w:val="pabaiga"/>
            <w:tag w:val="part_d32367f368c940658ae919a0baeb17f4"/>
            <w:lock w:val="sdtLocked"/>
            <w:richText/>
          </w:sdtPr>
          <w:sdtContent>
            <w:p w14:paraId="56CF4224" w14:textId="77777777">
              <w:pPr>
                <w:widowControl w:val="0"/>
                <w:tabs>
                  <w:tab w:val="center" w:pos="0"/>
                  <w:tab w:val="center" w:pos="4153"/>
                  <w:tab w:val="left" w:pos="7230"/>
                  <w:tab w:val="right" w:pos="8306"/>
                </w:tabs>
                <w:suppressAutoHyphens/>
                <w:jc w:val="center"/>
                <w:rPr>
                  <w:rFonts w:eastAsia="Arial Unicode MS"/>
                  <w:szCs w:val="24"/>
                  <w:lang w:eastAsia="lt-LT"/>
                </w:rPr>
              </w:pPr>
              <w:r>
                <w:rPr>
                  <w:rFonts w:eastAsia="Arial Unicode MS"/>
                  <w:szCs w:val="24"/>
                  <w:lang w:eastAsia="lt-LT"/>
                </w:rPr>
                <w:t>_________________</w:t>
              </w:r>
            </w:p>
          </w:sdtContent>
        </w:sdt>
      </w:sdtContent>
    </w:sdt>
    <w:sectPr>
      <w:footnotePr>
        <w:pos w:val="beneathText"/>
      </w:footnotePr>
      <w:type w:val="continuous"/>
      <w:pgSz w:w="16837" w:h="11905" w:orient="landscape"/>
      <w:pgMar w:top="1134" w:right="1134" w:bottom="1134" w:left="1134" w:header="567" w:footer="567" w:gutter="0"/>
      <w:cols w:space="1296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Yu Gothic">
    <w:altName w:val="MS Gothic"/>
    <w:panose1 w:val="020B0400000000000000"/>
    <w:charset w:val="80"/>
    <w:family w:val="swiss"/>
    <w:pitch w:val="variable"/>
    <w:sig w:usb0="00000000" w:usb1="2AC7FDFF" w:usb2="00000016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09"/>
  <w:hyphenationZone w:val="396"/>
  <w:doNotHyphenateCaps/>
  <w:drawingGridHorizontalSpacing w:val="0"/>
  <w:drawingGridVerticalSpacing w:val="0"/>
  <w:displayHorizontalDrawingGridEvery w:val="0"/>
  <w:displayVerticalDrawingGridEvery w:val="0"/>
  <w:doNotUseMarginsForDrawingGridOrigin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0C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2BECBF7"/>
  <w15:docId w15:val="{650E91F9-9EBB-4164-B662-B2F1BC1522D4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2" Type="http://schemas.openxmlformats.org/officeDocument/2006/relationships/customXml" Target="../customXml/item2.xml"/>
  <Relationship Id="rId3" Type="http://schemas.openxmlformats.org/officeDocument/2006/relationships/customXml" Target="../customXml/item3.xml"/>
  <Relationship Id="rId4" Type="http://schemas.openxmlformats.org/officeDocument/2006/relationships/styles" Target="styles.xml"/>
  <Relationship Id="rId5" Type="http://schemas.openxmlformats.org/officeDocument/2006/relationships/settings" Target="settings.xml"/>
  <Relationship Id="rId6" Type="http://schemas.openxmlformats.org/officeDocument/2006/relationships/webSettings" Target="webSettings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4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8057CD66624FE4F809517943CCCE640" ma:contentTypeVersion="14" ma:contentTypeDescription="Create a new document." ma:contentTypeScope="" ma:versionID="e314b34dc3f18302cebb56c83b09cca7">
  <xsd:schema xmlns:xsd="http://www.w3.org/2001/XMLSchema" xmlns:xs="http://www.w3.org/2001/XMLSchema" xmlns:p="http://schemas.microsoft.com/office/2006/metadata/properties" xmlns:ns2="438086d8-68c4-44e0-a2b1-9b1caa3431be" xmlns:ns3="fde158db-9ad6-4e48-b618-6abd2e808126" targetNamespace="http://schemas.microsoft.com/office/2006/metadata/properties" ma:root="true" ma:fieldsID="29ce5c755f1a7684e59346e38353fc99" ns2:_="" ns3:_="">
    <xsd:import namespace="438086d8-68c4-44e0-a2b1-9b1caa3431be"/>
    <xsd:import namespace="fde158db-9ad6-4e48-b618-6abd2e80812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38086d8-68c4-44e0-a2b1-9b1caa3431b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5" nillable="true" ma:taxonomy="true" ma:internalName="lcf76f155ced4ddcb4097134ff3c332f" ma:taxonomyFieldName="MediaServiceImageTags" ma:displayName="Image Tags" ma:readOnly="false" ma:fieldId="{5cf76f15-5ced-4ddc-b409-7134ff3c332f}" ma:taxonomyMulti="true" ma:sspId="08049582-af26-4f7a-a98f-3d23221832a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e158db-9ad6-4e48-b618-6abd2e808126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be93e05b-c2b8-40c6-a973-13c4fa7f8f3d}" ma:internalName="TaxCatchAll" ma:showField="CatchAllData" ma:web="fde158db-9ad6-4e48-b618-6abd2e80812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fde158db-9ad6-4e48-b618-6abd2e808126" xsi:nil="true"/>
    <lcf76f155ced4ddcb4097134ff3c332f xmlns="438086d8-68c4-44e0-a2b1-9b1caa3431be">
      <Terms xmlns="http://schemas.microsoft.com/office/infopath/2007/PartnerControls"/>
    </lcf76f155ced4ddcb4097134ff3c332f>
    <SharedWithUsers xmlns="fde158db-9ad6-4e48-b618-6abd2e808126">
      <UserInfo>
        <DisplayName>Vilija Augutavičienė</DisplayName>
        <AccountId>7</AccountId>
        <AccountType/>
      </UserInfo>
      <UserInfo>
        <DisplayName>Tomas Aukštinaitis</DisplayName>
        <AccountId>22</AccountId>
        <AccountType/>
      </UserInfo>
    </SharedWithUsers>
  </documentManagement>
</p:properties>
</file>

<file path=customXml/item4.xml><?xml version="1.0" encoding="utf-8"?>
<Parts xmlns="http://lrs.lt/TAIS/DocParts">
  <Part Type="lentele" DocPartId="2f3b54b5510f450597b5215390a9279b" PartId="98ce9b815e0b4c788b79b0e847f93e7b">
    <Part Type="pabaiga" DocPartId="6246a3276a574942b7be9647a90e62e7" PartId="d32367f368c940658ae919a0baeb17f4"/>
  </Part>
</Parts>
</file>

<file path=customXml/itemProps1.xml><?xml version="1.0" encoding="utf-8"?>
<ds:datastoreItem xmlns:ds="http://schemas.openxmlformats.org/officeDocument/2006/customXml" ds:itemID="{A3ECA488-EBE5-4BA2-BFC4-702C375FFC2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1FE605A-0A22-4E36-9AA8-6475270C77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38086d8-68c4-44e0-a2b1-9b1caa3431be"/>
    <ds:schemaRef ds:uri="fde158db-9ad6-4e48-b618-6abd2e8081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7CDC82E2-640E-439A-A99B-5266AC6D188D}">
  <ds:schemaRefs>
    <ds:schemaRef ds:uri="http://www.w3.org/XML/1998/namespace"/>
    <ds:schemaRef ds:uri="http://purl.org/dc/terms/"/>
    <ds:schemaRef ds:uri="http://purl.org/dc/elements/1.1/"/>
    <ds:schemaRef ds:uri="http://schemas.microsoft.com/office/2006/documentManagement/types"/>
    <ds:schemaRef ds:uri="http://purl.org/dc/dcmitype/"/>
    <ds:schemaRef ds:uri="http://schemas.openxmlformats.org/package/2006/metadata/core-properties"/>
    <ds:schemaRef ds:uri="438086d8-68c4-44e0-a2b1-9b1caa3431be"/>
    <ds:schemaRef ds:uri="http://schemas.microsoft.com/office/infopath/2007/PartnerControls"/>
    <ds:schemaRef ds:uri="fde158db-9ad6-4e48-b618-6abd2e808126"/>
    <ds:schemaRef ds:uri="http://schemas.microsoft.com/office/2006/metadata/properties"/>
  </ds:schemaRefs>
</ds:datastoreItem>
</file>

<file path=customXml/itemProps4.xml><?xml version="1.0" encoding="utf-8"?>
<ds:datastoreItem xmlns:ds="http://schemas.openxmlformats.org/officeDocument/2006/customXml" ds:itemID="{70B6B1EB-D5B5-4615-BB8E-9349CC8BA75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268</Words>
  <Characters>1658</Characters>
  <Application>Microsoft Office Word</Application>
  <DocSecurity>4</DocSecurity>
  <Lines>57</Lines>
  <Paragraphs>25</Paragraphs>
  <ScaleCrop>false</ScaleCrop>
  <Company>LRV kanceliarija</Company>
  <LinksUpToDate>false</LinksUpToDate>
  <CharactersWithSpaces>1901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2026-03-27T06:24:00Z</dcterms:created>
  <dc:creator>iepa</dc:creator>
  <lastModifiedBy>adlibuser</lastModifiedBy>
  <lastPrinted>2008-03-18T06:18:00Z</lastPrinted>
  <dcterms:modified xsi:type="dcterms:W3CDTF">2026-03-27T06:24:00Z</dcterms:modified>
  <revision>2</revision>
  <dc:title>REGLAMENTO IR LIETUVOS RESPUBLIKOS NACIONALINIO TEISĖS AKTO PROJEKTO ATITIKTIES LENTELĖ</dc:title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0x01010008057CD66624FE4F809517943CCCE640</vt:lpwstr>
  </property>
  <property fmtid="{D5CDD505-2E9C-101B-9397-08002B2CF9AE}" pid="3" name="MediaServiceImageTags">
    <vt:lpwstr/>
  </property>
</Properties>
</file>