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8b7c6587b0c47b29d72663ca65c795d"/>
        <w:lock w:val="sdtLocked"/>
        <w:richText/>
      </w:sdtPr>
      <w:sdtContent>
        <w:p>
          <w:pPr>
            <w:ind w:firstLine="57"/>
            <w:jc w:val="center"/>
            <w:rPr>
              <w:sz w:val="22"/>
              <w:szCs w:val="22"/>
            </w:rPr>
          </w:pPr>
          <w:r>
            <w:rPr>
              <w:b/>
              <w:bCs/>
              <w:sz w:val="22"/>
              <w:szCs w:val="22"/>
            </w:rPr>
            <w:t xml:space="preserve">REGLAMENTO (ES) 2024/1787 IR </w:t>
          </w:r>
          <w:r>
            <w:rPr>
              <w:b/>
              <w:bCs/>
              <w:caps/>
              <w:sz w:val="22"/>
              <w:szCs w:val="22"/>
            </w:rPr>
            <w:t xml:space="preserve">LIETUVOS RESPUBLIKOS energetikos ĮSTATYMO NR. IX-884 6, </w:t>
          </w:r>
          <w:r>
            <w:rPr>
              <w:b/>
              <w:bCs/>
              <w:caps/>
              <w:color w:val="000000"/>
              <w:sz w:val="22"/>
              <w:szCs w:val="22"/>
            </w:rPr>
            <w:t>8, 21, 27,</w:t>
          </w:r>
          <w:r>
            <w:rPr>
              <w:b/>
              <w:bCs/>
              <w:caps/>
              <w:sz w:val="22"/>
              <w:szCs w:val="22"/>
            </w:rPr>
            <w:t xml:space="preserve"> 36 Straipsnių, priedo pakeitimo ir įstatymo papildymo 29</w:t>
          </w:r>
          <w:r>
            <w:rPr>
              <w:b/>
              <w:bCs/>
              <w:caps/>
              <w:sz w:val="22"/>
              <w:szCs w:val="22"/>
              <w:vertAlign w:val="superscript"/>
            </w:rPr>
            <w:t>1</w:t>
          </w:r>
          <w:r>
            <w:rPr>
              <w:b/>
              <w:bCs/>
              <w:caps/>
              <w:sz w:val="22"/>
              <w:szCs w:val="22"/>
            </w:rPr>
            <w:t xml:space="preserve"> straipsniu</w:t>
          </w:r>
          <w:r>
            <w:rPr>
              <w:b/>
              <w:bCs/>
              <w:sz w:val="22"/>
              <w:szCs w:val="22"/>
            </w:rPr>
            <w:t xml:space="preserve"> ĮSTATYMO PROJEKTO ATITIKTIES LENTELĖ</w:t>
          </w:r>
        </w:p>
        <w:p>
          <w:pPr>
            <w:widowControl w:val="0"/>
            <w:suppressAutoHyphens/>
            <w:jc w:val="center"/>
            <w:rPr>
              <w:sz w:val="22"/>
              <w:szCs w:val="22"/>
            </w:rPr>
          </w:pPr>
        </w:p>
        <w:tbl>
          <w:tblPr>
            <w:tblW w:w="14970" w:type="dxa"/>
            <w:tblInd w:w="1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6606"/>
            <w:gridCol w:w="6804"/>
            <w:gridCol w:w="1560"/>
          </w:tblGrid>
          <w:tr>
            <w:trPr>
              <w:trHeight w:val="114"/>
            </w:trPr>
            <w:tc>
              <w:tcPr>
                <w:tcW w:w="6606" w:type="dxa"/>
              </w:tcPr>
              <w:p>
                <w:pPr>
                  <w:widowControl w:val="0"/>
                  <w:suppressAutoHyphens/>
                  <w:rPr>
                    <w:sz w:val="22"/>
                    <w:szCs w:val="22"/>
                  </w:rPr>
                </w:pPr>
                <w:r>
                  <w:rPr>
                    <w:rFonts w:eastAsia="Arial Unicode MS"/>
                    <w:b/>
                    <w:bCs/>
                    <w:sz w:val="22"/>
                    <w:szCs w:val="22"/>
                    <w:lang w:eastAsia="lt-LT"/>
                  </w:rPr>
                  <w:t xml:space="preserve">2023 m. birželio 13 d. Europos Parlamento ir Tarybos reglamentas  </w:t>
                </w:r>
                <w:fldSimple w:instr="HYPERLINK http://eur-lex.europa.eu/legal-content/LIT/TXT/?uri=CELEX:32024R1787&amp;locale=lt \t _blank">
                  <w:r>
                    <w:rPr>
                      <w:rFonts w:eastAsia="Arial Unicode MS"/>
                      <w:b/>
                      <w:sz w:val="22"/>
                      <w:szCs w:val="22"/>
                      <w:lang w:eastAsia="lt-LT"/>
                      <w:u w:val="single"/>
                      <w:color w:val="0000FF" w:themeColor="hyperlink"/>
                    </w:rPr>
                    <w:t>(ES) 2024/1787</w:t>
                  </w:r>
                </w:fldSimple>
                <w:r>
                  <w:rPr>
                    <w:rFonts w:eastAsia="Arial Unicode MS"/>
                    <w:b/>
                    <w:bCs/>
                    <w:sz w:val="22"/>
                    <w:szCs w:val="22"/>
                    <w:lang w:eastAsia="lt-LT"/>
                  </w:rPr>
                  <w:t xml:space="preserve"> </w:t>
                </w:r>
                <w:r>
                  <w:rPr>
                    <w:b/>
                    <w:bCs/>
                    <w:color w:val="333333"/>
                    <w:sz w:val="22"/>
                    <w:szCs w:val="22"/>
                  </w:rPr>
                  <w:t xml:space="preserve">dėl energetikos sektoriuje išmetamo metano kiekio mažinimo, kuriuo iš dalies keičiamas Reglamentas </w:t>
                </w:r>
                <w:fldSimple w:instr="HYPERLINK http://eur-lex.europa.eu/legal-content/LIT/TXT/?uri=CELEX:32019R0942&amp;locale=lt \t _blank">
                  <w:r>
                    <w:rPr>
                      <w:b/>
                      <w:bCs/>
                      <w:color w:val="0000FF" w:themeColor="hyperlink"/>
                      <w:sz w:val="22"/>
                      <w:szCs w:val="22"/>
                      <w:u w:val="single"/>
                    </w:rPr>
                    <w:t>(ES) 2019/942</w:t>
                  </w:r>
                </w:fldSimple>
              </w:p>
            </w:tc>
            <w:tc>
              <w:tcPr>
                <w:tcW w:w="6804" w:type="dxa"/>
              </w:tcPr>
              <w:p>
                <w:pPr>
                  <w:widowControl w:val="0"/>
                  <w:suppressAutoHyphens/>
                  <w:jc w:val="both"/>
                  <w:rPr>
                    <w:b/>
                    <w:bCs/>
                    <w:sz w:val="22"/>
                    <w:szCs w:val="22"/>
                  </w:rPr>
                </w:pPr>
                <w:r>
                  <w:rPr>
                    <w:b/>
                    <w:bCs/>
                    <w:sz w:val="22"/>
                    <w:szCs w:val="22"/>
                  </w:rPr>
                  <w:t xml:space="preserve">Lietuvos Respublikos energetikos įstatymo Nr. IX-884 6, </w:t>
                </w:r>
                <w:r>
                  <w:rPr>
                    <w:b/>
                    <w:bCs/>
                    <w:color w:val="000000"/>
                    <w:sz w:val="22"/>
                    <w:szCs w:val="22"/>
                  </w:rPr>
                  <w:t>8, 21, 27</w:t>
                </w:r>
                <w:r>
                  <w:rPr>
                    <w:b/>
                    <w:bCs/>
                    <w:sz w:val="22"/>
                    <w:szCs w:val="22"/>
                  </w:rPr>
                  <w:t>, 36 straipsnių, priedo pakeitimo ir Įstatymo papildymo 29</w:t>
                </w:r>
                <w:r>
                  <w:rPr>
                    <w:b/>
                    <w:bCs/>
                    <w:sz w:val="22"/>
                    <w:szCs w:val="22"/>
                    <w:vertAlign w:val="superscript"/>
                  </w:rPr>
                  <w:t>1</w:t>
                </w:r>
                <w:r>
                  <w:rPr>
                    <w:b/>
                    <w:bCs/>
                    <w:sz w:val="22"/>
                    <w:szCs w:val="22"/>
                  </w:rPr>
                  <w:t xml:space="preserve"> straipsniu įstatymo projektas (toliau – Įstatymo projektas)</w:t>
                </w:r>
              </w:p>
            </w:tc>
            <w:tc>
              <w:tcPr>
                <w:tcW w:w="1560" w:type="dxa"/>
              </w:tcPr>
              <w:p>
                <w:pPr>
                  <w:widowControl w:val="0"/>
                  <w:suppressAutoHyphens/>
                  <w:jc w:val="both"/>
                  <w:rPr>
                    <w:rFonts w:eastAsia="Arial Unicode MS"/>
                    <w:b/>
                    <w:bCs/>
                    <w:sz w:val="22"/>
                    <w:szCs w:val="22"/>
                    <w:lang w:eastAsia="lt-LT"/>
                  </w:rPr>
                </w:pPr>
                <w:r>
                  <w:rPr>
                    <w:rFonts w:eastAsia="Arial Unicode MS"/>
                    <w:b/>
                    <w:bCs/>
                    <w:sz w:val="22"/>
                    <w:szCs w:val="22"/>
                    <w:lang w:eastAsia="lt-LT"/>
                  </w:rPr>
                  <w:t>ES teisės akto įgyvendinimo lygis</w:t>
                </w:r>
              </w:p>
            </w:tc>
          </w:tr>
          <w:tr>
            <w:trPr>
              <w:trHeight w:val="15"/>
            </w:trPr>
            <w:tc>
              <w:tcPr>
                <w:tcW w:w="6606" w:type="dxa"/>
                <w:vMerge w:val="restart"/>
              </w:tcPr>
              <w:p>
                <w:pPr>
                  <w:shd w:val="clear" w:color="auto" w:fill="FFFFFF"/>
                  <w:jc w:val="both"/>
                  <w:rPr>
                    <w:sz w:val="22"/>
                    <w:szCs w:val="22"/>
                  </w:rPr>
                </w:pPr>
                <w:r>
                  <w:rPr>
                    <w:i/>
                    <w:iCs/>
                    <w:color w:val="333333"/>
                    <w:sz w:val="22"/>
                    <w:szCs w:val="22"/>
                    <w:lang w:val="lt"/>
                  </w:rPr>
                  <w:t>4 straipsnis</w:t>
                </w:r>
                <w:r>
                  <w:rPr>
                    <w:i/>
                    <w:iCs/>
                    <w:color w:val="333333"/>
                    <w:sz w:val="22"/>
                    <w:szCs w:val="22"/>
                  </w:rPr>
                  <w:t xml:space="preserve"> </w:t>
                </w:r>
              </w:p>
              <w:p>
                <w:pPr>
                  <w:widowControl w:val="0"/>
                  <w:shd w:val="clear" w:color="auto" w:fill="FFFFFF"/>
                  <w:suppressAutoHyphens/>
                  <w:jc w:val="both"/>
                  <w:rPr>
                    <w:color w:val="333333"/>
                    <w:sz w:val="22"/>
                    <w:szCs w:val="22"/>
                  </w:rPr>
                </w:pPr>
                <w:r>
                  <w:rPr>
                    <w:b/>
                    <w:bCs/>
                    <w:color w:val="333333"/>
                    <w:sz w:val="22"/>
                    <w:szCs w:val="22"/>
                    <w:lang w:val="lt"/>
                  </w:rPr>
                  <w:t>Kompetentingos institucijos</w:t>
                </w:r>
              </w:p>
              <w:p>
                <w:pPr>
                  <w:rPr>
                    <w:sz w:val="10"/>
                    <w:szCs w:val="10"/>
                  </w:rPr>
                </w:pPr>
              </w:p>
              <w:p>
                <w:pPr>
                  <w:shd w:val="clear" w:color="auto" w:fill="FFFFFF"/>
                  <w:jc w:val="both"/>
                  <w:rPr>
                    <w:color w:val="333333"/>
                    <w:sz w:val="22"/>
                    <w:szCs w:val="22"/>
                  </w:rPr>
                </w:pPr>
                <w:r>
                  <w:rPr>
                    <w:color w:val="333333"/>
                    <w:sz w:val="22"/>
                    <w:szCs w:val="22"/>
                  </w:rPr>
                  <w:t>1. Kiekviena valstybė narė paskiria vieną ar daugiau kompetentingų institucijų, atsakingų už šio reglamento taikymo stebėseną ir užtikrinimą.</w:t>
                </w:r>
              </w:p>
              <w:p>
                <w:pPr>
                  <w:rPr>
                    <w:sz w:val="10"/>
                    <w:szCs w:val="10"/>
                  </w:rPr>
                </w:pPr>
              </w:p>
              <w:p>
                <w:pPr>
                  <w:shd w:val="clear" w:color="auto" w:fill="FFFFFF"/>
                  <w:jc w:val="both"/>
                  <w:rPr>
                    <w:color w:val="333333"/>
                    <w:sz w:val="22"/>
                    <w:szCs w:val="22"/>
                  </w:rPr>
                </w:pPr>
                <w:r>
                  <w:rPr>
                    <w:color w:val="333333"/>
                    <w:sz w:val="22"/>
                    <w:szCs w:val="22"/>
                  </w:rPr>
                  <w:t>&lt;...&gt;</w:t>
                </w:r>
              </w:p>
              <w:p>
                <w:pPr>
                  <w:widowControl w:val="0"/>
                  <w:jc w:val="both"/>
                  <w:rPr>
                    <w:color w:val="333333"/>
                    <w:sz w:val="22"/>
                    <w:szCs w:val="22"/>
                    <w:lang w:val="en-US"/>
                  </w:rPr>
                </w:pPr>
              </w:p>
            </w:tc>
            <w:tc>
              <w:tcPr>
                <w:tcW w:w="6804" w:type="dxa"/>
                <w:vMerge w:val="restart"/>
              </w:tcPr>
              <w:p>
                <w:pPr>
                  <w:widowControl w:val="0"/>
                  <w:suppressAutoHyphens/>
                  <w:jc w:val="both"/>
                  <w:textAlignment w:val="center"/>
                  <w:rPr>
                    <w:b/>
                    <w:bCs/>
                    <w:sz w:val="22"/>
                    <w:szCs w:val="22"/>
                  </w:rPr>
                </w:pPr>
                <w:r>
                  <w:rPr>
                    <w:b/>
                    <w:bCs/>
                    <w:sz w:val="22"/>
                    <w:szCs w:val="22"/>
                  </w:rPr>
                  <w:t>Įstatymo projektas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 w:val="22"/>
                    <w:szCs w:val="22"/>
                  </w:rPr>
                </w:pPr>
                <w:r>
                  <w:rPr>
                    <w:b/>
                    <w:bCs/>
                    <w:sz w:val="22"/>
                    <w:szCs w:val="22"/>
                  </w:rPr>
                  <w:t>1 straipsnis. 6 straipsnio pakeitimas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sz w:val="22"/>
                    <w:szCs w:val="22"/>
                  </w:rPr>
                </w:pPr>
                <w:r>
                  <w:rPr>
                    <w:b/>
                    <w:bCs/>
                    <w:color w:val="000000"/>
                    <w:sz w:val="22"/>
                    <w:szCs w:val="22"/>
                  </w:rPr>
                  <w:t>1. Papildyti 6 straipsnį nauja 25 dalimi: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sz w:val="22"/>
                    <w:szCs w:val="22"/>
                  </w:rPr>
                </w:pPr>
                <w:r>
                  <w:rPr>
                    <w:b/>
                    <w:bCs/>
                    <w:sz w:val="22"/>
                    <w:szCs w:val="22"/>
                  </w:rPr>
                  <w:t xml:space="preserve">„25) vykdyti kompetentingos institucijos funkcijas, nustatytas Reglamento </w:t>
                </w:r>
                <w:fldSimple w:instr="HYPERLINK http://eur-lex.europa.eu/legal-content/LIT/TXT/?uri=CELEX:32024R1787&amp;locale=lt \t _blank">
                  <w:r>
                    <w:rPr>
                      <w:b/>
                      <w:bCs/>
                      <w:sz w:val="22"/>
                      <w:szCs w:val="22"/>
                      <w:u w:val="single"/>
                      <w:color w:val="0000FF" w:themeColor="hyperlink"/>
                    </w:rPr>
                    <w:t>(ES) 2024/1787</w:t>
                  </w:r>
                </w:fldSimple>
                <w:r>
                  <w:rPr>
                    <w:b/>
                    <w:bCs/>
                    <w:sz w:val="22"/>
                    <w:szCs w:val="22"/>
                  </w:rPr>
                  <w:t xml:space="preserve"> 27 straipsnio 1 dalyje, 28 straipsnio 1 ir 2 dalyse, 29 straipsnio 1 ir 2 dalyse Energetikos ministerijos nustatyta tvarka;“</w:t>
                </w:r>
              </w:p>
              <w:p>
                <w:pPr>
                  <w:widowControl w:val="0"/>
                  <w:suppressAutoHyphens/>
                  <w:jc w:val="both"/>
                  <w:textAlignment w:val="center"/>
                  <w:rPr>
                    <w:sz w:val="22"/>
                    <w:szCs w:val="22"/>
                  </w:rPr>
                </w:pPr>
                <w:r>
                  <w:rPr>
                    <w:sz w:val="22"/>
                    <w:szCs w:val="22"/>
                  </w:rPr>
                  <w:t>&lt;...&gt;</w:t>
                </w:r>
              </w:p>
              <w:p>
                <w:pPr>
                  <w:tabs>
                    <w:tab w:val="left" w:pos="709"/>
                    <w:tab w:val="left" w:pos="993"/>
                  </w:tabs>
                  <w:jc w:val="both"/>
                  <w:rPr>
                    <w:sz w:val="22"/>
                    <w:szCs w:val="22"/>
                  </w:rPr>
                </w:pPr>
              </w:p>
              <w:p>
                <w:pPr>
                  <w:tabs>
                    <w:tab w:val="left" w:pos="709"/>
                    <w:tab w:val="left" w:pos="993"/>
                  </w:tabs>
                  <w:jc w:val="both"/>
                  <w:rPr>
                    <w:sz w:val="22"/>
                    <w:szCs w:val="22"/>
                  </w:rPr>
                </w:pPr>
                <w:r>
                  <w:rPr>
                    <w:sz w:val="22"/>
                    <w:szCs w:val="22"/>
                    <w:u w:val="single"/>
                  </w:rPr>
                  <w:t>Pastaba:</w:t>
                </w:r>
                <w:r>
                  <w:rPr>
                    <w:sz w:val="22"/>
                    <w:szCs w:val="22"/>
                  </w:rPr>
                  <w:t xml:space="preserve"> taip pat Direktyvos nuostatas įgyvendina Lietuvos Respublikos Vyriausybės 2025 m. gruodžio 3 d. nutarimas Nr. 849 „Dėl Europos Parlamento ir Tarybos Reglamento </w:t>
                </w:r>
                <w:fldSimple w:instr="HYPERLINK http://eur-lex.europa.eu/legal-content/LIT/TXT/?uri=CELEX:32024R1787&amp;locale=lt \t _blank">
                  <w:r>
                    <w:rPr>
                      <w:sz w:val="22"/>
                      <w:szCs w:val="22"/>
                      <w:u w:val="single"/>
                      <w:color w:val="0000FF" w:themeColor="hyperlink"/>
                    </w:rPr>
                    <w:t>(ES) 2024/1787</w:t>
                  </w:r>
                </w:fldSimple>
                <w:r>
                  <w:rPr>
                    <w:sz w:val="22"/>
                    <w:szCs w:val="22"/>
                  </w:rPr>
                  <w:t xml:space="preserve"> įgyvendinimo“ (toliau – LRV nutarimas Nr. 849).</w:t>
                </w:r>
              </w:p>
              <w:p>
                <w:pPr>
                  <w:widowControl w:val="0"/>
                  <w:suppressAutoHyphens/>
                  <w:jc w:val="both"/>
                  <w:textAlignment w:val="center"/>
                  <w:rPr>
                    <w:sz w:val="22"/>
                    <w:szCs w:val="22"/>
                  </w:rPr>
                </w:pPr>
              </w:p>
              <w:p>
                <w:pPr>
                  <w:widowControl w:val="0"/>
                  <w:suppressAutoHyphens/>
                  <w:jc w:val="both"/>
                  <w:textAlignment w:val="center"/>
                  <w:rPr>
                    <w:rFonts w:eastAsia="Arial Unicode MS"/>
                    <w:sz w:val="22"/>
                    <w:szCs w:val="22"/>
                    <w:lang w:eastAsia="lt-LT"/>
                  </w:rPr>
                </w:pPr>
              </w:p>
            </w:tc>
            <w:tc>
              <w:tcPr>
                <w:tcW w:w="1560" w:type="dxa"/>
              </w:tcPr>
              <w:p>
                <w:pPr>
                  <w:widowControl w:val="0"/>
                  <w:suppressLineNumbers/>
                  <w:suppressAutoHyphens/>
                  <w:jc w:val="both"/>
                  <w:rPr>
                    <w:rFonts w:eastAsia="Arial Unicode MS"/>
                    <w:sz w:val="22"/>
                    <w:szCs w:val="22"/>
                    <w:lang w:eastAsia="lt-LT"/>
                  </w:rPr>
                </w:pPr>
              </w:p>
            </w:tc>
          </w:tr>
          <w:tr>
            <w:tc>
              <w:tcPr>
                <w:tcW w:w="6606" w:type="dxa"/>
                <w:vMerge/>
              </w:tcPr>
              <w:p>
                <w:pPr>
                  <w:widowControl w:val="0"/>
                  <w:jc w:val="both"/>
                  <w:rPr>
                    <w:b/>
                    <w:bCs/>
                    <w:sz w:val="22"/>
                    <w:szCs w:val="22"/>
                    <w:lang w:eastAsia="lt-LT"/>
                  </w:rPr>
                </w:pPr>
              </w:p>
            </w:tc>
            <w:tc>
              <w:tcPr>
                <w:tcW w:w="6804" w:type="dxa"/>
                <w:vMerge/>
              </w:tcPr>
              <w:p>
                <w:pPr>
                  <w:widowControl w:val="0"/>
                  <w:suppressAutoHyphens/>
                  <w:jc w:val="both"/>
                  <w:textAlignment w:val="center"/>
                  <w:rPr>
                    <w:sz w:val="22"/>
                    <w:szCs w:val="22"/>
                  </w:rPr>
                </w:pPr>
              </w:p>
            </w:tc>
            <w:tc>
              <w:tcPr>
                <w:tcW w:w="1560" w:type="dxa"/>
              </w:tcPr>
              <w:p>
                <w:pPr>
                  <w:widowControl w:val="0"/>
                  <w:suppressLineNumbers/>
                  <w:suppressAutoHyphens/>
                  <w:jc w:val="both"/>
                  <w:rPr>
                    <w:rFonts w:eastAsia="Arial Unicode MS"/>
                    <w:b/>
                    <w:bCs/>
                    <w:sz w:val="22"/>
                    <w:szCs w:val="22"/>
                    <w:lang w:eastAsia="lt-LT"/>
                  </w:rPr>
                </w:pPr>
                <w:r>
                  <w:rPr>
                    <w:rFonts w:eastAsia="Arial Unicode MS"/>
                    <w:b/>
                    <w:bCs/>
                    <w:sz w:val="22"/>
                    <w:szCs w:val="22"/>
                    <w:lang w:eastAsia="lt-LT"/>
                  </w:rPr>
                  <w:t>Visiškas</w:t>
                </w:r>
              </w:p>
            </w:tc>
          </w:tr>
          <w:tr>
            <w:trPr>
              <w:trHeight w:val="22460"/>
            </w:trPr>
            <w:tc>
              <w:tcPr>
                <w:tcW w:w="6606" w:type="dxa"/>
              </w:tcPr>
              <w:p>
                <w:pPr>
                  <w:jc w:val="both"/>
                  <w:rPr>
                    <w:i/>
                    <w:iCs/>
                    <w:color w:val="333333"/>
                    <w:sz w:val="22"/>
                    <w:szCs w:val="22"/>
                  </w:rPr>
                </w:pPr>
                <w:r>
                  <w:rPr>
                    <w:i/>
                    <w:iCs/>
                    <w:color w:val="333333"/>
                    <w:sz w:val="22"/>
                    <w:szCs w:val="22"/>
                  </w:rPr>
                  <w:t>6 straipsnis</w:t>
                </w:r>
              </w:p>
              <w:p>
                <w:pPr>
                  <w:jc w:val="both"/>
                  <w:rPr>
                    <w:b/>
                    <w:bCs/>
                    <w:color w:val="333333"/>
                    <w:sz w:val="22"/>
                    <w:szCs w:val="22"/>
                  </w:rPr>
                </w:pPr>
                <w:r>
                  <w:rPr>
                    <w:b/>
                    <w:bCs/>
                    <w:color w:val="333333"/>
                    <w:sz w:val="22"/>
                    <w:szCs w:val="22"/>
                  </w:rPr>
                  <w:t xml:space="preserve">Patikrinimai </w:t>
                </w:r>
              </w:p>
              <w:p>
                <w:pPr>
                  <w:rPr>
                    <w:sz w:val="10"/>
                    <w:szCs w:val="10"/>
                  </w:rPr>
                </w:pPr>
              </w:p>
              <w:p>
                <w:pPr>
                  <w:shd w:val="clear" w:color="auto" w:fill="FFFFFF"/>
                  <w:jc w:val="both"/>
                  <w:rPr>
                    <w:sz w:val="22"/>
                    <w:szCs w:val="22"/>
                  </w:rPr>
                </w:pPr>
                <w:r>
                  <w:rPr>
                    <w:color w:val="333333"/>
                    <w:sz w:val="22"/>
                    <w:szCs w:val="22"/>
                  </w:rPr>
                  <w:t xml:space="preserve">1.   Patikrinimai apima operatorių ir kasyklų operatorių rutininius patikrinimus ir operatorių, įmonių, kasyklų operatorių ir importuotojų nerutininius patikrinimus, kaip išdėstyta šiame straipsnyje.</w:t>
                </w:r>
              </w:p>
              <w:p>
                <w:pPr>
                  <w:rPr>
                    <w:sz w:val="10"/>
                    <w:szCs w:val="10"/>
                  </w:rPr>
                </w:pPr>
              </w:p>
              <w:p>
                <w:pPr>
                  <w:shd w:val="clear" w:color="auto" w:fill="FFFFFF"/>
                  <w:jc w:val="both"/>
                  <w:rPr>
                    <w:sz w:val="22"/>
                    <w:szCs w:val="22"/>
                  </w:rPr>
                </w:pPr>
                <w:r>
                  <w:rPr>
                    <w:color w:val="333333"/>
                    <w:sz w:val="22"/>
                    <w:szCs w:val="22"/>
                  </w:rPr>
                  <w:t xml:space="preserve">2.   Patikrinimai apima, kai aktualu, patikras veiklos vietoje arba auditus vietoje, dokumentų ir duomenų įrašų, kuriais įrodomas šio reglamento reikalavimų laikymasis, tikrinimą, išmetamo metano aptikimą ir matavimus ir bet kokius tolesnius kompetentingų institucijų arba jų vardu atliekamus veiksmus, kuriais tikrinama, kaip laikomasi šio reglamento reikalavimų, ir skatinama jų laikytis.</w:t>
                </w:r>
              </w:p>
              <w:p>
                <w:pPr>
                  <w:rPr>
                    <w:sz w:val="10"/>
                    <w:szCs w:val="10"/>
                  </w:rPr>
                </w:pPr>
              </w:p>
              <w:p>
                <w:pPr>
                  <w:shd w:val="clear" w:color="auto" w:fill="FFFFFF"/>
                  <w:jc w:val="both"/>
                  <w:rPr>
                    <w:sz w:val="22"/>
                    <w:szCs w:val="22"/>
                  </w:rPr>
                </w:pPr>
                <w:r>
                  <w:rPr>
                    <w:color w:val="333333"/>
                    <w:sz w:val="22"/>
                    <w:szCs w:val="22"/>
                  </w:rPr>
                  <w:t>Jei atliekant patikrinimą nustatomas sunkus šio reglamento pažeidimas, kompetentingos institucijos į 5 dalyje nurodytą ataskaitą įtraukia pranešimą dėl taisomųjų veiksmų, kurių turi imtis operatorius, įmonė, kasyklos operatorius ar importuotojas, kuriame aiškiai nustatomi terminai tiems veiksmams atlikti.</w:t>
                </w:r>
              </w:p>
              <w:p>
                <w:pPr>
                  <w:rPr>
                    <w:sz w:val="10"/>
                    <w:szCs w:val="10"/>
                  </w:rPr>
                </w:pPr>
              </w:p>
              <w:p>
                <w:pPr>
                  <w:shd w:val="clear" w:color="auto" w:fill="FFFFFF"/>
                  <w:jc w:val="both"/>
                  <w:rPr>
                    <w:sz w:val="22"/>
                    <w:szCs w:val="22"/>
                  </w:rPr>
                </w:pPr>
                <w:r>
                  <w:rPr>
                    <w:color w:val="333333"/>
                    <w:sz w:val="22"/>
                    <w:szCs w:val="22"/>
                  </w:rPr>
                  <w:t>Kaip alternatyvą kompetentingos institucijos gali nuspręsti nurodyti operatoriui, įmonei, kasyklos operatoriui arba importuotojui per 1 mėnesį nuo patikrinimo pabaigos atitinkamai kompetentingai institucijai pateikti patvirtinti taisomuosius veiksmus nustatytiems sunkiems pažeidimams pašalinti. Tokie veiksmai įtraukiami į 5 dalyje nurodytą ataskaitą.</w:t>
                </w:r>
              </w:p>
              <w:p>
                <w:pPr>
                  <w:rPr>
                    <w:sz w:val="10"/>
                    <w:szCs w:val="10"/>
                  </w:rPr>
                </w:pPr>
              </w:p>
              <w:p>
                <w:pPr>
                  <w:shd w:val="clear" w:color="auto" w:fill="FFFFFF"/>
                  <w:jc w:val="both"/>
                  <w:rPr>
                    <w:sz w:val="22"/>
                    <w:szCs w:val="22"/>
                  </w:rPr>
                </w:pPr>
                <w:r>
                  <w:rPr>
                    <w:color w:val="333333"/>
                    <w:sz w:val="22"/>
                    <w:szCs w:val="22"/>
                  </w:rPr>
                  <w:t xml:space="preserve">3.   Pirmasis rutininis patikrinimas užbaigiamas ne vėliau kaip 2026 m. gegužės 5 d. Po pirmojo rutininio patikrinimo kompetentingos institucijos parengia rutininių patikrinimų programas, grindžiamas rizikos vertinimu. Kompetentingos institucijos gali nuspręsti dėl rutininių patikrinimų aprėpties ir dažnumo remdamosi su kiekviena veiklos vieta susijusios rizikos, pavyzdžiui, rizikos aplinkai, įskaitant kumuliacinį viso išmetamo metano kiekio kaip teršalo poveikį, riziką žmonių saugai ir sveikatai, taip pat visus nustatytus šio reglamento pažeidimus, vertinimu.</w:t>
                </w:r>
              </w:p>
              <w:p>
                <w:pPr>
                  <w:rPr>
                    <w:sz w:val="10"/>
                    <w:szCs w:val="10"/>
                  </w:rPr>
                </w:pPr>
              </w:p>
              <w:p>
                <w:pPr>
                  <w:shd w:val="clear" w:color="auto" w:fill="FFFFFF"/>
                  <w:jc w:val="both"/>
                  <w:rPr>
                    <w:sz w:val="22"/>
                    <w:szCs w:val="22"/>
                  </w:rPr>
                </w:pPr>
                <w:r>
                  <w:rPr>
                    <w:color w:val="333333"/>
                    <w:sz w:val="22"/>
                    <w:szCs w:val="22"/>
                  </w:rPr>
                  <w:t>Patikrinimai vykdomi ne rečiau kaip kas 3 metus. Jei atliekant patikrinimą nustatomas sunkus šio reglamento pažeidimas, paskesnis patikrinimas turi būti atliktas per 10 mėnesių.</w:t>
                </w:r>
              </w:p>
              <w:p>
                <w:pPr>
                  <w:jc w:val="both"/>
                  <w:rPr>
                    <w:sz w:val="22"/>
                    <w:szCs w:val="22"/>
                  </w:rPr>
                </w:pPr>
                <w:r>
                  <w:rPr>
                    <w:color w:val="333333"/>
                    <w:sz w:val="22"/>
                    <w:szCs w:val="22"/>
                  </w:rPr>
                  <w:t xml:space="preserve">4.   Nedarant poveikio šio straipsnio 3 daliai, kompetentingos institucijos atlieka nerutininius patikrinimus:</w:t>
                </w:r>
              </w:p>
              <w:p>
                <w:pPr>
                  <w:jc w:val="both"/>
                  <w:rPr>
                    <w:sz w:val="22"/>
                    <w:szCs w:val="22"/>
                  </w:rPr>
                </w:pPr>
                <w:r>
                  <w:rPr>
                    <w:color w:val="333333"/>
                    <w:sz w:val="22"/>
                    <w:szCs w:val="22"/>
                  </w:rPr>
                  <w:t>a) kad ištirtų pagrįstus skundus, nurodytus 7 straipsnyje, ir reikalavimų nesilaikymo atvejus kuo greičiau po tos dienos, kurią kompetentingos institucijos sužinojo apie tokius skundus ar nesilaikymą ir ne vėliau kaip per 10 mėnesių nuo tos dienos;</w:t>
                </w:r>
              </w:p>
              <w:p>
                <w:pPr>
                  <w:jc w:val="both"/>
                  <w:rPr>
                    <w:color w:val="333333"/>
                    <w:sz w:val="22"/>
                    <w:szCs w:val="22"/>
                  </w:rPr>
                </w:pPr>
                <w:r>
                  <w:rPr>
                    <w:color w:val="333333"/>
                    <w:sz w:val="22"/>
                    <w:szCs w:val="22"/>
                  </w:rPr>
                  <w:t>&lt;...&gt;</w:t>
                </w:r>
              </w:p>
              <w:p>
                <w:pPr>
                  <w:jc w:val="both"/>
                  <w:rPr>
                    <w:b/>
                    <w:bCs/>
                    <w:color w:val="333333"/>
                    <w:sz w:val="22"/>
                    <w:szCs w:val="22"/>
                  </w:rPr>
                </w:pPr>
                <w:r>
                  <w:rPr>
                    <w:color w:val="333333"/>
                    <w:sz w:val="22"/>
                    <w:szCs w:val="22"/>
                  </w:rPr>
                  <w:t>d) kai kompetentingos institucijos mano, kad tai aktualu, kad patikrintų, ar įmonės ir importuotojai laikosi šio reglamento.</w:t>
                </w:r>
              </w:p>
              <w:p>
                <w:pPr>
                  <w:rPr>
                    <w:sz w:val="10"/>
                    <w:szCs w:val="10"/>
                  </w:rPr>
                </w:pPr>
              </w:p>
              <w:p>
                <w:pPr>
                  <w:shd w:val="clear" w:color="auto" w:fill="FFFFFF"/>
                  <w:jc w:val="both"/>
                  <w:rPr>
                    <w:sz w:val="22"/>
                    <w:szCs w:val="22"/>
                  </w:rPr>
                </w:pPr>
                <w:r>
                  <w:rPr>
                    <w:color w:val="333333"/>
                    <w:sz w:val="22"/>
                    <w:szCs w:val="22"/>
                  </w:rPr>
                  <w:t xml:space="preserve">5.   Po kiekvieno patikrinimo kompetentingos institucijos parengia ataskaitą, kurioje nurodomas patikrinimo teisinis pagrindas, procedūros, kurios laikytasi, etapai, atitinkamos išvados ir rekomendacijos operatoriui, įmonei, kasyklos operatoriui arba importuotojui dėl tolesnių veiksmų, įskaitant jų įgyvendinimo terminus.</w:t>
                </w:r>
              </w:p>
              <w:p>
                <w:pPr>
                  <w:rPr>
                    <w:sz w:val="10"/>
                    <w:szCs w:val="10"/>
                  </w:rPr>
                </w:pPr>
              </w:p>
              <w:p>
                <w:pPr>
                  <w:shd w:val="clear" w:color="auto" w:fill="FFFFFF"/>
                  <w:jc w:val="both"/>
                  <w:rPr>
                    <w:sz w:val="22"/>
                    <w:szCs w:val="22"/>
                  </w:rPr>
                </w:pPr>
                <w:r>
                  <w:rPr>
                    <w:color w:val="333333"/>
                    <w:sz w:val="22"/>
                    <w:szCs w:val="22"/>
                  </w:rPr>
                  <w:t>Kai tinkama, kompetentingos institucijos gali parengti vieną ataskaitą dėl kelių to paties operatoriaus, įmonės, kasyklos operatoriaus arba importuotojo turto vienetų, veiklos vietų arba komponentų patikrinimų, jeigu tokie patikrinimai atliekami prieš kitą rutininį patikrinimą.</w:t>
                </w:r>
              </w:p>
              <w:p>
                <w:pPr>
                  <w:rPr>
                    <w:sz w:val="10"/>
                    <w:szCs w:val="10"/>
                  </w:rPr>
                </w:pPr>
              </w:p>
              <w:p>
                <w:pPr>
                  <w:shd w:val="clear" w:color="auto" w:fill="FFFFFF"/>
                  <w:jc w:val="both"/>
                  <w:rPr>
                    <w:sz w:val="22"/>
                    <w:szCs w:val="22"/>
                  </w:rPr>
                </w:pPr>
                <w:r>
                  <w:rPr>
                    <w:color w:val="333333"/>
                    <w:sz w:val="22"/>
                    <w:szCs w:val="22"/>
                  </w:rPr>
                  <w:t>Per 2 mėnesius nuo patikrinimo dienos ta ataskaita pateikiama atitinkamam operatoriui, įmonei, kasyklos operatoriui arba importuotojui ir paskelbiama viešai. Jeigu patikrinimas atliktas nagrinėjant skundą, pateiktą pagal 7 straipsnį, kai ta ataskaita viešai paskelbiama, kompetentingos institucijos apie tai praneša skundo pateikėjui.</w:t>
                </w:r>
              </w:p>
              <w:p>
                <w:pPr>
                  <w:rPr>
                    <w:sz w:val="10"/>
                    <w:szCs w:val="10"/>
                  </w:rPr>
                </w:pPr>
              </w:p>
              <w:p>
                <w:pPr>
                  <w:shd w:val="clear" w:color="auto" w:fill="FFFFFF"/>
                  <w:jc w:val="both"/>
                  <w:rPr>
                    <w:b/>
                    <w:bCs/>
                    <w:color w:val="333333"/>
                    <w:sz w:val="22"/>
                    <w:szCs w:val="22"/>
                  </w:rPr>
                </w:pPr>
                <w:r>
                  <w:rPr>
                    <w:color w:val="333333"/>
                    <w:sz w:val="22"/>
                    <w:szCs w:val="22"/>
                  </w:rPr>
                  <w:t xml:space="preserve">Tą ataskaitą kompetentingos institucijos viešai skelbia pagal Direktyvą </w:t>
                </w:r>
                <w:fldSimple w:instr="HYPERLINK http://eur-lex.europa.eu/legal-content/LIT/TXT/?uri=CELEX:32003L0004&amp;locale=lt \t _blank">
                  <w:r>
                    <w:rPr>
                      <w:color w:val="0000FF" w:themeColor="hyperlink"/>
                      <w:sz w:val="22"/>
                      <w:szCs w:val="22"/>
                      <w:u w:val="single"/>
                    </w:rPr>
                    <w:t>2003/4/EB</w:t>
                  </w:r>
                </w:fldSimple>
                <w:r>
                  <w:rPr>
                    <w:color w:val="333333"/>
                    <w:sz w:val="22"/>
                    <w:szCs w:val="22"/>
                  </w:rPr>
                  <w:t>. Kai dėl vieno ar kelių tos direktyvos 4 straipsnyje nurodytų pagrindų informacija neskelbiama, kompetentingos institucijos ataskaitoje nurodo tos neskelbiamos informacijos pobūdį ir jos neskelbimo priežastį.</w:t>
                </w:r>
              </w:p>
            </w:tc>
            <w:tc>
              <w:tcPr>
                <w:tcW w:w="6804" w:type="dxa"/>
              </w:tcPr>
              <w:p>
                <w:pPr>
                  <w:tabs>
                    <w:tab w:val="left" w:pos="993"/>
                  </w:tabs>
                  <w:jc w:val="both"/>
                  <w:rPr>
                    <w:b/>
                    <w:bCs/>
                    <w:color w:val="000000"/>
                    <w:sz w:val="22"/>
                    <w:szCs w:val="22"/>
                    <w:lang w:val="lt"/>
                  </w:rPr>
                </w:pPr>
                <w:r>
                  <w:rPr>
                    <w:b/>
                    <w:bCs/>
                    <w:color w:val="000000"/>
                    <w:sz w:val="22"/>
                    <w:szCs w:val="22"/>
                    <w:lang w:val="lt"/>
                  </w:rPr>
                  <w:t>Įstatymo projektas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 w:val="22"/>
                    <w:szCs w:val="22"/>
                  </w:rPr>
                </w:pPr>
                <w:r>
                  <w:rPr>
                    <w:b/>
                    <w:bCs/>
                    <w:sz w:val="22"/>
                    <w:szCs w:val="22"/>
                  </w:rPr>
                  <w:t xml:space="preserve">2 </w:t>
                </w:r>
                <w:r>
                  <w:rPr>
                    <w:b/>
                    <w:sz w:val="22"/>
                    <w:szCs w:val="22"/>
                  </w:rPr>
                  <w:t>straipsnis.</w:t>
                </w:r>
                <w:r>
                  <w:rPr>
                    <w:b/>
                    <w:bCs/>
                    <w:sz w:val="22"/>
                    <w:szCs w:val="22"/>
                  </w:rPr>
                  <w:t xml:space="preserve"> 8 straipsnio pakeitimas</w:t>
                </w:r>
              </w:p>
              <w:p>
                <w:pPr>
                  <w:ind w:left="993" w:hanging="273"/>
                  <w:rPr>
                    <w:b/>
                    <w:bCs/>
                    <w:sz w:val="22"/>
                    <w:szCs w:val="22"/>
                  </w:rPr>
                </w:pPr>
                <w:r>
                  <w:rPr>
                    <w:b/>
                    <w:bCs/>
                    <w:sz w:val="22"/>
                    <w:szCs w:val="22"/>
                  </w:rPr>
                  <w:t>1.</w:t>
                  <w:tab/>
                  <w:t>Pakeisti 8 straipsnio 11 dalies 20 punktą ir jį išdėstyti taip:</w:t>
                </w:r>
              </w:p>
              <w:p>
                <w:pPr>
                  <w:tabs>
                    <w:tab w:val="left" w:pos="709"/>
                  </w:tabs>
                  <w:ind w:firstLine="720"/>
                  <w:jc w:val="both"/>
                  <w:rPr>
                    <w:b/>
                    <w:bCs/>
                    <w:color w:val="000000"/>
                    <w:sz w:val="22"/>
                    <w:szCs w:val="22"/>
                  </w:rPr>
                </w:pPr>
                <w:r>
                  <w:rPr>
                    <w:b/>
                    <w:bCs/>
                    <w:color w:val="000000"/>
                    <w:sz w:val="22"/>
                    <w:szCs w:val="22"/>
                  </w:rPr>
                  <w:t>„</w:t>
                </w:r>
                <w:r>
                  <w:rPr>
                    <w:b/>
                    <w:bCs/>
                    <w:sz w:val="22"/>
                    <w:szCs w:val="22"/>
                    <w:lang w:val="lt"/>
                  </w:rPr>
                  <w:t xml:space="preserve">20) tiria Reglamento </w:t>
                </w:r>
                <w:fldSimple w:instr="HYPERLINK http://eur-lex.europa.eu/legal-content/LIT/TXT/?uri=CELEX:32011R1227&amp;locale=lt \t _blank">
                  <w:r>
                    <w:rPr>
                      <w:b/>
                      <w:bCs/>
                      <w:color w:val="0000FF" w:themeColor="hyperlink"/>
                      <w:sz w:val="22"/>
                      <w:szCs w:val="22"/>
                      <w:u w:val="single"/>
                      <w:lang w:val="lt"/>
                    </w:rPr>
                    <w:t>(ES) Nr. 1227/2011</w:t>
                  </w:r>
                </w:fldSimple>
                <w:r>
                  <w:rPr>
                    <w:b/>
                    <w:bCs/>
                    <w:sz w:val="22"/>
                    <w:szCs w:val="22"/>
                    <w:lang w:val="lt"/>
                  </w:rPr>
                  <w:t xml:space="preserve"> pažeidimus ir atlieka energetikos įmonių veiklos, didmeninės energijos rinkos dalyvių, profesionaliai sandorius organizuojančių ar vykdančių asmenų, energetikos objektų, energetikos įrenginių ir vartotojų energetikos įrenginių patikrinimus, įskaitant patikrinimus, vadovaujantis Reglamento </w:t>
                </w:r>
                <w:fldSimple w:instr="HYPERLINK http://eur-lex.europa.eu/legal-content/LIT/TXT/?uri=CELEX:32024R1787&amp;locale=lt \t _blank">
                  <w:r>
                    <w:rPr>
                      <w:b/>
                      <w:bCs/>
                      <w:sz w:val="22"/>
                      <w:szCs w:val="22"/>
                      <w:lang w:val="lt"/>
                      <w:u w:val="single"/>
                      <w:color w:val="0000FF" w:themeColor="hyperlink"/>
                    </w:rPr>
                    <w:t>(ES) 2024/1787</w:t>
                  </w:r>
                </w:fldSimple>
                <w:r>
                  <w:rPr>
                    <w:b/>
                    <w:bCs/>
                    <w:sz w:val="22"/>
                    <w:szCs w:val="22"/>
                    <w:lang w:val="lt"/>
                  </w:rPr>
                  <w:t xml:space="preserve"> 6 straipsnio 1-5 dalimis;</w:t>
                </w:r>
                <w:r>
                  <w:rPr>
                    <w:b/>
                    <w:bCs/>
                    <w:color w:val="000000"/>
                    <w:sz w:val="22"/>
                    <w:szCs w:val="22"/>
                  </w:rPr>
                  <w:t>“.</w:t>
                </w:r>
              </w:p>
              <w:p>
                <w:pPr>
                  <w:tabs>
                    <w:tab w:val="left" w:pos="709"/>
                  </w:tabs>
                  <w:ind w:firstLine="720"/>
                  <w:jc w:val="both"/>
                  <w:rPr>
                    <w:b/>
                    <w:bCs/>
                    <w:sz w:val="22"/>
                    <w:szCs w:val="22"/>
                    <w:lang w:val="lt"/>
                  </w:rPr>
                </w:pPr>
                <w:r>
                  <w:rPr>
                    <w:b/>
                    <w:bCs/>
                    <w:sz w:val="22"/>
                    <w:szCs w:val="22"/>
                    <w:lang w:val="lt"/>
                  </w:rPr>
                  <w:t>&lt;...&gt;</w:t>
                </w:r>
              </w:p>
              <w:p>
                <w:pPr>
                  <w:tabs>
                    <w:tab w:val="left" w:pos="709"/>
                  </w:tabs>
                  <w:jc w:val="both"/>
                  <w:rPr>
                    <w:b/>
                    <w:bCs/>
                    <w:sz w:val="22"/>
                    <w:szCs w:val="22"/>
                    <w:lang w:val="lt"/>
                  </w:rPr>
                </w:pPr>
              </w:p>
              <w:p>
                <w:pPr>
                  <w:tabs>
                    <w:tab w:val="left" w:pos="709"/>
                    <w:tab w:val="left" w:pos="993"/>
                  </w:tabs>
                  <w:jc w:val="both"/>
                  <w:rPr>
                    <w:sz w:val="22"/>
                    <w:szCs w:val="22"/>
                  </w:rPr>
                </w:pPr>
                <w:r>
                  <w:rPr>
                    <w:sz w:val="22"/>
                    <w:szCs w:val="22"/>
                    <w:u w:val="single"/>
                  </w:rPr>
                  <w:t>Pastaba:</w:t>
                </w:r>
                <w:r>
                  <w:rPr>
                    <w:sz w:val="22"/>
                    <w:szCs w:val="22"/>
                  </w:rPr>
                  <w:t xml:space="preserve"> taip pat Direktyvos nuostatas įgyvendina LRV nutarimas Nr. 849.</w:t>
                </w:r>
              </w:p>
              <w:p>
                <w:pPr>
                  <w:tabs>
                    <w:tab w:val="left" w:pos="709"/>
                  </w:tabs>
                  <w:jc w:val="both"/>
                  <w:rPr>
                    <w:sz w:val="22"/>
                    <w:szCs w:val="22"/>
                  </w:rPr>
                </w:pPr>
              </w:p>
            </w:tc>
            <w:tc>
              <w:tcPr>
                <w:tcW w:w="1560" w:type="dxa"/>
              </w:tcPr>
              <w:p>
                <w:pPr>
                  <w:jc w:val="both"/>
                  <w:rPr>
                    <w:rFonts w:eastAsia="Arial Unicode MS"/>
                    <w:b/>
                    <w:bCs/>
                    <w:sz w:val="22"/>
                    <w:szCs w:val="22"/>
                    <w:lang w:eastAsia="lt-LT"/>
                  </w:rPr>
                </w:pPr>
                <w:r>
                  <w:rPr>
                    <w:rFonts w:eastAsia="Arial Unicode MS"/>
                    <w:b/>
                    <w:bCs/>
                    <w:sz w:val="22"/>
                    <w:szCs w:val="22"/>
                    <w:lang w:eastAsia="lt-LT"/>
                  </w:rPr>
                  <w:t>Visiškas</w:t>
                </w:r>
              </w:p>
            </w:tc>
          </w:tr>
          <w:tr>
            <w:trPr>
              <w:trHeight w:val="300"/>
            </w:trPr>
            <w:tc>
              <w:tcPr>
                <w:tcW w:w="6606" w:type="dxa"/>
              </w:tcPr>
              <w:p>
                <w:pPr>
                  <w:jc w:val="both"/>
                  <w:rPr>
                    <w:i/>
                    <w:iCs/>
                    <w:color w:val="333333"/>
                    <w:sz w:val="22"/>
                    <w:szCs w:val="22"/>
                  </w:rPr>
                </w:pPr>
                <w:r>
                  <w:rPr>
                    <w:i/>
                    <w:iCs/>
                    <w:color w:val="333333"/>
                    <w:sz w:val="22"/>
                    <w:szCs w:val="22"/>
                  </w:rPr>
                  <w:t>33 straipsnis</w:t>
                </w:r>
              </w:p>
              <w:p>
                <w:pPr>
                  <w:jc w:val="both"/>
                  <w:rPr>
                    <w:sz w:val="22"/>
                    <w:szCs w:val="22"/>
                  </w:rPr>
                </w:pPr>
                <w:r>
                  <w:rPr>
                    <w:b/>
                    <w:bCs/>
                    <w:color w:val="333333"/>
                    <w:sz w:val="22"/>
                    <w:szCs w:val="22"/>
                  </w:rPr>
                  <w:t>Sankcijos</w:t>
                </w:r>
              </w:p>
              <w:p>
                <w:pPr>
                  <w:jc w:val="both"/>
                  <w:rPr>
                    <w:sz w:val="22"/>
                    <w:szCs w:val="22"/>
                  </w:rPr>
                </w:pPr>
                <w:r>
                  <w:rPr>
                    <w:color w:val="333333"/>
                    <w:sz w:val="22"/>
                    <w:szCs w:val="22"/>
                  </w:rPr>
                  <w:t xml:space="preserve">1.   Valstybės narės nustato sankcijų, taikomų pažeidus šį reglamentą, taisykles ir imasi visų būtinų priemonių užtikrinti, kad šios sankcijos būtų įgyvendinamos.</w:t>
                </w:r>
              </w:p>
              <w:p>
                <w:pPr>
                  <w:jc w:val="both"/>
                  <w:rPr>
                    <w:color w:val="333333"/>
                    <w:sz w:val="22"/>
                    <w:szCs w:val="22"/>
                  </w:rPr>
                </w:pPr>
                <w:r>
                  <w:rPr>
                    <w:color w:val="333333"/>
                    <w:sz w:val="22"/>
                    <w:szCs w:val="22"/>
                  </w:rPr>
                  <w:t>&lt;...&gt;</w:t>
                </w:r>
              </w:p>
              <w:p>
                <w:pPr>
                  <w:jc w:val="both"/>
                  <w:rPr>
                    <w:sz w:val="22"/>
                    <w:szCs w:val="22"/>
                  </w:rPr>
                </w:pPr>
                <w:r>
                  <w:rPr>
                    <w:color w:val="333333"/>
                    <w:sz w:val="22"/>
                    <w:szCs w:val="22"/>
                  </w:rPr>
                  <w:t xml:space="preserve">5.   Sankcijos taikomos bent už šiuos pažeidimus:</w:t>
                </w:r>
              </w:p>
              <w:p>
                <w:pPr>
                  <w:jc w:val="both"/>
                  <w:rPr>
                    <w:sz w:val="22"/>
                    <w:szCs w:val="22"/>
                  </w:rPr>
                </w:pPr>
                <w:r>
                  <w:rPr>
                    <w:color w:val="333333"/>
                    <w:sz w:val="22"/>
                    <w:szCs w:val="22"/>
                  </w:rPr>
                  <w:t>a) kai operatoriai, įmonės, kasyklų operatoriai arba importuotojai nesuteikia kompetentingoms institucijoms ar tikrintojams pagalbos, būtinos jų užduotims pagal šį reglamentą vykdyti;</w:t>
                </w:r>
              </w:p>
              <w:p>
                <w:pPr>
                  <w:jc w:val="both"/>
                  <w:rPr>
                    <w:color w:val="333333"/>
                    <w:sz w:val="22"/>
                    <w:szCs w:val="22"/>
                  </w:rPr>
                </w:pPr>
                <w:r>
                  <w:rPr>
                    <w:color w:val="333333"/>
                    <w:sz w:val="22"/>
                    <w:szCs w:val="22"/>
                  </w:rPr>
                  <w:t>b) kai operatoriai arba kasyklų operatoriai neatlieka veiksmų, kurie nustatyti 6 straipsnio 5 ir 6 dalyse nurodytose patikrinimo ataskaitose;</w:t>
                </w:r>
              </w:p>
              <w:p>
                <w:pPr>
                  <w:jc w:val="both"/>
                  <w:rPr>
                    <w:sz w:val="22"/>
                    <w:szCs w:val="22"/>
                  </w:rPr>
                </w:pPr>
                <w:r>
                  <w:rPr>
                    <w:color w:val="333333"/>
                    <w:sz w:val="22"/>
                    <w:szCs w:val="22"/>
                  </w:rPr>
                  <w:t>c) kai operatoriai arba kasyklų operatoriai nepateikia išmetamo metano kiekio ataskaitų, kaip reikalaujama pagal 12 straipsnį, 18 straipsnio 3 dalį, 20 straipsnį ir 25 straipsnio 6 dalį, įskaitant pagal 8 straipsnio 4 dalį nepriklausomo tikrintojo išduotą tikrinimo pažymą;</w:t>
                </w:r>
              </w:p>
              <w:p>
                <w:pPr>
                  <w:jc w:val="both"/>
                  <w:rPr>
                    <w:sz w:val="22"/>
                    <w:szCs w:val="22"/>
                  </w:rPr>
                </w:pPr>
                <w:r>
                  <w:rPr>
                    <w:color w:val="333333"/>
                    <w:sz w:val="22"/>
                    <w:szCs w:val="22"/>
                  </w:rPr>
                  <w:t>d) kai operatoriai nepateikia NAIR programos pagal 14 straipsnio 1 dalį arba neatlieka NAIR tyrimo pagal 14 straipsnio 2, 5 ir 6 dalis;</w:t>
                </w:r>
              </w:p>
              <w:p>
                <w:pPr>
                  <w:jc w:val="both"/>
                  <w:rPr>
                    <w:sz w:val="22"/>
                    <w:szCs w:val="22"/>
                  </w:rPr>
                </w:pPr>
                <w:r>
                  <w:rPr>
                    <w:color w:val="333333"/>
                    <w:sz w:val="22"/>
                    <w:szCs w:val="22"/>
                  </w:rPr>
                  <w:t>e) kai operatoriai neremontuoja arba nepakeičia komponentų, nevykdo komponentų nuolatinių tyrimų ir neužfiksuoja nuotėkių pagal 14 straipsnio 8–13 dalis;</w:t>
                </w:r>
              </w:p>
              <w:p>
                <w:pPr>
                  <w:jc w:val="both"/>
                  <w:rPr>
                    <w:sz w:val="22"/>
                    <w:szCs w:val="22"/>
                  </w:rPr>
                </w:pPr>
                <w:r>
                  <w:rPr>
                    <w:color w:val="333333"/>
                    <w:sz w:val="22"/>
                    <w:szCs w:val="22"/>
                  </w:rPr>
                  <w:t>f) kai operatoriai nepateikia ataskaitos pagal 14 straipsnio 14 dalį;</w:t>
                </w:r>
              </w:p>
              <w:p>
                <w:pPr>
                  <w:jc w:val="both"/>
                  <w:rPr>
                    <w:sz w:val="22"/>
                    <w:szCs w:val="22"/>
                  </w:rPr>
                </w:pPr>
                <w:r>
                  <w:rPr>
                    <w:color w:val="333333"/>
                    <w:sz w:val="22"/>
                    <w:szCs w:val="22"/>
                  </w:rPr>
                  <w:t>g) kai operatoriai arba kasyklų operatoriai vykdo dujų išleidimą ar dujų deginimą, įskaitant rutininį dujų deginimą, išskyrus 15 straipsnio 2 ir 3 dalyse, 22 straipsnio 1 ir 2 dalyse ir 26 straipsnio 2 dalyje numatytus atvejus;</w:t>
                </w:r>
              </w:p>
              <w:p>
                <w:pPr>
                  <w:jc w:val="both"/>
                  <w:rPr>
                    <w:sz w:val="22"/>
                    <w:szCs w:val="22"/>
                  </w:rPr>
                </w:pPr>
                <w:r>
                  <w:rPr>
                    <w:color w:val="333333"/>
                    <w:sz w:val="22"/>
                    <w:szCs w:val="22"/>
                  </w:rPr>
                  <w:t>h) kai operatoriai arba kasyklų operatoriai neįrodo būtinybės naudoti dujų išleidimą vietoj dujų deginimo ir neįrodo būtinybės naudoti dujų deginimą vietoj metano įleidimo atgal į gręžinį, panaudojimo vietoje, saugojimo vėlesniam naudojimui ar tiekimo rinkai (operatorių atveju) arba metano panaudojimo ar išmetamo kiekio mažinimo (kasyklų operatorių atveju) pagal 15 straipsnio 4 ir 6 dalis, 22 straipsnio 1 ir 2 dalis ir 26 straipsnio 2 dalį;</w:t>
                </w:r>
              </w:p>
              <w:p>
                <w:pPr>
                  <w:jc w:val="both"/>
                  <w:rPr>
                    <w:sz w:val="22"/>
                    <w:szCs w:val="22"/>
                  </w:rPr>
                </w:pPr>
                <w:r>
                  <w:rPr>
                    <w:color w:val="333333"/>
                    <w:sz w:val="22"/>
                    <w:szCs w:val="22"/>
                  </w:rPr>
                  <w:t>i) kai operatoriai nepakeičia arba nenaudoja dujų išleidimo įrangos pagal 15 straipsnio 5 ir 7 dalis;</w:t>
                </w:r>
              </w:p>
              <w:p>
                <w:pPr>
                  <w:jc w:val="both"/>
                  <w:rPr>
                    <w:sz w:val="22"/>
                    <w:szCs w:val="22"/>
                  </w:rPr>
                </w:pPr>
                <w:r>
                  <w:rPr>
                    <w:color w:val="333333"/>
                    <w:sz w:val="22"/>
                    <w:szCs w:val="22"/>
                  </w:rPr>
                  <w:t>j) kai operatoriai arba kasyklų operatoriai nepraneša apie dujų išleidimo įvykius ir dujų deginimo įvykius arba neteikia jų ataskaitų pagal 16 straipsnį, 23 straipsnio 1 dalį arba 26 straipsnį, priklausomai nuo to, kas taikytina;</w:t>
                </w:r>
              </w:p>
              <w:p>
                <w:pPr>
                  <w:jc w:val="both"/>
                  <w:rPr>
                    <w:sz w:val="22"/>
                    <w:szCs w:val="22"/>
                  </w:rPr>
                </w:pPr>
                <w:r>
                  <w:rPr>
                    <w:color w:val="333333"/>
                    <w:sz w:val="22"/>
                    <w:szCs w:val="22"/>
                  </w:rPr>
                  <w:t>k) kai fakelai arba degimo prietaisai naudojami pažeidžiant 17, 22 ir 23 straipsniuose nustatytus reikalavimus;</w:t>
                </w:r>
              </w:p>
              <w:p>
                <w:pPr>
                  <w:jc w:val="both"/>
                  <w:rPr>
                    <w:sz w:val="22"/>
                    <w:szCs w:val="22"/>
                  </w:rPr>
                </w:pPr>
                <w:r>
                  <w:rPr>
                    <w:color w:val="333333"/>
                    <w:sz w:val="22"/>
                    <w:szCs w:val="22"/>
                  </w:rPr>
                  <w:t>l) kai atsakingoji šalis netaiko išmetamo metano kiekio mažinimo priemonių pagal 18 straipsnio 6 ir 9 dalis;</w:t>
                </w:r>
              </w:p>
              <w:p>
                <w:pPr>
                  <w:jc w:val="both"/>
                  <w:rPr>
                    <w:sz w:val="22"/>
                    <w:szCs w:val="22"/>
                  </w:rPr>
                </w:pPr>
                <w:r>
                  <w:rPr>
                    <w:color w:val="333333"/>
                    <w:sz w:val="22"/>
                    <w:szCs w:val="22"/>
                  </w:rPr>
                  <w:t>m) kai importuotojai nepateikia pagal 27 straipsnio 1 dalį ir IX priedą reikalaujamos informacijos;</w:t>
                </w:r>
              </w:p>
              <w:p>
                <w:pPr>
                  <w:jc w:val="both"/>
                  <w:rPr>
                    <w:sz w:val="22"/>
                    <w:szCs w:val="22"/>
                  </w:rPr>
                </w:pPr>
                <w:r>
                  <w:rPr>
                    <w:color w:val="333333"/>
                    <w:sz w:val="22"/>
                    <w:szCs w:val="22"/>
                  </w:rPr>
                  <w:t>n) kai importuotojai nepateikia pagal 28 straipsnio 1 ir 2 dalis reikalaujamos informacijos;</w:t>
                </w:r>
              </w:p>
              <w:p>
                <w:pPr>
                  <w:jc w:val="both"/>
                  <w:rPr>
                    <w:color w:val="333333"/>
                    <w:sz w:val="22"/>
                    <w:szCs w:val="22"/>
                  </w:rPr>
                </w:pPr>
                <w:r>
                  <w:rPr>
                    <w:color w:val="333333"/>
                    <w:sz w:val="22"/>
                    <w:szCs w:val="22"/>
                  </w:rPr>
                  <w:t>o) kai Sąjungos gamintojai arba importuotojai nepateikia pagal 29 straipsnio 1 ir 2 dalis reikalaujamos informacijos;</w:t>
                </w:r>
              </w:p>
            </w:tc>
            <w:tc>
              <w:tcPr>
                <w:tcW w:w="6804" w:type="dxa"/>
              </w:tcPr>
              <w:p>
                <w:pPr>
                  <w:tabs>
                    <w:tab w:val="left" w:pos="709"/>
                    <w:tab w:val="left" w:pos="993"/>
                  </w:tabs>
                  <w:jc w:val="both"/>
                  <w:rPr>
                    <w:b/>
                    <w:bCs/>
                    <w:sz w:val="22"/>
                    <w:szCs w:val="22"/>
                    <w:lang w:val="lt"/>
                  </w:rPr>
                </w:pPr>
                <w:r>
                  <w:rPr>
                    <w:b/>
                    <w:bCs/>
                    <w:sz w:val="22"/>
                    <w:szCs w:val="22"/>
                    <w:lang w:val="lt"/>
                  </w:rPr>
                  <w:t>Įstatymo projektas</w:t>
                </w:r>
              </w:p>
              <w:p>
                <w:pPr>
                  <w:shd w:val="clear" w:color="auto" w:fill="FFFFFF"/>
                  <w:tabs>
                    <w:tab w:val="left" w:pos="993"/>
                  </w:tabs>
                  <w:jc w:val="both"/>
                  <w:rPr>
                    <w:color w:val="000000"/>
                    <w:sz w:val="22"/>
                    <w:szCs w:val="22"/>
                  </w:rPr>
                </w:pPr>
                <w:r>
                  <w:rPr>
                    <w:b/>
                    <w:bCs/>
                    <w:sz w:val="22"/>
                    <w:szCs w:val="22"/>
                  </w:rPr>
                  <w:t xml:space="preserve">3 </w:t>
                </w:r>
                <w:r>
                  <w:rPr>
                    <w:b/>
                    <w:sz w:val="22"/>
                    <w:szCs w:val="22"/>
                  </w:rPr>
                  <w:t xml:space="preserve">straipsnis. </w:t>
                </w:r>
                <w:r>
                  <w:rPr>
                    <w:b/>
                    <w:bCs/>
                    <w:sz w:val="22"/>
                    <w:szCs w:val="22"/>
                  </w:rPr>
                  <w:t>36 straipsnio pakeitimas</w:t>
                </w:r>
              </w:p>
              <w:p>
                <w:pPr>
                  <w:tabs>
                    <w:tab w:val="left" w:pos="851"/>
                  </w:tabs>
                  <w:jc w:val="both"/>
                  <w:rPr>
                    <w:b/>
                    <w:bCs/>
                    <w:color w:val="000000"/>
                    <w:sz w:val="22"/>
                    <w:szCs w:val="22"/>
                  </w:rPr>
                </w:pPr>
                <w:r>
                  <w:rPr>
                    <w:b/>
                    <w:bCs/>
                    <w:color w:val="000000"/>
                    <w:sz w:val="22"/>
                    <w:szCs w:val="22"/>
                  </w:rPr>
                  <w:t>1. Papildyti 36 straipsnį nauja 2</w:t>
                </w:r>
                <w:r>
                  <w:rPr>
                    <w:b/>
                    <w:bCs/>
                    <w:color w:val="000000"/>
                    <w:sz w:val="22"/>
                    <w:szCs w:val="22"/>
                    <w:vertAlign w:val="superscript"/>
                  </w:rPr>
                  <w:t>2</w:t>
                </w:r>
                <w:r>
                  <w:rPr>
                    <w:b/>
                    <w:bCs/>
                    <w:color w:val="000000"/>
                    <w:sz w:val="22"/>
                    <w:szCs w:val="22"/>
                  </w:rPr>
                  <w:t xml:space="preserve"> dalimi:</w:t>
                </w:r>
              </w:p>
              <w:p>
                <w:pPr>
                  <w:ind w:firstLine="720"/>
                  <w:jc w:val="both"/>
                  <w:rPr>
                    <w:sz w:val="22"/>
                    <w:szCs w:val="22"/>
                  </w:rPr>
                </w:pPr>
                <w:r>
                  <w:rPr>
                    <w:color w:val="000000"/>
                    <w:sz w:val="22"/>
                    <w:szCs w:val="22"/>
                  </w:rPr>
                  <w:t>„</w:t>
                </w:r>
                <w:r>
                  <w:rPr>
                    <w:b/>
                    <w:bCs/>
                    <w:sz w:val="22"/>
                    <w:szCs w:val="22"/>
                  </w:rPr>
                  <w:t>2</w:t>
                </w:r>
                <w:r>
                  <w:rPr>
                    <w:b/>
                    <w:bCs/>
                    <w:sz w:val="22"/>
                    <w:szCs w:val="22"/>
                    <w:vertAlign w:val="superscript"/>
                  </w:rPr>
                  <w:t>2</w:t>
                </w:r>
                <w:r>
                  <w:rPr>
                    <w:b/>
                    <w:bCs/>
                    <w:sz w:val="22"/>
                    <w:szCs w:val="22"/>
                  </w:rPr>
                  <w:t xml:space="preserve"> Už Reglamento </w:t>
                </w:r>
                <w:fldSimple w:instr="HYPERLINK http://eur-lex.europa.eu/legal-content/LIT/TXT/?uri=CELEX:33787R2024&amp;locale=lt \t _blank">
                  <w:r>
                    <w:rPr>
                      <w:b/>
                      <w:bCs/>
                      <w:sz w:val="22"/>
                      <w:szCs w:val="22"/>
                      <w:u w:val="single"/>
                      <w:color w:val="0000FF" w:themeColor="hyperlink"/>
                    </w:rPr>
                    <w:t>(ES) Nr. 2024/1787</w:t>
                  </w:r>
                </w:fldSimple>
                <w:r>
                  <w:rPr>
                    <w:b/>
                    <w:bCs/>
                    <w:sz w:val="22"/>
                    <w:szCs w:val="22"/>
                  </w:rPr>
                  <w:t xml:space="preserve"> pažeidimus Taryba skiria baudas:</w:t>
                </w:r>
              </w:p>
              <w:p>
                <w:pPr>
                  <w:ind w:firstLine="720"/>
                  <w:jc w:val="both"/>
                  <w:rPr>
                    <w:sz w:val="22"/>
                    <w:szCs w:val="22"/>
                  </w:rPr>
                </w:pPr>
                <w:r>
                  <w:rPr>
                    <w:b/>
                    <w:bCs/>
                    <w:sz w:val="22"/>
                    <w:szCs w:val="22"/>
                  </w:rPr>
                  <w:t xml:space="preserve">1) gamtinių dujų sistemų operatoriams už Reglamento </w:t>
                </w:r>
                <w:fldSimple w:instr="HYPERLINK http://eur-lex.europa.eu/legal-content/LIT/TXT/?uri=CELEX:33787R2024&amp;locale=lt \t _blank">
                  <w:r>
                    <w:rPr>
                      <w:b/>
                      <w:bCs/>
                      <w:sz w:val="22"/>
                      <w:szCs w:val="22"/>
                      <w:u w:val="single"/>
                      <w:color w:val="0000FF" w:themeColor="hyperlink"/>
                    </w:rPr>
                    <w:t>(ES) Nr. 2024/1787</w:t>
                  </w:r>
                </w:fldSimple>
                <w:r>
                  <w:rPr>
                    <w:b/>
                    <w:bCs/>
                    <w:sz w:val="22"/>
                    <w:szCs w:val="22"/>
                  </w:rPr>
                  <w:t xml:space="preserve"> 6 straipsnio 6 dalies, 14 straipsnio 1, 2, 5, 6, 8–14 dalių piniginę baudą iki 20 procentų praėjusių finansinių metų metinės apyvartos;</w:t>
                </w:r>
              </w:p>
              <w:p>
                <w:pPr>
                  <w:ind w:firstLine="720"/>
                  <w:jc w:val="both"/>
                  <w:rPr>
                    <w:sz w:val="22"/>
                    <w:szCs w:val="22"/>
                  </w:rPr>
                </w:pPr>
                <w:r>
                  <w:rPr>
                    <w:b/>
                    <w:bCs/>
                    <w:sz w:val="22"/>
                    <w:szCs w:val="22"/>
                  </w:rPr>
                  <w:t xml:space="preserve">2) už Reglamento </w:t>
                </w:r>
                <w:fldSimple w:instr="HYPERLINK http://eur-lex.europa.eu/legal-content/LIT/TXT/?uri=CELEX:33787R2024&amp;locale=lt \t _blank">
                  <w:r>
                    <w:rPr>
                      <w:b/>
                      <w:bCs/>
                      <w:sz w:val="22"/>
                      <w:szCs w:val="22"/>
                      <w:u w:val="single"/>
                      <w:color w:val="0000FF" w:themeColor="hyperlink"/>
                    </w:rPr>
                    <w:t>(ES) Nr. 2024/1787</w:t>
                  </w:r>
                </w:fldSimple>
                <w:r>
                  <w:rPr>
                    <w:b/>
                    <w:bCs/>
                    <w:sz w:val="22"/>
                    <w:szCs w:val="22"/>
                  </w:rPr>
                  <w:t xml:space="preserve"> 27 straipsnio 1 dalies, 28 straipsnio 1 ir 2 dalių bei 29 straipsnio 1 ir 2 dalių pažeidimus:</w:t>
                </w:r>
              </w:p>
              <w:p>
                <w:pPr>
                  <w:ind w:firstLine="720"/>
                  <w:jc w:val="both"/>
                  <w:rPr>
                    <w:sz w:val="22"/>
                    <w:szCs w:val="22"/>
                  </w:rPr>
                </w:pPr>
                <w:r>
                  <w:rPr>
                    <w:b/>
                    <w:bCs/>
                    <w:sz w:val="22"/>
                    <w:szCs w:val="22"/>
                  </w:rPr>
                  <w:t>a) juridiniams asmenims skiria piniginę baudą iki 20 procentų praėjusių finansinių metų metinės apyvartos;</w:t>
                </w:r>
              </w:p>
              <w:p>
                <w:pPr>
                  <w:ind w:firstLine="720"/>
                  <w:jc w:val="both"/>
                  <w:rPr>
                    <w:sz w:val="22"/>
                    <w:szCs w:val="22"/>
                  </w:rPr>
                </w:pPr>
                <w:r>
                  <w:rPr>
                    <w:b/>
                    <w:bCs/>
                    <w:sz w:val="22"/>
                    <w:szCs w:val="22"/>
                  </w:rPr>
                  <w:t>b) fiziniams asmenims skiria piniginę baudą iki 20 procentų praėjusių kalendorinių metų metinių pajamų.</w:t>
                </w:r>
                <w:r>
                  <w:rPr>
                    <w:sz w:val="22"/>
                    <w:szCs w:val="22"/>
                  </w:rPr>
                  <w:t xml:space="preserve">“ </w:t>
                </w:r>
              </w:p>
              <w:p>
                <w:pPr>
                  <w:tabs>
                    <w:tab w:val="left" w:pos="851"/>
                  </w:tabs>
                  <w:ind w:firstLine="720"/>
                  <w:jc w:val="both"/>
                  <w:rPr>
                    <w:color w:val="000000"/>
                    <w:sz w:val="22"/>
                    <w:szCs w:val="22"/>
                  </w:rPr>
                </w:pPr>
                <w:r>
                  <w:rPr>
                    <w:color w:val="000000"/>
                    <w:sz w:val="22"/>
                    <w:szCs w:val="22"/>
                  </w:rPr>
                  <w:t>2. Papildyti 36 straipsnį 2</w:t>
                </w:r>
                <w:r>
                  <w:rPr>
                    <w:color w:val="000000"/>
                    <w:sz w:val="22"/>
                    <w:szCs w:val="22"/>
                    <w:vertAlign w:val="superscript"/>
                  </w:rPr>
                  <w:t>3</w:t>
                </w:r>
                <w:r>
                  <w:rPr>
                    <w:color w:val="000000"/>
                    <w:sz w:val="22"/>
                    <w:szCs w:val="22"/>
                  </w:rPr>
                  <w:t xml:space="preserve"> dalimi:</w:t>
                </w:r>
              </w:p>
              <w:p>
                <w:pPr>
                  <w:ind w:firstLine="720"/>
                  <w:jc w:val="both"/>
                  <w:rPr>
                    <w:b/>
                    <w:bCs/>
                    <w:sz w:val="22"/>
                    <w:szCs w:val="22"/>
                  </w:rPr>
                </w:pPr>
                <w:r>
                  <w:rPr>
                    <w:sz w:val="22"/>
                    <w:szCs w:val="22"/>
                  </w:rPr>
                  <w:t>„</w:t>
                </w:r>
                <w:r>
                  <w:rPr>
                    <w:b/>
                    <w:bCs/>
                    <w:sz w:val="22"/>
                    <w:szCs w:val="22"/>
                  </w:rPr>
                  <w:t>2</w:t>
                </w:r>
                <w:r>
                  <w:rPr>
                    <w:b/>
                    <w:bCs/>
                    <w:sz w:val="22"/>
                    <w:szCs w:val="22"/>
                    <w:vertAlign w:val="superscript"/>
                  </w:rPr>
                  <w:t>3</w:t>
                </w:r>
                <w:r>
                  <w:rPr>
                    <w:b/>
                    <w:bCs/>
                    <w:sz w:val="22"/>
                    <w:szCs w:val="22"/>
                  </w:rPr>
                  <w:t xml:space="preserve">. Taryba, vykdydama sankcijų skyrimo procedūrą Reglamento </w:t>
                </w:r>
                <w:fldSimple w:instr="HYPERLINK http://eur-lex.europa.eu/legal-content/LIT/TXT/?uri=CELEX:33787R2024&amp;locale=lt \t _blank">
                  <w:r>
                    <w:rPr>
                      <w:b/>
                      <w:bCs/>
                      <w:sz w:val="22"/>
                      <w:szCs w:val="22"/>
                      <w:u w:val="single"/>
                      <w:color w:val="0000FF" w:themeColor="hyperlink"/>
                    </w:rPr>
                    <w:t>(ES) Nr. 2024/1787</w:t>
                  </w:r>
                </w:fldSimple>
                <w:r>
                  <w:rPr>
                    <w:b/>
                    <w:bCs/>
                    <w:sz w:val="22"/>
                    <w:szCs w:val="22"/>
                  </w:rPr>
                  <w:t xml:space="preserve"> 14 straipsnio 14 dalies, 27 straipsnio 1 dalies, 28 straipsnio 1 ir 2 dalių bei 29 straipsnio 1 ir 2 dalių pažeidimus,  turi teisę: </w:t>
                </w:r>
              </w:p>
              <w:p>
                <w:pPr>
                  <w:ind w:firstLine="720"/>
                  <w:jc w:val="both"/>
                  <w:rPr>
                    <w:b/>
                    <w:bCs/>
                    <w:sz w:val="22"/>
                    <w:szCs w:val="22"/>
                  </w:rPr>
                </w:pPr>
                <w:r>
                  <w:rPr>
                    <w:b/>
                    <w:bCs/>
                    <w:sz w:val="22"/>
                    <w:szCs w:val="22"/>
                  </w:rPr>
                  <w:t>1) įpareigoti asmenį nutraukti pažeidimą;</w:t>
                </w:r>
              </w:p>
              <w:p>
                <w:pPr>
                  <w:ind w:firstLine="720"/>
                  <w:jc w:val="both"/>
                  <w:rPr>
                    <w:b/>
                    <w:bCs/>
                    <w:sz w:val="22"/>
                    <w:szCs w:val="22"/>
                  </w:rPr>
                </w:pPr>
                <w:r>
                  <w:rPr>
                    <w:b/>
                    <w:bCs/>
                    <w:sz w:val="22"/>
                    <w:szCs w:val="22"/>
                  </w:rPr>
                  <w:t>2) skelbti viešus įspėjimus arba pranešimus.</w:t>
                </w:r>
                <w:r>
                  <w:rPr>
                    <w:sz w:val="22"/>
                    <w:szCs w:val="22"/>
                  </w:rPr>
                  <w:t>“</w:t>
                </w:r>
              </w:p>
              <w:p>
                <w:pPr>
                  <w:tabs>
                    <w:tab w:val="left" w:pos="851"/>
                  </w:tabs>
                  <w:ind w:firstLine="720"/>
                  <w:jc w:val="both"/>
                  <w:rPr>
                    <w:b/>
                    <w:bCs/>
                    <w:color w:val="000000"/>
                    <w:sz w:val="22"/>
                    <w:szCs w:val="22"/>
                  </w:rPr>
                </w:pPr>
                <w:r>
                  <w:rPr>
                    <w:b/>
                    <w:bCs/>
                    <w:color w:val="000000"/>
                    <w:sz w:val="22"/>
                    <w:szCs w:val="22"/>
                  </w:rPr>
                  <w:t xml:space="preserve">3. Papildyti 36 straipsnį  2</w:t>
                </w:r>
                <w:r>
                  <w:rPr>
                    <w:b/>
                    <w:bCs/>
                    <w:color w:val="000000"/>
                    <w:sz w:val="22"/>
                    <w:szCs w:val="22"/>
                    <w:vertAlign w:val="superscript"/>
                  </w:rPr>
                  <w:t>4</w:t>
                </w:r>
                <w:r>
                  <w:rPr>
                    <w:b/>
                    <w:bCs/>
                    <w:color w:val="000000"/>
                    <w:sz w:val="22"/>
                    <w:szCs w:val="22"/>
                  </w:rPr>
                  <w:t xml:space="preserve"> dalimi:</w:t>
                </w:r>
              </w:p>
              <w:p>
                <w:pPr>
                  <w:widowControl w:val="0"/>
                  <w:tabs>
                    <w:tab w:val="left" w:pos="993"/>
                  </w:tabs>
                  <w:suppressAutoHyphens/>
                  <w:jc w:val="both"/>
                  <w:textAlignment w:val="center"/>
                  <w:rPr>
                    <w:sz w:val="22"/>
                    <w:szCs w:val="22"/>
                  </w:rPr>
                </w:pPr>
                <w:r>
                  <w:rPr>
                    <w:sz w:val="22"/>
                    <w:szCs w:val="22"/>
                  </w:rPr>
                  <w:t>„</w:t>
                </w:r>
                <w:r>
                  <w:rPr>
                    <w:b/>
                    <w:bCs/>
                    <w:sz w:val="22"/>
                    <w:szCs w:val="22"/>
                  </w:rPr>
                  <w:t>2</w:t>
                </w:r>
                <w:r>
                  <w:rPr>
                    <w:b/>
                    <w:bCs/>
                    <w:sz w:val="22"/>
                    <w:szCs w:val="22"/>
                    <w:vertAlign w:val="superscript"/>
                  </w:rPr>
                  <w:t>4</w:t>
                </w:r>
                <w:r>
                  <w:rPr>
                    <w:b/>
                    <w:bCs/>
                    <w:sz w:val="22"/>
                    <w:szCs w:val="22"/>
                  </w:rPr>
                  <w:t xml:space="preserve">. Už Tarybos įpareigojimų nutraukti Reglamento </w:t>
                </w:r>
                <w:fldSimple w:instr="HYPERLINK http://eur-lex.europa.eu/legal-content/LIT/TXT/?uri=CELEX:33787R2024&amp;locale=lt \t _blank">
                  <w:r>
                    <w:rPr>
                      <w:b/>
                      <w:bCs/>
                      <w:sz w:val="22"/>
                      <w:szCs w:val="22"/>
                      <w:u w:val="single"/>
                      <w:color w:val="0000FF" w:themeColor="hyperlink"/>
                    </w:rPr>
                    <w:t>(ES) Nr. 2024/1787</w:t>
                  </w:r>
                </w:fldSimple>
                <w:r>
                  <w:rPr>
                    <w:b/>
                    <w:bCs/>
                    <w:sz w:val="22"/>
                    <w:szCs w:val="22"/>
                  </w:rPr>
                  <w:t xml:space="preserve"> pažeidimus, pateikti informaciją, kitų Tarybos teisėtų įpareigojimų ir (ar) nurodymų nevykdymą </w:t>
                </w:r>
                <w:r>
                  <w:rPr>
                    <w:sz w:val="22"/>
                    <w:szCs w:val="22"/>
                  </w:rPr>
                  <w:t>bei</w:t>
                </w:r>
                <w:r>
                  <w:rPr>
                    <w:b/>
                    <w:bCs/>
                    <w:sz w:val="22"/>
                    <w:szCs w:val="22"/>
                  </w:rPr>
                  <w:t xml:space="preserve"> už trukdymą  atlikti patikrinimą Taryba  turi teisę Reglamente Nr. Nr. 2024/1787  nurodytiems asmenims skirti periodinę baudą, kurios dydis juridiniam asmeniui yra 3 procentai praėjusių finansinių metų vidutinių dienos pajamų už kiekvieną pažeidimo vykdymo (tęsimo) dieną, fiziniam asmeniui – 2 procentai praėjusių kalendorinių metų vidutinių dienos pajamų už kiekvieną pažeidimo vykdymo (tęsimo) dieną. Šioje dalyje nurodyta periodinė bauda skiriama už laikotarpį, kuris prasideda nuo Tarybos nutarimo skirti baudą priėmimo dienos ir baigiasi tą dieną, kai baigiasi pažeidimo vykdymas (tęsimas). Periodinė bauda gali būti skiriama ne ilgesniam kaip šešių mėnesių laikotarpiui nuo Tarybos sprendimo paskirti tokią baudą priėmimo dienos.</w:t>
                </w:r>
                <w:r>
                  <w:rPr>
                    <w:sz w:val="22"/>
                    <w:szCs w:val="22"/>
                  </w:rPr>
                  <w:t>“</w:t>
                </w:r>
              </w:p>
              <w:p>
                <w:pPr>
                  <w:widowControl w:val="0"/>
                  <w:tabs>
                    <w:tab w:val="left" w:pos="993"/>
                  </w:tabs>
                  <w:suppressAutoHyphens/>
                  <w:jc w:val="both"/>
                  <w:textAlignment w:val="center"/>
                  <w:rPr>
                    <w:sz w:val="22"/>
                    <w:szCs w:val="22"/>
                  </w:rPr>
                </w:pPr>
              </w:p>
              <w:p>
                <w:pPr>
                  <w:tabs>
                    <w:tab w:val="left" w:pos="709"/>
                    <w:tab w:val="left" w:pos="993"/>
                  </w:tabs>
                  <w:jc w:val="both"/>
                  <w:rPr>
                    <w:sz w:val="22"/>
                    <w:szCs w:val="22"/>
                  </w:rPr>
                </w:pPr>
                <w:r>
                  <w:rPr>
                    <w:sz w:val="22"/>
                    <w:szCs w:val="22"/>
                    <w:u w:val="single"/>
                  </w:rPr>
                  <w:t>Pastaba:</w:t>
                </w:r>
                <w:r>
                  <w:rPr>
                    <w:sz w:val="22"/>
                    <w:szCs w:val="22"/>
                  </w:rPr>
                  <w:t xml:space="preserve"> taip pat Direktyvos nuostatas įgyvendina LRV nutarimas Nr. 849.</w:t>
                </w:r>
              </w:p>
              <w:p>
                <w:pPr>
                  <w:widowControl w:val="0"/>
                  <w:tabs>
                    <w:tab w:val="left" w:pos="993"/>
                  </w:tabs>
                  <w:suppressAutoHyphens/>
                  <w:jc w:val="both"/>
                  <w:textAlignment w:val="center"/>
                  <w:rPr>
                    <w:b/>
                    <w:bCs/>
                    <w:color w:val="000000"/>
                    <w:sz w:val="22"/>
                    <w:szCs w:val="22"/>
                  </w:rPr>
                </w:pPr>
              </w:p>
            </w:tc>
            <w:tc>
              <w:tcPr>
                <w:tcW w:w="1560" w:type="dxa"/>
              </w:tcPr>
              <w:p>
                <w:pPr>
                  <w:jc w:val="both"/>
                  <w:rPr>
                    <w:rFonts w:eastAsia="Arial Unicode MS"/>
                    <w:b/>
                    <w:bCs/>
                    <w:sz w:val="22"/>
                    <w:szCs w:val="22"/>
                    <w:lang w:eastAsia="lt-LT"/>
                  </w:rPr>
                </w:pPr>
                <w:r>
                  <w:rPr>
                    <w:rFonts w:eastAsia="Arial Unicode MS"/>
                    <w:b/>
                    <w:bCs/>
                    <w:sz w:val="22"/>
                    <w:szCs w:val="22"/>
                    <w:lang w:eastAsia="lt-LT"/>
                  </w:rPr>
                  <w:t>Visiškas</w:t>
                </w:r>
              </w:p>
            </w:tc>
          </w:tr>
        </w:tbl>
        <w:p>
          <w:pPr>
            <w:widowControl w:val="0"/>
            <w:suppressAutoHyphens/>
            <w:rPr>
              <w:rFonts w:eastAsia="Arial Unicode MS"/>
              <w:szCs w:val="24"/>
              <w:lang w:eastAsia="lt-LT"/>
            </w:rPr>
            <w:sectPr>
              <w:footnotePr>
                <w:pos w:val="beneathText"/>
              </w:footnotePr>
              <w:type w:val="continuous"/>
              <w:pgSz w:w="16837" w:h="11905" w:orient="landscape"/>
              <w:pgMar w:top="1701" w:right="819" w:bottom="1134" w:left="1134" w:header="567" w:footer="567" w:gutter="0"/>
              <w:cols w:space="1296"/>
            </w:sectPr>
          </w:pPr>
        </w:p>
        <w:p>
          <w:pPr>
            <w:rPr>
              <w:sz w:val="10"/>
              <w:szCs w:val="10"/>
            </w:rPr>
          </w:pPr>
        </w:p>
        <w:sdt>
          <w:sdtPr>
            <w:alias w:val="pabaiga"/>
            <w:tag w:val="part_271c82e7f5244d86ba6867db4ddd06db"/>
            <w:lock w:val="sdtLocked"/>
            <w:richText/>
          </w:sdtPr>
          <w:sdtContent>
            <w:p>
              <w:pPr>
                <w:widowControl w:val="0"/>
                <w:tabs>
                  <w:tab w:val="center" w:pos="0"/>
                  <w:tab w:val="center" w:pos="4153"/>
                  <w:tab w:val="left" w:pos="7230"/>
                  <w:tab w:val="right" w:pos="8306"/>
                </w:tabs>
                <w:suppressAutoHyphens/>
                <w:jc w:val="center"/>
                <w:rPr>
                  <w:rFonts w:eastAsia="Arial Unicode MS"/>
                  <w:szCs w:val="24"/>
                  <w:lang w:eastAsia="lt-LT"/>
                </w:rPr>
              </w:pPr>
              <w:r>
                <w:rPr>
                  <w:rFonts w:eastAsia="Arial Unicode MS"/>
                  <w:szCs w:val="24"/>
                  <w:lang w:eastAsia="lt-LT"/>
                </w:rPr>
                <w:t>_________________</w:t>
              </w:r>
            </w:p>
          </w:sdtContent>
        </w:sdt>
      </w:sdtContent>
    </w:sdt>
    <w:sectPr>
      <w:footnotePr>
        <w:pos w:val="beneathText"/>
      </w:footnotePr>
      <w:type w:val="continuous"/>
      <w:pgSz w:w="16837" w:h="11905" w:orient="landscape"/>
      <w:pgMar w:top="1134" w:right="1134" w:bottom="1134" w:left="1134" w:header="567" w:footer="567" w:gutter="0"/>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09"/>
  <w:hyphenationZone w:val="396"/>
  <w:doNotHyphenateCaps/>
  <w:drawingGridHorizontalSpacing w:val="0"/>
  <w:drawingGridVerticalSpacing w:val="0"/>
  <w:displayHorizontalDrawingGridEvery w:val="0"/>
  <w:displayVerticalDrawingGridEvery w:val="0"/>
  <w:doNotUseMarginsForDrawingGridOrigin/>
  <w:noPunctuationKerning/>
  <w:characterSpacingControl w:val="doNotCompress"/>
  <w:strictFirstAndLastChars/>
  <w:footnotePr>
    <w:pos w:val="beneathText"/>
  </w:foot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0C7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14D65C2-84EC-4B2D-800F-E7CA0324B80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encoding w:val="windows-1252"/>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08057CD66624FE4F809517943CCCE640" ma:contentTypeVersion="14" ma:contentTypeDescription="Kurkite naują dokumentą." ma:contentTypeScope="" ma:versionID="54f1fe954f9928fb61a8bd69a4f9d667">
  <xsd:schema xmlns:xsd="http://www.w3.org/2001/XMLSchema" xmlns:xs="http://www.w3.org/2001/XMLSchema" xmlns:p="http://schemas.microsoft.com/office/2006/metadata/properties" xmlns:ns2="438086d8-68c4-44e0-a2b1-9b1caa3431be" xmlns:ns3="fde158db-9ad6-4e48-b618-6abd2e808126" targetNamespace="http://schemas.microsoft.com/office/2006/metadata/properties" ma:root="true" ma:fieldsID="0854e9e44ed6f3e9e2bc17563946b85f" ns2:_="" ns3:_="">
    <xsd:import namespace="438086d8-68c4-44e0-a2b1-9b1caa3431be"/>
    <xsd:import namespace="fde158db-9ad6-4e48-b618-6abd2e8081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8086d8-68c4-44e0-a2b1-9b1caa3431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de158db-9ad6-4e48-b618-6abd2e808126"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be93e05b-c2b8-40c6-a973-13c4fa7f8f3d}" ma:internalName="TaxCatchAll" ma:showField="CatchAllData" ma:web="fde158db-9ad6-4e48-b618-6abd2e80812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de158db-9ad6-4e48-b618-6abd2e808126" xsi:nil="true"/>
    <lcf76f155ced4ddcb4097134ff3c332f xmlns="438086d8-68c4-44e0-a2b1-9b1caa3431be">
      <Terms xmlns="http://schemas.microsoft.com/office/infopath/2007/PartnerControls"/>
    </lcf76f155ced4ddcb4097134ff3c332f>
    <SharedWithUsers xmlns="fde158db-9ad6-4e48-b618-6abd2e808126">
      <UserInfo>
        <DisplayName>Vilija Augutavičienė</DisplayName>
        <AccountId>7</AccountId>
        <AccountType/>
      </UserInfo>
      <UserInfo>
        <DisplayName>Tomas Aukštinaitis</DisplayName>
        <AccountId>22</AccountId>
        <AccountType/>
      </UserInfo>
    </SharedWithUsers>
  </documentManagement>
</p:properties>
</file>

<file path=customXml/item4.xml><?xml version="1.0" encoding="utf-8"?>
<Parts xmlns="http://lrs.lt/TAIS/DocParts">
  <Part Type="lentele" DocPartId="f5d05299e41b42f392c5af1b80097fb8" PartId="38b7c6587b0c47b29d72663ca65c795d">
    <Part Type="pabaiga" DocPartId="efe74b5b0ef746ec8be835732e990620" PartId="271c82e7f5244d86ba6867db4ddd06db"/>
  </Part>
</Parts>
</file>

<file path=customXml/itemProps1.xml><?xml version="1.0" encoding="utf-8"?>
<ds:datastoreItem xmlns:ds="http://schemas.openxmlformats.org/officeDocument/2006/customXml" ds:itemID="{A3ECA488-EBE5-4BA2-BFC4-702C375FFC2E}">
  <ds:schemaRefs>
    <ds:schemaRef ds:uri="http://schemas.microsoft.com/sharepoint/v3/contenttype/forms"/>
  </ds:schemaRefs>
</ds:datastoreItem>
</file>

<file path=customXml/itemProps2.xml><?xml version="1.0" encoding="utf-8"?>
<ds:datastoreItem xmlns:ds="http://schemas.openxmlformats.org/officeDocument/2006/customXml" ds:itemID="{CEFEF1C1-432C-44B5-B972-EE9E381C89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8086d8-68c4-44e0-a2b1-9b1caa3431be"/>
    <ds:schemaRef ds:uri="fde158db-9ad6-4e48-b618-6abd2e8081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DC82E2-640E-439A-A99B-5266AC6D188D}">
  <ds:schemaRefs>
    <ds:schemaRef ds:uri="http://schemas.microsoft.com/office/infopath/2007/PartnerControls"/>
    <ds:schemaRef ds:uri="http://schemas.microsoft.com/office/2006/documentManagement/types"/>
    <ds:schemaRef ds:uri="http://purl.org/dc/dcmitype/"/>
    <ds:schemaRef ds:uri="http://schemas.openxmlformats.org/package/2006/metadata/core-properties"/>
    <ds:schemaRef ds:uri="http://schemas.microsoft.com/office/2006/metadata/properties"/>
    <ds:schemaRef ds:uri="438086d8-68c4-44e0-a2b1-9b1caa3431be"/>
    <ds:schemaRef ds:uri="fde158db-9ad6-4e48-b618-6abd2e808126"/>
    <ds:schemaRef ds:uri="http://www.w3.org/XML/1998/namespace"/>
    <ds:schemaRef ds:uri="http://purl.org/dc/terms/"/>
    <ds:schemaRef ds:uri="http://purl.org/dc/elements/1.1/"/>
  </ds:schemaRefs>
</ds:datastoreItem>
</file>

<file path=customXml/itemProps4.xml><?xml version="1.0" encoding="utf-8"?>
<ds:datastoreItem xmlns:ds="http://schemas.openxmlformats.org/officeDocument/2006/customXml" ds:itemID="{467F4675-578F-4982-83C0-032118C0CE5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1414</Words>
  <Characters>9336</Characters>
  <Application>Microsoft Office Word</Application>
  <DocSecurity>4</DocSecurity>
  <Lines>212</Lines>
  <Paragraphs>88</Paragraphs>
  <ScaleCrop>false</ScaleCrop>
  <Company>LRV kanceliarija</Company>
  <LinksUpToDate>false</LinksUpToDate>
  <CharactersWithSpaces>10662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2026-03-27T06:24:00Z</dcterms:created>
  <dc:creator>Jevgenija Jankevič</dc:creator>
  <lastModifiedBy>adlibuser</lastModifiedBy>
  <lastPrinted>2008-03-17T03:18:00Z</lastPrinted>
  <dcterms:modified xsi:type="dcterms:W3CDTF">2026-03-27T06:24:00Z</dcterms:modified>
  <revision>2</revision>
  <dc:title>REGLAMENTO IR LIETUVOS RESPUBLIKOS NACIONALINIO TEISĖS AKTO PROJEKTO ATITIKTIES LENTELĖ</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0x01010008057CD66624FE4F809517943CCCE640</vt:lpwstr>
  </property>
  <property fmtid="{D5CDD505-2E9C-101B-9397-08002B2CF9AE}" pid="3" name="MediaServiceImageTags">
    <vt:lpwstr/>
  </property>
</Properties>
</file>