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19be2bc0b8d443a0a128bb03ff37290d"/>
        <w:lock w:val="sdtLocked"/>
        <w:richText/>
      </w:sdtPr>
      <w:sdtContent>
        <w:p w14:paraId="27CE9D43" w14:textId="77777777">
          <w:pPr>
            <w:rPr>
              <w:sz w:val="22"/>
              <w:szCs w:val="22"/>
            </w:rPr>
          </w:pPr>
        </w:p>
        <w:p w14:paraId="33877FA7" w14:textId="721E0AFB">
          <w:pPr>
            <w:jc w:val="center"/>
            <w:rPr>
              <w:rFonts w:eastAsia="Arial Unicode MS"/>
              <w:b/>
              <w:bCs/>
              <w:sz w:val="22"/>
              <w:szCs w:val="22"/>
              <w:lang w:eastAsia="lt-LT"/>
            </w:rPr>
          </w:pPr>
          <w:r>
            <w:rPr>
              <w:rFonts w:eastAsia="Arial Unicode MS"/>
              <w:b/>
              <w:bCs/>
              <w:sz w:val="22"/>
              <w:szCs w:val="22"/>
              <w:lang w:eastAsia="lt-LT"/>
            </w:rPr>
            <w:t>REGLAMENTO (ES) 2024/1366 IR LIETUVOS RESPUBLIKOS</w:t>
          </w:r>
        </w:p>
        <w:p w14:paraId="5AA3AE86" w14:textId="7038EA1B">
          <w:pPr>
            <w:jc w:val="center"/>
            <w:rPr>
              <w:sz w:val="22"/>
              <w:szCs w:val="22"/>
            </w:rPr>
          </w:pPr>
          <w:r>
            <w:rPr>
              <w:rFonts w:eastAsia="Arial Unicode MS"/>
              <w:b/>
              <w:bCs/>
              <w:sz w:val="22"/>
              <w:szCs w:val="22"/>
              <w:lang w:eastAsia="lt-LT"/>
            </w:rPr>
            <w:t>ELEKTROS ENERGETIKOS ĮSTATYMO NR. VIII-1881 2, 9, 16, 17, 21</w:t>
          </w:r>
          <w:r>
            <w:rPr>
              <w:rFonts w:eastAsia="Arial Unicode MS"/>
              <w:b/>
              <w:bCs/>
              <w:sz w:val="22"/>
              <w:szCs w:val="22"/>
              <w:vertAlign w:val="superscript"/>
              <w:lang w:eastAsia="lt-LT"/>
            </w:rPr>
            <w:t>1</w:t>
          </w:r>
          <w:r>
            <w:rPr>
              <w:rFonts w:eastAsia="Arial Unicode MS"/>
              <w:b/>
              <w:bCs/>
              <w:sz w:val="22"/>
              <w:szCs w:val="22"/>
              <w:lang w:eastAsia="lt-LT"/>
            </w:rPr>
            <w:t>, 31, 39, 48</w:t>
          </w:r>
          <w:r>
            <w:rPr>
              <w:rFonts w:eastAsia="Arial Unicode MS"/>
              <w:b/>
              <w:bCs/>
              <w:sz w:val="22"/>
              <w:szCs w:val="22"/>
              <w:vertAlign w:val="superscript"/>
              <w:lang w:eastAsia="lt-LT"/>
            </w:rPr>
            <w:t>2</w:t>
          </w:r>
          <w:r>
            <w:rPr>
              <w:rFonts w:eastAsia="Arial Unicode MS"/>
              <w:b/>
              <w:bCs/>
              <w:sz w:val="22"/>
              <w:szCs w:val="22"/>
              <w:lang w:eastAsia="lt-LT"/>
            </w:rPr>
            <w:t>, 48</w:t>
          </w:r>
          <w:r>
            <w:rPr>
              <w:rFonts w:eastAsia="Arial Unicode MS"/>
              <w:b/>
              <w:bCs/>
              <w:sz w:val="22"/>
              <w:szCs w:val="22"/>
              <w:vertAlign w:val="superscript"/>
              <w:lang w:eastAsia="lt-LT"/>
            </w:rPr>
            <w:t>6</w:t>
          </w:r>
          <w:r>
            <w:rPr>
              <w:rFonts w:eastAsia="Arial Unicode MS"/>
              <w:b/>
              <w:bCs/>
              <w:sz w:val="22"/>
              <w:szCs w:val="22"/>
              <w:lang w:eastAsia="lt-LT"/>
            </w:rPr>
            <w:t>, 70, 73</w:t>
          </w:r>
          <w:r>
            <w:rPr>
              <w:rFonts w:eastAsia="Arial Unicode MS"/>
              <w:b/>
              <w:bCs/>
              <w:sz w:val="22"/>
              <w:szCs w:val="22"/>
              <w:vertAlign w:val="superscript"/>
              <w:lang w:eastAsia="lt-LT"/>
            </w:rPr>
            <w:t>3</w:t>
          </w:r>
          <w:r>
            <w:rPr>
              <w:rFonts w:eastAsia="Arial Unicode MS"/>
              <w:b/>
              <w:bCs/>
              <w:sz w:val="22"/>
              <w:szCs w:val="22"/>
              <w:lang w:eastAsia="lt-LT"/>
            </w:rPr>
            <w:t xml:space="preserve"> STRAIPSNIŲ, PRIEDO PAKEITIMO IR ĮSTATYMO PAPILDYMO 73</w:t>
          </w:r>
          <w:r>
            <w:rPr>
              <w:rFonts w:eastAsia="Arial Unicode MS"/>
              <w:b/>
              <w:bCs/>
              <w:sz w:val="22"/>
              <w:szCs w:val="22"/>
              <w:vertAlign w:val="superscript"/>
              <w:lang w:eastAsia="lt-LT"/>
            </w:rPr>
            <w:t>4</w:t>
          </w:r>
          <w:r>
            <w:rPr>
              <w:rFonts w:eastAsia="Arial Unicode MS"/>
              <w:b/>
              <w:bCs/>
              <w:sz w:val="22"/>
              <w:szCs w:val="22"/>
              <w:lang w:eastAsia="lt-LT"/>
            </w:rPr>
            <w:t xml:space="preserve"> STRAIPSNIU </w:t>
          </w:r>
          <w:r>
            <w:rPr>
              <w:b/>
              <w:bCs/>
              <w:sz w:val="22"/>
              <w:szCs w:val="22"/>
            </w:rPr>
            <w:t>PROJEKTO ATITIKTIES LENTELĖ</w:t>
          </w:r>
        </w:p>
        <w:p w14:paraId="43A16EF0" w14:textId="546B31DB">
          <w:pPr>
            <w:widowControl w:val="0"/>
            <w:suppressAutoHyphens/>
            <w:jc w:val="center"/>
            <w:rPr>
              <w:sz w:val="22"/>
              <w:szCs w:val="22"/>
            </w:rPr>
          </w:pPr>
        </w:p>
        <w:tbl>
          <w:tblPr>
            <w:tblW w:w="14970" w:type="dxa"/>
            <w:tblInd w:w="197" w:type="dxa"/>
            <w:tblLayout w:type="fixed"/>
            <w:tblCellMar>
              <w:top w:w="55" w:type="dxa"/>
              <w:left w:w="55" w:type="dxa"/>
              <w:bottom w:w="55" w:type="dxa"/>
              <w:right w:w="55" w:type="dxa"/>
            </w:tblCellMar>
            <w:tblLook w:val="0000" w:firstRow="0" w:lastRow="0" w:firstColumn="0" w:lastColumn="0" w:noHBand="0" w:noVBand="0"/>
          </w:tblPr>
          <w:tblGrid>
            <w:gridCol w:w="5189"/>
            <w:gridCol w:w="8221"/>
            <w:gridCol w:w="1560"/>
          </w:tblGrid>
          <w:tr w14:paraId="7FB302F0" w14:textId="77777777">
            <w:trPr>
              <w:trHeight w:val="114"/>
            </w:trPr>
            <w:tc>
              <w:tcPr>
                <w:tcW w:w="5189" w:type="dxa"/>
                <w:tcBorders>
                  <w:top w:val="single" w:sz="1" w:space="0" w:color="000000" w:themeColor="text1"/>
                  <w:left w:val="single" w:sz="1" w:space="0" w:color="000000" w:themeColor="text1"/>
                  <w:bottom w:val="single" w:sz="1" w:space="0" w:color="000000" w:themeColor="text1"/>
                </w:tcBorders>
              </w:tcPr>
              <w:p w14:paraId="2329CEAC" w14:textId="3AB62F9A">
                <w:pPr>
                  <w:tabs>
                    <w:tab w:val="left" w:pos="990"/>
                  </w:tabs>
                  <w:jc w:val="both"/>
                  <w:rPr>
                    <w:b/>
                    <w:bCs/>
                    <w:sz w:val="22"/>
                    <w:szCs w:val="22"/>
                  </w:rPr>
                </w:pPr>
                <w:r>
                  <w:rPr>
                    <w:b/>
                    <w:bCs/>
                    <w:sz w:val="22"/>
                    <w:szCs w:val="22"/>
                  </w:rPr>
                  <w:t xml:space="preserve">2024 m. kovo 11 d. Komisijos deleguotasis reglamentas </w:t>
                </w:r>
                <w:fldSimple w:instr="HYPERLINK http://eur-lex.europa.eu/legal-content/LIT/TXT/?uri=CELEX:32024R1366&amp;locale=lt \t _blank">
                  <w:r>
                    <w:rPr>
                      <w:b/>
                      <w:bCs/>
                      <w:sz w:val="22"/>
                      <w:szCs w:val="22"/>
                      <w:u w:val="single"/>
                      <w:color w:val="0000FF" w:themeColor="hyperlink"/>
                    </w:rPr>
                    <w:t>(ES) 2024/1366</w:t>
                  </w:r>
                </w:fldSimple>
                <w:r>
                  <w:rPr>
                    <w:b/>
                    <w:bCs/>
                    <w:sz w:val="22"/>
                    <w:szCs w:val="22"/>
                  </w:rPr>
                  <w:t xml:space="preserve">, kuriuo Europos Parlamento ir Tarybos reglamentas </w:t>
                </w:r>
                <w:fldSimple w:instr="HYPERLINK http://eur-lex.europa.eu/legal-content/LIT/TXT/?uri=CELEX:32019R0943&amp;locale=lt \t _blank">
                  <w:r>
                    <w:rPr>
                      <w:b/>
                      <w:bCs/>
                      <w:sz w:val="22"/>
                      <w:szCs w:val="22"/>
                      <w:u w:val="single"/>
                      <w:color w:val="0000FF" w:themeColor="hyperlink"/>
                    </w:rPr>
                    <w:t>(ES) 2019/943</w:t>
                  </w:r>
                </w:fldSimple>
                <w:r>
                  <w:rPr>
                    <w:b/>
                    <w:bCs/>
                    <w:sz w:val="22"/>
                    <w:szCs w:val="22"/>
                  </w:rPr>
                  <w:t xml:space="preserve"> papildomas, nustatant tinklo kodeksą dėl tarpvalstybinių elektros energijos srautų kibernetinio saugumo aspektų sektorinių taisyklių.</w:t>
                </w:r>
              </w:p>
            </w:tc>
            <w:tc>
              <w:tcPr>
                <w:tcW w:w="8221" w:type="dxa"/>
                <w:tcBorders>
                  <w:top w:val="single" w:sz="1" w:space="0" w:color="000000" w:themeColor="text1"/>
                  <w:left w:val="single" w:sz="1" w:space="0" w:color="000000" w:themeColor="text1"/>
                  <w:bottom w:val="single" w:sz="1" w:space="0" w:color="000000" w:themeColor="text1"/>
                </w:tcBorders>
              </w:tcPr>
              <w:p w14:paraId="5AD92D37" w14:textId="2879B394">
                <w:pPr>
                  <w:rPr>
                    <w:rFonts w:eastAsia="Arial Unicode MS"/>
                    <w:b/>
                    <w:bCs/>
                    <w:sz w:val="22"/>
                    <w:szCs w:val="22"/>
                    <w:lang w:eastAsia="lt-LT"/>
                  </w:rPr>
                </w:pPr>
                <w:r>
                  <w:rPr>
                    <w:rFonts w:eastAsia="Arial Unicode MS"/>
                    <w:b/>
                    <w:bCs/>
                    <w:sz w:val="22"/>
                    <w:szCs w:val="22"/>
                    <w:lang w:eastAsia="lt-LT"/>
                  </w:rPr>
                  <w:t>LIETUVOS RESPUBLIKOS ELEKTROS ENERGETIKOS ĮSTATYMO NR. VIII-1881 2, 9, 16, 17, 21</w:t>
                </w:r>
                <w:r>
                  <w:rPr>
                    <w:rFonts w:eastAsia="Arial Unicode MS"/>
                    <w:b/>
                    <w:bCs/>
                    <w:sz w:val="22"/>
                    <w:szCs w:val="22"/>
                    <w:vertAlign w:val="superscript"/>
                    <w:lang w:eastAsia="lt-LT"/>
                  </w:rPr>
                  <w:t>1</w:t>
                </w:r>
                <w:r>
                  <w:rPr>
                    <w:rFonts w:eastAsia="Arial Unicode MS"/>
                    <w:b/>
                    <w:bCs/>
                    <w:sz w:val="22"/>
                    <w:szCs w:val="22"/>
                    <w:lang w:eastAsia="lt-LT"/>
                  </w:rPr>
                  <w:t>, 31, 39, 48</w:t>
                </w:r>
                <w:r>
                  <w:rPr>
                    <w:rFonts w:eastAsia="Arial Unicode MS"/>
                    <w:b/>
                    <w:bCs/>
                    <w:sz w:val="22"/>
                    <w:szCs w:val="22"/>
                    <w:vertAlign w:val="superscript"/>
                    <w:lang w:eastAsia="lt-LT"/>
                  </w:rPr>
                  <w:t>2</w:t>
                </w:r>
                <w:r>
                  <w:rPr>
                    <w:rFonts w:eastAsia="Arial Unicode MS"/>
                    <w:b/>
                    <w:bCs/>
                    <w:sz w:val="22"/>
                    <w:szCs w:val="22"/>
                    <w:lang w:eastAsia="lt-LT"/>
                  </w:rPr>
                  <w:t>, 48</w:t>
                </w:r>
                <w:r>
                  <w:rPr>
                    <w:rFonts w:eastAsia="Arial Unicode MS"/>
                    <w:b/>
                    <w:bCs/>
                    <w:sz w:val="22"/>
                    <w:szCs w:val="22"/>
                    <w:vertAlign w:val="superscript"/>
                    <w:lang w:eastAsia="lt-LT"/>
                  </w:rPr>
                  <w:t>6</w:t>
                </w:r>
                <w:r>
                  <w:rPr>
                    <w:rFonts w:eastAsia="Arial Unicode MS"/>
                    <w:b/>
                    <w:bCs/>
                    <w:sz w:val="22"/>
                    <w:szCs w:val="22"/>
                    <w:lang w:eastAsia="lt-LT"/>
                  </w:rPr>
                  <w:t>, 70, 73</w:t>
                </w:r>
                <w:r>
                  <w:rPr>
                    <w:rFonts w:eastAsia="Arial Unicode MS"/>
                    <w:b/>
                    <w:bCs/>
                    <w:sz w:val="22"/>
                    <w:szCs w:val="22"/>
                    <w:vertAlign w:val="superscript"/>
                    <w:lang w:eastAsia="lt-LT"/>
                  </w:rPr>
                  <w:t>3</w:t>
                </w:r>
                <w:r>
                  <w:rPr>
                    <w:rFonts w:eastAsia="Arial Unicode MS"/>
                    <w:b/>
                    <w:bCs/>
                    <w:sz w:val="22"/>
                    <w:szCs w:val="22"/>
                    <w:lang w:eastAsia="lt-LT"/>
                  </w:rPr>
                  <w:t xml:space="preserve"> STRAIPSNIŲ, PRIEDO PAKEITIMO IR ĮSTATYMO PAPILDYMO 73</w:t>
                </w:r>
                <w:r>
                  <w:rPr>
                    <w:rFonts w:eastAsia="Arial Unicode MS"/>
                    <w:b/>
                    <w:bCs/>
                    <w:sz w:val="22"/>
                    <w:szCs w:val="22"/>
                    <w:vertAlign w:val="superscript"/>
                    <w:lang w:eastAsia="lt-LT"/>
                  </w:rPr>
                  <w:t>4</w:t>
                </w:r>
                <w:r>
                  <w:rPr>
                    <w:rFonts w:eastAsia="Arial Unicode MS"/>
                    <w:b/>
                    <w:bCs/>
                    <w:sz w:val="22"/>
                    <w:szCs w:val="22"/>
                    <w:lang w:eastAsia="lt-LT"/>
                  </w:rPr>
                  <w:t xml:space="preserve"> STRAIPSNIU </w:t>
                </w:r>
                <w:r>
                  <w:rPr>
                    <w:b/>
                    <w:bCs/>
                    <w:sz w:val="22"/>
                    <w:szCs w:val="22"/>
                  </w:rPr>
                  <w:t>PROJEKTAS</w:t>
                </w:r>
                <w:r>
                  <w:rPr>
                    <w:rFonts w:eastAsia="Arial Unicode MS"/>
                    <w:b/>
                    <w:bCs/>
                    <w:sz w:val="22"/>
                    <w:szCs w:val="22"/>
                    <w:lang w:eastAsia="lt-LT"/>
                  </w:rPr>
                  <w:t xml:space="preserve"> </w:t>
                </w:r>
                <w:r>
                  <w:rPr>
                    <w:rFonts w:eastAsia="Arial Unicode MS"/>
                    <w:sz w:val="22"/>
                    <w:szCs w:val="22"/>
                    <w:lang w:eastAsia="lt-LT"/>
                  </w:rPr>
                  <w:t>(toliau – įstatymo projektas)</w:t>
                </w:r>
              </w:p>
            </w:tc>
            <w:tc>
              <w:tcPr>
                <w:tcW w:w="1560" w:type="dxa"/>
                <w:tcBorders>
                  <w:top w:val="single" w:sz="1" w:space="0" w:color="000000" w:themeColor="text1"/>
                  <w:left w:val="single" w:sz="1" w:space="0" w:color="000000" w:themeColor="text1"/>
                  <w:bottom w:val="single" w:sz="2" w:space="0" w:color="000000" w:themeColor="text1"/>
                  <w:right w:val="single" w:sz="1" w:space="0" w:color="000000" w:themeColor="text1"/>
                </w:tcBorders>
              </w:tcPr>
              <w:p w14:paraId="54F96C0D" w14:textId="3BEC803A">
                <w:pPr>
                  <w:widowControl w:val="0"/>
                  <w:suppressAutoHyphens/>
                  <w:jc w:val="both"/>
                  <w:rPr>
                    <w:rFonts w:eastAsia="Arial Unicode MS"/>
                    <w:b/>
                    <w:bCs/>
                    <w:sz w:val="22"/>
                    <w:szCs w:val="22"/>
                    <w:lang w:eastAsia="lt-LT"/>
                  </w:rPr>
                </w:pPr>
                <w:r>
                  <w:rPr>
                    <w:rFonts w:eastAsia="Arial Unicode MS"/>
                    <w:b/>
                    <w:bCs/>
                    <w:sz w:val="22"/>
                    <w:szCs w:val="22"/>
                    <w:lang w:eastAsia="lt-LT"/>
                  </w:rPr>
                  <w:t>ES teisės akto įgyvendinimo lygis</w:t>
                </w:r>
              </w:p>
            </w:tc>
          </w:tr>
          <w:tr w14:paraId="73DA3900" w14:textId="77777777">
            <w:trPr>
              <w:trHeight w:val="300"/>
            </w:trPr>
            <w:tc>
              <w:tcPr>
                <w:tcW w:w="5189" w:type="dxa"/>
                <w:tcBorders>
                  <w:top w:val="single" w:sz="4" w:space="0" w:color="auto"/>
                  <w:left w:val="single" w:sz="2" w:space="0" w:color="000000" w:themeColor="text1"/>
                  <w:bottom w:val="single" w:sz="4" w:space="0" w:color="auto"/>
                  <w:right w:val="single" w:sz="2" w:space="0" w:color="000000" w:themeColor="text1"/>
                </w:tcBorders>
              </w:tcPr>
              <w:p w14:paraId="2ED23ECE" w14:textId="77777777">
                <w:pPr>
                  <w:jc w:val="both"/>
                  <w:rPr>
                    <w:color w:val="333333"/>
                    <w:sz w:val="22"/>
                    <w:szCs w:val="22"/>
                  </w:rPr>
                </w:pPr>
                <w:r>
                  <w:rPr>
                    <w:color w:val="333333"/>
                    <w:sz w:val="22"/>
                    <w:szCs w:val="22"/>
                  </w:rPr>
                  <w:t>4 straipsnis</w:t>
                </w:r>
              </w:p>
              <w:p w14:paraId="52C02E91" w14:textId="77777777">
                <w:pPr>
                  <w:jc w:val="both"/>
                  <w:rPr>
                    <w:color w:val="333333"/>
                    <w:sz w:val="22"/>
                    <w:szCs w:val="22"/>
                  </w:rPr>
                </w:pPr>
              </w:p>
              <w:p w14:paraId="31C74053" w14:textId="77777777">
                <w:pPr>
                  <w:jc w:val="both"/>
                  <w:rPr>
                    <w:color w:val="333333"/>
                    <w:sz w:val="22"/>
                    <w:szCs w:val="22"/>
                  </w:rPr>
                </w:pPr>
                <w:r>
                  <w:rPr>
                    <w:color w:val="333333"/>
                    <w:sz w:val="22"/>
                    <w:szCs w:val="22"/>
                  </w:rPr>
                  <w:t>Kompetentinga institucija</w:t>
                </w:r>
              </w:p>
              <w:p w14:paraId="43FB8D37" w14:textId="77777777">
                <w:pPr>
                  <w:jc w:val="both"/>
                  <w:rPr>
                    <w:color w:val="333333"/>
                    <w:sz w:val="22"/>
                    <w:szCs w:val="22"/>
                  </w:rPr>
                </w:pPr>
              </w:p>
              <w:p w14:paraId="265F9A25" w14:textId="24654163">
                <w:pPr>
                  <w:jc w:val="both"/>
                  <w:rPr>
                    <w:color w:val="333333"/>
                    <w:sz w:val="22"/>
                    <w:szCs w:val="22"/>
                  </w:rPr>
                </w:pPr>
                <w:r>
                  <w:rPr>
                    <w:color w:val="333333"/>
                    <w:sz w:val="22"/>
                    <w:szCs w:val="22"/>
                  </w:rPr>
                  <w:t xml:space="preserve">1.   Kiekviena valstybė narė kuo greičiau ir bet kuriuo atveju ne vėliau kaip 2024 m. gruodžio 13 d. paskiria nacionalinę valdžios ar reguliavimo instituciją, atsakingą už šiuo reglamentu jai pavestų užduočių vykdymą (toliau – kompetentinga institucija). Kol kompetentingai institucijai bus pavesta vykdyti užduotis pagal šį reglamentą, jos užduotis pagal šį reglamentą vykdo kiekvienos valstybės narės pagal Direktyvos </w:t>
                </w:r>
                <w:fldSimple w:instr="HYPERLINK http://eur-lex.europa.eu/legal-content/LIT/TXT/?uri=CELEX:32019L0944&amp;locale=lt \t _blank">
                  <w:r>
                    <w:rPr>
                      <w:color w:val="0000FF" w:themeColor="hyperlink"/>
                      <w:sz w:val="22"/>
                      <w:szCs w:val="22"/>
                      <w:u w:val="single"/>
                    </w:rPr>
                    <w:t>(ES) 2019/944</w:t>
                  </w:r>
                </w:fldSimple>
                <w:r>
                  <w:rPr>
                    <w:color w:val="333333"/>
                    <w:sz w:val="22"/>
                    <w:szCs w:val="22"/>
                  </w:rPr>
                  <w:t xml:space="preserve"> 57 straipsnio 1 dalį paskirta reguliavimo institucija.</w:t>
                </w:r>
              </w:p>
            </w:tc>
            <w:tc>
              <w:tcPr>
                <w:tcW w:w="8221" w:type="dxa"/>
                <w:tcBorders>
                  <w:top w:val="single" w:sz="4" w:space="0" w:color="auto"/>
                  <w:left w:val="single" w:sz="2" w:space="0" w:color="000000" w:themeColor="text1"/>
                  <w:bottom w:val="single" w:sz="4" w:space="0" w:color="auto"/>
                  <w:right w:val="single" w:sz="2" w:space="0" w:color="000000" w:themeColor="text1"/>
                </w:tcBorders>
              </w:tcPr>
              <w:p w14:paraId="7B3ABE7D" w14:textId="1D8C39C8">
                <w:pPr>
                  <w:tabs>
                    <w:tab w:val="left" w:pos="709"/>
                    <w:tab w:val="left" w:pos="993"/>
                  </w:tabs>
                  <w:jc w:val="both"/>
                  <w:rPr>
                    <w:sz w:val="22"/>
                    <w:szCs w:val="22"/>
                    <w:lang w:val="lt"/>
                  </w:rPr>
                </w:pPr>
                <w:r>
                  <w:rPr>
                    <w:sz w:val="22"/>
                    <w:szCs w:val="22"/>
                    <w:lang w:val="lt"/>
                  </w:rPr>
                  <w:t xml:space="preserve">Įstatymo projekto </w:t>
                </w:r>
              </w:p>
              <w:p w14:paraId="5A3BC6AE" w14:textId="77777777">
                <w:pPr>
                  <w:ind w:firstLine="720"/>
                  <w:jc w:val="both"/>
                  <w:rPr>
                    <w:rFonts w:eastAsia="Calibri"/>
                    <w:b/>
                    <w:bCs/>
                    <w:szCs w:val="24"/>
                  </w:rPr>
                </w:pPr>
                <w:r>
                  <w:rPr>
                    <w:b/>
                    <w:szCs w:val="24"/>
                    <w:lang w:eastAsia="lt-LT"/>
                  </w:rPr>
                  <w:t>15</w:t>
                </w:r>
                <w:r>
                  <w:rPr>
                    <w:bCs/>
                    <w:szCs w:val="24"/>
                    <w:lang w:eastAsia="lt-LT"/>
                  </w:rPr>
                  <w:t xml:space="preserve"> </w:t>
                </w:r>
                <w:r>
                  <w:rPr>
                    <w:rFonts w:eastAsia="Calibri"/>
                    <w:b/>
                    <w:bCs/>
                    <w:szCs w:val="24"/>
                  </w:rPr>
                  <w:t>straipsnis. Įstatymo papildymas 73</w:t>
                </w:r>
                <w:r>
                  <w:rPr>
                    <w:rFonts w:eastAsia="Calibri"/>
                    <w:b/>
                    <w:bCs/>
                    <w:szCs w:val="24"/>
                    <w:vertAlign w:val="superscript"/>
                  </w:rPr>
                  <w:t xml:space="preserve">4 </w:t>
                </w:r>
                <w:r>
                  <w:rPr>
                    <w:rFonts w:eastAsia="Calibri"/>
                    <w:b/>
                    <w:bCs/>
                    <w:szCs w:val="24"/>
                  </w:rPr>
                  <w:t>straipsniu</w:t>
                </w:r>
              </w:p>
              <w:p w14:paraId="4241D6A1" w14:textId="77777777">
                <w:pPr>
                  <w:ind w:firstLine="720"/>
                  <w:jc w:val="both"/>
                  <w:rPr>
                    <w:rFonts w:eastAsia="Calibri"/>
                    <w:b/>
                    <w:bCs/>
                    <w:szCs w:val="24"/>
                  </w:rPr>
                </w:pPr>
                <w:r>
                  <w:rPr>
                    <w:rFonts w:eastAsia="Calibri"/>
                    <w:b/>
                    <w:bCs/>
                    <w:szCs w:val="24"/>
                  </w:rPr>
                  <w:t>Papildyti Įstatymą 73</w:t>
                </w:r>
                <w:r>
                  <w:rPr>
                    <w:rFonts w:eastAsia="Calibri"/>
                    <w:b/>
                    <w:bCs/>
                    <w:szCs w:val="24"/>
                    <w:vertAlign w:val="superscript"/>
                  </w:rPr>
                  <w:t>4</w:t>
                </w:r>
                <w:r>
                  <w:rPr>
                    <w:rFonts w:eastAsia="Calibri"/>
                    <w:b/>
                    <w:bCs/>
                    <w:szCs w:val="24"/>
                  </w:rPr>
                  <w:t xml:space="preserve"> straipsniu:</w:t>
                </w:r>
              </w:p>
              <w:p w14:paraId="72D3BB06" w14:textId="77777777">
                <w:pPr>
                  <w:ind w:left="2430" w:hanging="1710"/>
                  <w:jc w:val="both"/>
                  <w:rPr>
                    <w:rFonts w:eastAsia="Calibri"/>
                    <w:b/>
                    <w:bCs/>
                    <w:szCs w:val="24"/>
                  </w:rPr>
                </w:pPr>
                <w:r>
                  <w:rPr>
                    <w:rFonts w:eastAsia="Calibri"/>
                    <w:szCs w:val="24"/>
                  </w:rPr>
                  <w:t>„</w:t>
                </w:r>
                <w:r>
                  <w:rPr>
                    <w:rFonts w:eastAsia="Calibri"/>
                    <w:b/>
                    <w:bCs/>
                    <w:szCs w:val="24"/>
                  </w:rPr>
                  <w:t>73</w:t>
                </w:r>
                <w:r>
                  <w:rPr>
                    <w:rFonts w:eastAsia="Calibri"/>
                    <w:b/>
                    <w:bCs/>
                    <w:szCs w:val="24"/>
                    <w:vertAlign w:val="superscript"/>
                  </w:rPr>
                  <w:t xml:space="preserve">4 </w:t>
                </w:r>
                <w:r>
                  <w:rPr>
                    <w:rFonts w:eastAsia="Calibri"/>
                    <w:b/>
                    <w:bCs/>
                    <w:szCs w:val="24"/>
                  </w:rPr>
                  <w:t>straipsnis. Tarpvalstybinių elektros energijos srautų kibernetinio saugumo užtikrinimas</w:t>
                </w:r>
              </w:p>
              <w:p w14:paraId="7C612BED" w14:textId="175FC6E5">
                <w:pPr>
                  <w:tabs>
                    <w:tab w:val="left" w:pos="709"/>
                    <w:tab w:val="left" w:pos="993"/>
                  </w:tabs>
                  <w:jc w:val="both"/>
                  <w:rPr>
                    <w:sz w:val="22"/>
                    <w:szCs w:val="22"/>
                  </w:rPr>
                </w:pPr>
                <w:r>
                  <w:rPr>
                    <w:rFonts w:eastAsia="Calibri"/>
                    <w:b/>
                    <w:szCs w:val="24"/>
                  </w:rPr>
                  <w:t>&lt;...&gt;</w:t>
                </w:r>
              </w:p>
              <w:p w14:paraId="110FE0EC" w14:textId="5B6F03D2">
                <w:pPr>
                  <w:ind w:firstLine="720"/>
                  <w:jc w:val="both"/>
                  <w:rPr>
                    <w:rFonts w:eastAsia="Calibri"/>
                    <w:b/>
                    <w:szCs w:val="24"/>
                  </w:rPr>
                </w:pPr>
                <w:r>
                  <w:rPr>
                    <w:rFonts w:eastAsia="Calibri"/>
                    <w:b/>
                    <w:szCs w:val="24"/>
                  </w:rPr>
                  <w:t xml:space="preserve">2. Kompetentinga institucija, atsakinga už Reglamente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nustatytų užduočių, susijusių su tarpvalstybinių elektros energijos srautų kibernetinio saugumo užtikrinimu, vykdymą, yra Taryba. Taryba vykdo Reglamento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5 straipsnyje nustatytas užduotis, nustato kandidatus į didelio poveikio ir ypatingos svarbos poveikio subjektus ir parengia preliminarų didelio poveikio ir ypatingos svarbos poveikio subjektų sąrašą pagal Reglamento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48 straipsnio 3 dalį, teikia nacionalinių teisės aktų, aktualių tarpvalstybinių elektros energijos srautų kibernetinio saugumo aspektams sąrašą pagal Reglamento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48 straipsnio 5 dalį, identifikuoja didelio poveikio ir ypatingos svarbos poveikio subjektus pagal Reglamento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24 straipsnį, tvirtina Reglamente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nurodytas metodikas, sąlygas, nuostatas, gavusi Nacionalinio kibernetinio saugumo centro išvadą.“</w:t>
                </w:r>
              </w:p>
              <w:p w14:paraId="3CA93CD5" w14:textId="643903AD">
                <w:pPr>
                  <w:ind w:firstLine="720"/>
                  <w:jc w:val="both"/>
                  <w:rPr>
                    <w:b/>
                    <w:bCs/>
                    <w:color w:val="000000"/>
                    <w:sz w:val="22"/>
                    <w:szCs w:val="22"/>
                  </w:rPr>
                </w:pPr>
              </w:p>
            </w:tc>
            <w:tc>
              <w:tcPr>
                <w:tcW w:w="1560" w:type="dxa"/>
                <w:tcBorders>
                  <w:top w:val="single" w:sz="4" w:space="0" w:color="auto"/>
                  <w:left w:val="single" w:sz="2" w:space="0" w:color="000000" w:themeColor="text1"/>
                  <w:bottom w:val="single" w:sz="4" w:space="0" w:color="auto"/>
                  <w:right w:val="single" w:sz="2" w:space="0" w:color="000000" w:themeColor="text1"/>
                </w:tcBorders>
              </w:tcPr>
              <w:p w14:paraId="438F847B" w14:textId="10A799B0">
                <w:pPr>
                  <w:jc w:val="both"/>
                  <w:rPr>
                    <w:rFonts w:eastAsia="Arial Unicode MS"/>
                    <w:b/>
                    <w:bCs/>
                    <w:sz w:val="22"/>
                    <w:szCs w:val="22"/>
                    <w:lang w:eastAsia="lt-LT"/>
                  </w:rPr>
                </w:pPr>
                <w:r>
                  <w:rPr>
                    <w:rFonts w:eastAsia="Arial Unicode MS"/>
                    <w:b/>
                    <w:bCs/>
                    <w:sz w:val="22"/>
                    <w:szCs w:val="22"/>
                    <w:lang w:eastAsia="lt-LT"/>
                  </w:rPr>
                  <w:t>Visiškas</w:t>
                </w:r>
              </w:p>
            </w:tc>
          </w:tr>
          <w:tr w14:paraId="5555966D" w14:textId="77777777">
            <w:trPr>
              <w:trHeight w:val="300"/>
            </w:trPr>
            <w:tc>
              <w:tcPr>
                <w:tcW w:w="5189" w:type="dxa"/>
                <w:tcBorders>
                  <w:top w:val="single" w:sz="4" w:space="0" w:color="auto"/>
                  <w:left w:val="single" w:sz="2" w:space="0" w:color="000000" w:themeColor="text1"/>
                  <w:bottom w:val="single" w:sz="4" w:space="0" w:color="auto"/>
                  <w:right w:val="single" w:sz="2" w:space="0" w:color="000000" w:themeColor="text1"/>
                </w:tcBorders>
              </w:tcPr>
              <w:p w14:paraId="4708D047" w14:textId="77777777">
                <w:pPr>
                  <w:jc w:val="both"/>
                  <w:rPr>
                    <w:color w:val="333333"/>
                    <w:sz w:val="22"/>
                    <w:szCs w:val="22"/>
                  </w:rPr>
                </w:pPr>
                <w:r>
                  <w:rPr>
                    <w:color w:val="333333"/>
                    <w:sz w:val="22"/>
                    <w:szCs w:val="22"/>
                  </w:rPr>
                  <w:t>5 straipsnis</w:t>
                </w:r>
              </w:p>
              <w:p w14:paraId="382B1E1E" w14:textId="77777777">
                <w:pPr>
                  <w:jc w:val="both"/>
                  <w:rPr>
                    <w:color w:val="333333"/>
                    <w:sz w:val="22"/>
                    <w:szCs w:val="22"/>
                  </w:rPr>
                </w:pPr>
              </w:p>
              <w:p w14:paraId="692F3512" w14:textId="77777777">
                <w:pPr>
                  <w:jc w:val="both"/>
                  <w:rPr>
                    <w:color w:val="333333"/>
                    <w:sz w:val="22"/>
                    <w:szCs w:val="22"/>
                  </w:rPr>
                </w:pPr>
                <w:r>
                  <w:rPr>
                    <w:color w:val="333333"/>
                    <w:sz w:val="22"/>
                    <w:szCs w:val="22"/>
                  </w:rPr>
                  <w:t>Atitinkamų institucijų ir įstaigų bendradarbiavimas nacionaliniu lygmeniu</w:t>
                </w:r>
              </w:p>
              <w:p w14:paraId="5313DB04" w14:textId="77777777">
                <w:pPr>
                  <w:jc w:val="both"/>
                  <w:rPr>
                    <w:color w:val="333333"/>
                    <w:sz w:val="22"/>
                    <w:szCs w:val="22"/>
                  </w:rPr>
                </w:pPr>
              </w:p>
              <w:p w14:paraId="15A93F63" w14:textId="3BC5FC60">
                <w:pPr>
                  <w:jc w:val="both"/>
                  <w:rPr>
                    <w:color w:val="333333"/>
                    <w:sz w:val="22"/>
                    <w:szCs w:val="22"/>
                  </w:rPr>
                </w:pPr>
                <w:r>
                  <w:rPr>
                    <w:color w:val="333333"/>
                    <w:sz w:val="22"/>
                    <w:szCs w:val="22"/>
                  </w:rPr>
                  <w:t>Kompetentingos institucijos koordinuoja ir užtikrina tinkamą už kibernetinį saugumą atsakingų kompetentingų institucijų, kibernetinių krizių valdymo institucijų, NRI, už pasirengimą valdyti riziką atsakingų kompetentingų institucijų ir CSIRT bendradarbiavimą, kad būtų vykdomos atitinkamos šiame reglamente nustatytos pareigos. Kompetentingos institucijos taip pat koordinuoja veiksmus su visomis kitomis įstaigomis ar institucijomis, kurias nustato kiekviena valstybė narė, siekdamos užtikrinti sklandžias procedūras ir išvengti užduočių ir pareigų dubliavimo. Kompetentingos institucijos gali nurodyti atitinkamoms NRI prašyti ACER pateikti nuomonę pagal 8 straipsnio 3 dalį.</w:t>
                </w:r>
              </w:p>
            </w:tc>
            <w:tc>
              <w:tcPr>
                <w:tcW w:w="8221" w:type="dxa"/>
                <w:tcBorders>
                  <w:top w:val="single" w:sz="4" w:space="0" w:color="auto"/>
                  <w:left w:val="single" w:sz="2" w:space="0" w:color="000000" w:themeColor="text1"/>
                  <w:bottom w:val="single" w:sz="4" w:space="0" w:color="auto"/>
                  <w:right w:val="single" w:sz="2" w:space="0" w:color="000000" w:themeColor="text1"/>
                </w:tcBorders>
              </w:tcPr>
              <w:p w14:paraId="24FD4DD4" w14:textId="77777777">
                <w:pPr>
                  <w:ind w:firstLine="567"/>
                  <w:jc w:val="both"/>
                  <w:rPr>
                    <w:rFonts w:eastAsia="Calibri"/>
                    <w:b/>
                    <w:bCs/>
                    <w:szCs w:val="24"/>
                  </w:rPr>
                </w:pPr>
                <w:r>
                  <w:rPr>
                    <w:rFonts w:eastAsia="Calibri"/>
                    <w:b/>
                    <w:bCs/>
                    <w:kern w:val="2"/>
                    <w:szCs w:val="24"/>
                    <w14:ligatures w14:val="standardContextual"/>
                  </w:rPr>
                  <w:t xml:space="preserve">2 straipsnis. </w:t>
                </w:r>
                <w:r>
                  <w:rPr>
                    <w:rFonts w:eastAsia="Calibri"/>
                    <w:b/>
                    <w:kern w:val="2"/>
                    <w:szCs w:val="24"/>
                    <w14:ligatures w14:val="standardContextual"/>
                  </w:rPr>
                  <w:t>9 straipsnio pakeitimas</w:t>
                </w:r>
              </w:p>
              <w:p w14:paraId="249F770A" w14:textId="77777777">
                <w:pPr>
                  <w:ind w:firstLine="567"/>
                  <w:jc w:val="both"/>
                  <w:rPr>
                    <w:rFonts w:eastAsia="Calibri"/>
                    <w:b/>
                    <w:bCs/>
                    <w:szCs w:val="24"/>
                  </w:rPr>
                </w:pPr>
                <w:r>
                  <w:rPr>
                    <w:rFonts w:eastAsia="Calibri"/>
                    <w:b/>
                    <w:bCs/>
                    <w:szCs w:val="24"/>
                  </w:rPr>
                  <w:t>Papildyti 9 straipsnio 3 dalį 51</w:t>
                </w:r>
                <w:r>
                  <w:rPr>
                    <w:rFonts w:eastAsia="Calibri"/>
                    <w:b/>
                    <w:bCs/>
                    <w:szCs w:val="24"/>
                    <w:vertAlign w:val="superscript"/>
                  </w:rPr>
                  <w:t>5</w:t>
                </w:r>
                <w:r>
                  <w:rPr>
                    <w:rFonts w:eastAsia="Calibri"/>
                    <w:b/>
                    <w:bCs/>
                    <w:szCs w:val="24"/>
                  </w:rPr>
                  <w:t xml:space="preserve"> punktu:</w:t>
                </w:r>
              </w:p>
              <w:p w14:paraId="14A676E1" w14:textId="76F029A6">
                <w:pPr>
                  <w:tabs>
                    <w:tab w:val="left" w:pos="709"/>
                    <w:tab w:val="left" w:pos="993"/>
                  </w:tabs>
                  <w:jc w:val="both"/>
                  <w:rPr>
                    <w:rFonts w:eastAsia="Calibri"/>
                    <w:szCs w:val="24"/>
                  </w:rPr>
                </w:pPr>
                <w:r>
                  <w:rPr>
                    <w:rFonts w:eastAsia="Calibri"/>
                    <w:b/>
                    <w:bCs/>
                    <w:szCs w:val="24"/>
                  </w:rPr>
                  <w:t>„51</w:t>
                </w:r>
                <w:r>
                  <w:rPr>
                    <w:rFonts w:eastAsia="Calibri"/>
                    <w:b/>
                    <w:bCs/>
                    <w:szCs w:val="24"/>
                    <w:vertAlign w:val="superscript"/>
                  </w:rPr>
                  <w:t>5</w:t>
                </w:r>
                <w:r>
                  <w:rPr>
                    <w:rFonts w:eastAsia="Calibri"/>
                    <w:b/>
                    <w:kern w:val="2"/>
                    <w:szCs w:val="24"/>
                    <w14:ligatures w14:val="standardContextual"/>
                  </w:rPr>
                  <w:t xml:space="preserve">) </w:t>
                </w:r>
                <w:r>
                  <w:rPr>
                    <w:rFonts w:eastAsia="Calibri"/>
                    <w:b/>
                    <w:bCs/>
                    <w:szCs w:val="24"/>
                  </w:rPr>
                  <w:t xml:space="preserve">atlieka atsakingų institucijų koordinavimą ir užtikrina jų bendradarbiavimą kaip reikalaujama pagal Reglamento </w:t>
                </w:r>
                <w:fldSimple w:instr="HYPERLINK http://eur-lex.europa.eu/legal-content/LIT/TXT/?uri=CELEX:32024R1366&amp;locale=lt \t _blank">
                  <w:r>
                    <w:rPr>
                      <w:rFonts w:eastAsia="Calibri"/>
                      <w:b/>
                      <w:bCs/>
                      <w:szCs w:val="24"/>
                      <w:u w:val="single"/>
                      <w:color w:val="0000FF" w:themeColor="hyperlink"/>
                    </w:rPr>
                    <w:t>(ES) 2024/1366</w:t>
                  </w:r>
                </w:fldSimple>
                <w:r>
                  <w:rPr>
                    <w:rFonts w:eastAsia="Calibri"/>
                    <w:b/>
                    <w:bCs/>
                    <w:szCs w:val="24"/>
                  </w:rPr>
                  <w:t xml:space="preserve"> 5 straipsnį</w:t>
                </w:r>
                <w:r>
                  <w:rPr>
                    <w:rFonts w:eastAsia="Calibri"/>
                    <w:szCs w:val="24"/>
                  </w:rPr>
                  <w:t>;“</w:t>
                </w:r>
              </w:p>
              <w:p w14:paraId="352392B8" w14:textId="77777777">
                <w:pPr>
                  <w:tabs>
                    <w:tab w:val="left" w:pos="709"/>
                    <w:tab w:val="left" w:pos="993"/>
                  </w:tabs>
                  <w:jc w:val="both"/>
                  <w:rPr>
                    <w:rFonts w:eastAsia="Calibri"/>
                    <w:szCs w:val="24"/>
                  </w:rPr>
                </w:pPr>
              </w:p>
              <w:p w14:paraId="73B40C15" w14:textId="77777777">
                <w:pPr>
                  <w:ind w:firstLine="720"/>
                  <w:jc w:val="both"/>
                  <w:rPr>
                    <w:rFonts w:eastAsia="Calibri"/>
                    <w:b/>
                    <w:bCs/>
                    <w:szCs w:val="24"/>
                  </w:rPr>
                </w:pPr>
                <w:r>
                  <w:rPr>
                    <w:b/>
                    <w:szCs w:val="24"/>
                    <w:lang w:eastAsia="lt-LT"/>
                  </w:rPr>
                  <w:t>15</w:t>
                </w:r>
                <w:r>
                  <w:rPr>
                    <w:bCs/>
                    <w:szCs w:val="24"/>
                    <w:lang w:eastAsia="lt-LT"/>
                  </w:rPr>
                  <w:t xml:space="preserve"> </w:t>
                </w:r>
                <w:r>
                  <w:rPr>
                    <w:rFonts w:eastAsia="Calibri"/>
                    <w:b/>
                    <w:bCs/>
                    <w:szCs w:val="24"/>
                  </w:rPr>
                  <w:t>straipsnis. Įstatymo papildymas 73</w:t>
                </w:r>
                <w:r>
                  <w:rPr>
                    <w:rFonts w:eastAsia="Calibri"/>
                    <w:b/>
                    <w:bCs/>
                    <w:szCs w:val="24"/>
                    <w:vertAlign w:val="superscript"/>
                  </w:rPr>
                  <w:t xml:space="preserve">4 </w:t>
                </w:r>
                <w:r>
                  <w:rPr>
                    <w:rFonts w:eastAsia="Calibri"/>
                    <w:b/>
                    <w:bCs/>
                    <w:szCs w:val="24"/>
                  </w:rPr>
                  <w:t>straipsniu</w:t>
                </w:r>
              </w:p>
              <w:p w14:paraId="5D4074CB" w14:textId="77777777">
                <w:pPr>
                  <w:ind w:firstLine="720"/>
                  <w:jc w:val="both"/>
                  <w:rPr>
                    <w:rFonts w:eastAsia="Calibri"/>
                    <w:b/>
                    <w:bCs/>
                    <w:szCs w:val="24"/>
                  </w:rPr>
                </w:pPr>
                <w:r>
                  <w:rPr>
                    <w:rFonts w:eastAsia="Calibri"/>
                    <w:b/>
                    <w:bCs/>
                    <w:szCs w:val="24"/>
                  </w:rPr>
                  <w:t>Papildyti Įstatymą 73</w:t>
                </w:r>
                <w:r>
                  <w:rPr>
                    <w:rFonts w:eastAsia="Calibri"/>
                    <w:b/>
                    <w:bCs/>
                    <w:szCs w:val="24"/>
                    <w:vertAlign w:val="superscript"/>
                  </w:rPr>
                  <w:t>4</w:t>
                </w:r>
                <w:r>
                  <w:rPr>
                    <w:rFonts w:eastAsia="Calibri"/>
                    <w:b/>
                    <w:bCs/>
                    <w:szCs w:val="24"/>
                  </w:rPr>
                  <w:t xml:space="preserve"> straipsniu:</w:t>
                </w:r>
              </w:p>
              <w:p w14:paraId="0CCD70A2" w14:textId="77777777">
                <w:pPr>
                  <w:ind w:left="2430" w:hanging="1710"/>
                  <w:jc w:val="both"/>
                  <w:rPr>
                    <w:rFonts w:eastAsia="Calibri"/>
                    <w:b/>
                    <w:bCs/>
                    <w:szCs w:val="24"/>
                  </w:rPr>
                </w:pPr>
                <w:r>
                  <w:rPr>
                    <w:rFonts w:eastAsia="Calibri"/>
                    <w:szCs w:val="24"/>
                  </w:rPr>
                  <w:t>„</w:t>
                </w:r>
                <w:r>
                  <w:rPr>
                    <w:rFonts w:eastAsia="Calibri"/>
                    <w:b/>
                    <w:bCs/>
                    <w:szCs w:val="24"/>
                  </w:rPr>
                  <w:t>73</w:t>
                </w:r>
                <w:r>
                  <w:rPr>
                    <w:rFonts w:eastAsia="Calibri"/>
                    <w:b/>
                    <w:bCs/>
                    <w:szCs w:val="24"/>
                    <w:vertAlign w:val="superscript"/>
                  </w:rPr>
                  <w:t xml:space="preserve">4 </w:t>
                </w:r>
                <w:r>
                  <w:rPr>
                    <w:rFonts w:eastAsia="Calibri"/>
                    <w:b/>
                    <w:bCs/>
                    <w:szCs w:val="24"/>
                  </w:rPr>
                  <w:t>straipsnis. Tarpvalstybinių elektros energijos srautų kibernetinio saugumo užtikrinimas</w:t>
                </w:r>
              </w:p>
              <w:p w14:paraId="4066A502" w14:textId="1ECA1CDD">
                <w:pPr>
                  <w:ind w:firstLine="720"/>
                  <w:jc w:val="both"/>
                  <w:rPr>
                    <w:rFonts w:eastAsia="Calibri"/>
                    <w:b/>
                    <w:szCs w:val="24"/>
                  </w:rPr>
                </w:pPr>
                <w:r>
                  <w:rPr>
                    <w:rFonts w:eastAsia="Calibri"/>
                    <w:b/>
                    <w:szCs w:val="24"/>
                  </w:rPr>
                  <w:t xml:space="preserve">1. Už tarpvalstybinio elektros energijos srautų kibernetinio saugumo užtikrinimą pagal kompetenciją atsako Taryba, Agentūra, Nacionalinis kibernetinio saugumo centras prie Krašto apsaugos ministerijos, perdavimo sistemos operatorius ir subjektai, identifikuoti kaip didelio poveikio arba ypatingos svarbos poveikio pagal Reglamento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24 straipsnį. Šios institucijos ir subjektai privalo bendradarbiauti su Taryba ir tarpusavyje, užtikrinant tarpvalstybinių elektros energijos srautų kibernetinį saugumą.“</w:t>
                </w:r>
              </w:p>
              <w:p w14:paraId="18F17369" w14:textId="77777777">
                <w:pPr>
                  <w:ind w:firstLine="720"/>
                  <w:jc w:val="both"/>
                  <w:rPr>
                    <w:sz w:val="22"/>
                    <w:szCs w:val="22"/>
                  </w:rPr>
                </w:pPr>
              </w:p>
            </w:tc>
            <w:tc>
              <w:tcPr>
                <w:tcW w:w="1560" w:type="dxa"/>
                <w:tcBorders>
                  <w:top w:val="single" w:sz="4" w:space="0" w:color="auto"/>
                  <w:left w:val="single" w:sz="2" w:space="0" w:color="000000" w:themeColor="text1"/>
                  <w:bottom w:val="single" w:sz="4" w:space="0" w:color="auto"/>
                  <w:right w:val="single" w:sz="2" w:space="0" w:color="000000" w:themeColor="text1"/>
                </w:tcBorders>
              </w:tcPr>
              <w:p w14:paraId="01E550B3" w14:textId="46D7A211">
                <w:pPr>
                  <w:jc w:val="both"/>
                  <w:rPr>
                    <w:rFonts w:eastAsia="Arial Unicode MS"/>
                    <w:b/>
                    <w:bCs/>
                    <w:sz w:val="22"/>
                    <w:szCs w:val="22"/>
                    <w:lang w:eastAsia="lt-LT"/>
                  </w:rPr>
                </w:pPr>
                <w:r>
                  <w:rPr>
                    <w:rFonts w:eastAsia="Arial Unicode MS"/>
                    <w:b/>
                    <w:bCs/>
                    <w:sz w:val="22"/>
                    <w:szCs w:val="22"/>
                    <w:lang w:eastAsia="lt-LT"/>
                  </w:rPr>
                  <w:t>Visiškas</w:t>
                </w:r>
              </w:p>
            </w:tc>
          </w:tr>
          <w:tr w14:paraId="5D5B6A5A" w14:textId="77777777">
            <w:trPr>
              <w:trHeight w:val="300"/>
            </w:trPr>
            <w:tc>
              <w:tcPr>
                <w:tcW w:w="5189" w:type="dxa"/>
                <w:tcBorders>
                  <w:top w:val="single" w:sz="4" w:space="0" w:color="auto"/>
                  <w:left w:val="single" w:sz="2" w:space="0" w:color="000000" w:themeColor="text1"/>
                  <w:bottom w:val="single" w:sz="4" w:space="0" w:color="auto"/>
                  <w:right w:val="single" w:sz="2" w:space="0" w:color="000000" w:themeColor="text1"/>
                </w:tcBorders>
              </w:tcPr>
              <w:p w14:paraId="74863C4E" w14:textId="77777777">
                <w:pPr>
                  <w:jc w:val="both"/>
                  <w:rPr>
                    <w:color w:val="333333"/>
                    <w:sz w:val="22"/>
                    <w:szCs w:val="22"/>
                  </w:rPr>
                </w:pPr>
                <w:r>
                  <w:rPr>
                    <w:color w:val="333333"/>
                    <w:sz w:val="22"/>
                    <w:szCs w:val="22"/>
                  </w:rPr>
                  <w:t>20 straipsnis</w:t>
                </w:r>
              </w:p>
              <w:p w14:paraId="5CC47246" w14:textId="77777777">
                <w:pPr>
                  <w:jc w:val="both"/>
                  <w:rPr>
                    <w:color w:val="333333"/>
                    <w:sz w:val="22"/>
                    <w:szCs w:val="22"/>
                  </w:rPr>
                </w:pPr>
              </w:p>
              <w:p w14:paraId="7760BDAB" w14:textId="77777777">
                <w:pPr>
                  <w:jc w:val="both"/>
                  <w:rPr>
                    <w:color w:val="333333"/>
                    <w:sz w:val="22"/>
                    <w:szCs w:val="22"/>
                  </w:rPr>
                </w:pPr>
                <w:r>
                  <w:rPr>
                    <w:color w:val="333333"/>
                    <w:sz w:val="22"/>
                    <w:szCs w:val="22"/>
                  </w:rPr>
                  <w:t>Valstybės narės kibernetinio saugumo rizikos vertinimas</w:t>
                </w:r>
              </w:p>
              <w:p w14:paraId="55594BF2" w14:textId="77777777">
                <w:pPr>
                  <w:jc w:val="both"/>
                  <w:rPr>
                    <w:color w:val="333333"/>
                    <w:sz w:val="22"/>
                    <w:szCs w:val="22"/>
                  </w:rPr>
                </w:pPr>
              </w:p>
              <w:p w14:paraId="2A3B2384" w14:textId="5DC36272">
                <w:pPr>
                  <w:jc w:val="both"/>
                  <w:rPr>
                    <w:color w:val="333333"/>
                    <w:sz w:val="22"/>
                    <w:szCs w:val="22"/>
                  </w:rPr>
                </w:pPr>
                <w:r>
                  <w:rPr>
                    <w:color w:val="333333"/>
                    <w:sz w:val="22"/>
                    <w:szCs w:val="22"/>
                  </w:rPr>
                  <w:t xml:space="preserve">1.   Kiekviena kompetentinga institucija atlieka valstybės narės kibernetinio saugumo rizikos visiems didelio poveikio ir ypatingos svarbos poveikio subjektams vertinimą pagal metodikas, parengtas pagal 18 straipsnį ir patvirtintas pagal 8 straipsnį. Valstybės narės kibernetinio saugumo rizikos vertinime identifikuojama ir analizuojama kibernetinių išpuolių, paveikiančių elektros energijos sistemos eksploatavimo saugumą ir sutrikdančių tarpvalstybinius elektros energijos srautus, rizika. Atliekant valstybės narės kibernetinio saugumo rizikos vertinimą neatsižvelgiama į kibernetinių išpuolių teisinę, finansinę žalą ar žalą reputacijai.</w:t>
                </w:r>
              </w:p>
            </w:tc>
            <w:tc>
              <w:tcPr>
                <w:tcW w:w="8221" w:type="dxa"/>
                <w:tcBorders>
                  <w:top w:val="single" w:sz="4" w:space="0" w:color="auto"/>
                  <w:left w:val="single" w:sz="2" w:space="0" w:color="000000" w:themeColor="text1"/>
                  <w:bottom w:val="single" w:sz="4" w:space="0" w:color="auto"/>
                  <w:right w:val="single" w:sz="2" w:space="0" w:color="000000" w:themeColor="text1"/>
                </w:tcBorders>
              </w:tcPr>
              <w:p w14:paraId="2DDC203D" w14:textId="77777777">
                <w:pPr>
                  <w:ind w:firstLine="720"/>
                  <w:jc w:val="both"/>
                  <w:rPr>
                    <w:rFonts w:eastAsia="Calibri"/>
                    <w:b/>
                    <w:bCs/>
                    <w:szCs w:val="24"/>
                  </w:rPr>
                </w:pPr>
                <w:r>
                  <w:rPr>
                    <w:b/>
                    <w:szCs w:val="24"/>
                    <w:lang w:eastAsia="lt-LT"/>
                  </w:rPr>
                  <w:t>15</w:t>
                </w:r>
                <w:r>
                  <w:rPr>
                    <w:bCs/>
                    <w:szCs w:val="24"/>
                    <w:lang w:eastAsia="lt-LT"/>
                  </w:rPr>
                  <w:t xml:space="preserve"> </w:t>
                </w:r>
                <w:r>
                  <w:rPr>
                    <w:rFonts w:eastAsia="Calibri"/>
                    <w:b/>
                    <w:bCs/>
                    <w:szCs w:val="24"/>
                  </w:rPr>
                  <w:t>straipsnis. Įstatymo papildymas 73</w:t>
                </w:r>
                <w:r>
                  <w:rPr>
                    <w:rFonts w:eastAsia="Calibri"/>
                    <w:b/>
                    <w:bCs/>
                    <w:szCs w:val="24"/>
                    <w:vertAlign w:val="superscript"/>
                  </w:rPr>
                  <w:t xml:space="preserve">4 </w:t>
                </w:r>
                <w:r>
                  <w:rPr>
                    <w:rFonts w:eastAsia="Calibri"/>
                    <w:b/>
                    <w:bCs/>
                    <w:szCs w:val="24"/>
                  </w:rPr>
                  <w:t>straipsniu</w:t>
                </w:r>
              </w:p>
              <w:p w14:paraId="70CD8C77" w14:textId="77777777">
                <w:pPr>
                  <w:ind w:firstLine="720"/>
                  <w:jc w:val="both"/>
                  <w:rPr>
                    <w:rFonts w:eastAsia="Calibri"/>
                    <w:b/>
                    <w:bCs/>
                    <w:szCs w:val="24"/>
                  </w:rPr>
                </w:pPr>
                <w:r>
                  <w:rPr>
                    <w:rFonts w:eastAsia="Calibri"/>
                    <w:b/>
                    <w:bCs/>
                    <w:szCs w:val="24"/>
                  </w:rPr>
                  <w:t>Papildyti Įstatymą 73</w:t>
                </w:r>
                <w:r>
                  <w:rPr>
                    <w:rFonts w:eastAsia="Calibri"/>
                    <w:b/>
                    <w:bCs/>
                    <w:szCs w:val="24"/>
                    <w:vertAlign w:val="superscript"/>
                  </w:rPr>
                  <w:t>4</w:t>
                </w:r>
                <w:r>
                  <w:rPr>
                    <w:rFonts w:eastAsia="Calibri"/>
                    <w:b/>
                    <w:bCs/>
                    <w:szCs w:val="24"/>
                  </w:rPr>
                  <w:t xml:space="preserve"> straipsniu:</w:t>
                </w:r>
              </w:p>
              <w:p w14:paraId="189295F0" w14:textId="77777777">
                <w:pPr>
                  <w:ind w:left="2430" w:hanging="1710"/>
                  <w:jc w:val="both"/>
                  <w:rPr>
                    <w:rFonts w:eastAsia="Calibri"/>
                    <w:b/>
                    <w:bCs/>
                    <w:szCs w:val="24"/>
                  </w:rPr>
                </w:pPr>
                <w:r>
                  <w:rPr>
                    <w:rFonts w:eastAsia="Calibri"/>
                    <w:szCs w:val="24"/>
                  </w:rPr>
                  <w:t>„</w:t>
                </w:r>
                <w:r>
                  <w:rPr>
                    <w:rFonts w:eastAsia="Calibri"/>
                    <w:b/>
                    <w:bCs/>
                    <w:szCs w:val="24"/>
                  </w:rPr>
                  <w:t>73</w:t>
                </w:r>
                <w:r>
                  <w:rPr>
                    <w:rFonts w:eastAsia="Calibri"/>
                    <w:b/>
                    <w:bCs/>
                    <w:szCs w:val="24"/>
                    <w:vertAlign w:val="superscript"/>
                  </w:rPr>
                  <w:t xml:space="preserve">4 </w:t>
                </w:r>
                <w:r>
                  <w:rPr>
                    <w:rFonts w:eastAsia="Calibri"/>
                    <w:b/>
                    <w:bCs/>
                    <w:szCs w:val="24"/>
                  </w:rPr>
                  <w:t>straipsnis. Tarpvalstybinių elektros energijos srautų kibernetinio saugumo užtikrinimas</w:t>
                </w:r>
              </w:p>
              <w:p w14:paraId="07496C8A" w14:textId="240A035C">
                <w:pPr>
                  <w:ind w:firstLine="720"/>
                  <w:jc w:val="both"/>
                  <w:rPr>
                    <w:rFonts w:eastAsia="Calibri"/>
                    <w:b/>
                    <w:szCs w:val="24"/>
                  </w:rPr>
                </w:pPr>
                <w:r>
                  <w:rPr>
                    <w:rFonts w:eastAsia="Calibri"/>
                    <w:b/>
                    <w:szCs w:val="24"/>
                  </w:rPr>
                  <w:t>&lt;...&gt;</w:t>
                </w:r>
              </w:p>
              <w:p w14:paraId="3DE82BEB" w14:textId="7584C379">
                <w:pPr>
                  <w:ind w:firstLine="720"/>
                  <w:jc w:val="both"/>
                  <w:rPr>
                    <w:rFonts w:eastAsia="Calibri"/>
                    <w:b/>
                    <w:szCs w:val="24"/>
                  </w:rPr>
                </w:pPr>
                <w:r>
                  <w:rPr>
                    <w:rFonts w:eastAsia="Calibri"/>
                    <w:b/>
                    <w:szCs w:val="24"/>
                  </w:rPr>
                  <w:t>3. Agentūra, vykdydama šio įstatymo 73</w:t>
                </w:r>
                <w:r>
                  <w:rPr>
                    <w:rFonts w:eastAsia="Calibri"/>
                    <w:b/>
                    <w:szCs w:val="24"/>
                    <w:vertAlign w:val="superscript"/>
                  </w:rPr>
                  <w:t>1</w:t>
                </w:r>
                <w:r>
                  <w:rPr>
                    <w:rFonts w:eastAsia="Calibri"/>
                    <w:b/>
                    <w:szCs w:val="24"/>
                  </w:rPr>
                  <w:t xml:space="preserve"> straipsnio 4 dalyje numatytą užduotį identifikuoti nacionalinius elektros energetikos krizės scenarijus ir parengti Pasirengimo valdyti riziką elektros energetikos sektoriuje planą, atlieka Lietuvos kibernetinio saugumo rizikos vertinimą visiems didelio poveikio ir ypatingos svarbos poveikio subjektams pagal Reglamento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nustatyta tvarka patvirtintą kibernetinio saugumo rizikos vertinimo metodiką ir bendradarbiaudama su Taryba ir Nacionaliniu kibernetinio saugumo centru rengia bei teikia kibernetinio saugumo rizikos ataskaitas, kaip numatyta Reglamento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20 straipsnyje.“</w:t>
                </w:r>
              </w:p>
              <w:p w14:paraId="39CE3726" w14:textId="77777777">
                <w:pPr>
                  <w:ind w:firstLine="720"/>
                  <w:jc w:val="both"/>
                  <w:rPr>
                    <w:b/>
                    <w:szCs w:val="24"/>
                    <w:lang w:eastAsia="lt-LT"/>
                  </w:rPr>
                </w:pPr>
              </w:p>
            </w:tc>
            <w:tc>
              <w:tcPr>
                <w:tcW w:w="1560" w:type="dxa"/>
                <w:tcBorders>
                  <w:top w:val="single" w:sz="4" w:space="0" w:color="auto"/>
                  <w:left w:val="single" w:sz="2" w:space="0" w:color="000000" w:themeColor="text1"/>
                  <w:bottom w:val="single" w:sz="4" w:space="0" w:color="auto"/>
                  <w:right w:val="single" w:sz="2" w:space="0" w:color="000000" w:themeColor="text1"/>
                </w:tcBorders>
              </w:tcPr>
              <w:p w14:paraId="37268F7C" w14:textId="631F67E9">
                <w:pPr>
                  <w:jc w:val="both"/>
                  <w:rPr>
                    <w:rFonts w:eastAsia="Arial Unicode MS"/>
                    <w:b/>
                    <w:bCs/>
                    <w:sz w:val="22"/>
                    <w:szCs w:val="22"/>
                    <w:lang w:eastAsia="lt-LT"/>
                  </w:rPr>
                </w:pPr>
                <w:r>
                  <w:rPr>
                    <w:rFonts w:eastAsia="Arial Unicode MS"/>
                    <w:b/>
                    <w:bCs/>
                    <w:sz w:val="22"/>
                    <w:szCs w:val="22"/>
                    <w:lang w:eastAsia="lt-LT"/>
                  </w:rPr>
                  <w:t>Visiškas</w:t>
                </w:r>
              </w:p>
            </w:tc>
          </w:tr>
          <w:tr w14:paraId="3D9B49D6" w14:textId="77777777">
            <w:trPr>
              <w:trHeight w:val="300"/>
            </w:trPr>
            <w:tc>
              <w:tcPr>
                <w:tcW w:w="5189" w:type="dxa"/>
                <w:tcBorders>
                  <w:top w:val="single" w:sz="4" w:space="0" w:color="auto"/>
                  <w:left w:val="single" w:sz="2" w:space="0" w:color="000000" w:themeColor="text1"/>
                  <w:bottom w:val="single" w:sz="4" w:space="0" w:color="auto"/>
                  <w:right w:val="single" w:sz="2" w:space="0" w:color="000000" w:themeColor="text1"/>
                </w:tcBorders>
              </w:tcPr>
              <w:p w14:paraId="1E06B73F" w14:textId="77777777">
                <w:pPr>
                  <w:jc w:val="both"/>
                  <w:rPr>
                    <w:color w:val="333333"/>
                    <w:sz w:val="22"/>
                    <w:szCs w:val="22"/>
                  </w:rPr>
                </w:pPr>
                <w:r>
                  <w:rPr>
                    <w:color w:val="333333"/>
                    <w:sz w:val="22"/>
                    <w:szCs w:val="22"/>
                  </w:rPr>
                  <w:t>24 straipsnis</w:t>
                </w:r>
              </w:p>
              <w:p w14:paraId="02B0AEBA" w14:textId="77777777">
                <w:pPr>
                  <w:jc w:val="both"/>
                  <w:rPr>
                    <w:color w:val="333333"/>
                    <w:sz w:val="22"/>
                    <w:szCs w:val="22"/>
                  </w:rPr>
                </w:pPr>
              </w:p>
              <w:p w14:paraId="4F2BC9F2" w14:textId="77777777">
                <w:pPr>
                  <w:jc w:val="both"/>
                  <w:rPr>
                    <w:color w:val="333333"/>
                    <w:sz w:val="22"/>
                    <w:szCs w:val="22"/>
                  </w:rPr>
                </w:pPr>
                <w:r>
                  <w:rPr>
                    <w:color w:val="333333"/>
                    <w:sz w:val="22"/>
                    <w:szCs w:val="22"/>
                  </w:rPr>
                  <w:t>Didelio poveikio ir ypatingos svarbos poveikio subjektų identifikavimas</w:t>
                </w:r>
              </w:p>
              <w:p w14:paraId="5DEF217B" w14:textId="77777777">
                <w:pPr>
                  <w:jc w:val="both"/>
                  <w:rPr>
                    <w:color w:val="333333"/>
                    <w:sz w:val="22"/>
                    <w:szCs w:val="22"/>
                  </w:rPr>
                </w:pPr>
              </w:p>
              <w:p w14:paraId="595FD9FB" w14:textId="39E450FD">
                <w:pPr>
                  <w:jc w:val="both"/>
                  <w:rPr>
                    <w:color w:val="333333"/>
                    <w:sz w:val="22"/>
                    <w:szCs w:val="22"/>
                  </w:rPr>
                </w:pPr>
                <w:r>
                  <w:rPr>
                    <w:color w:val="333333"/>
                    <w:sz w:val="22"/>
                    <w:szCs w:val="22"/>
                  </w:rPr>
                  <w:t xml:space="preserve">1.   Kiekviena kompetentinga institucija, naudodamasi KIPEI ir didelio poveikio ir ypatingos svarbos poveikio slenksčiais, įtrauktais į Sąjungos masto kibernetinio saugumo rizikos vertinimo ataskaitą pagal 19 straipsnio 3 dalies b punktą, identifikuoja didelio poveikio ir ypatingos svarbos poveikio subjektus savo valstybėje narėje, dalyvaujančius Sąjungos masto didelio poveikio ir ypatingos svarbos poveikio procesuose. Kompetentingos institucijos gali prašyti informacijos iš savo valstybėje narėje veikiančio subjekto, kad galėtų nustatyti jo KIPEI vertes. Jei nustatytas subjekto KIPEI viršija didelio poveikio arba ypatingos svarbos poveikio slenkstį, tas subjektas įtraukiamas į 20 straipsnio 2 dalyje nurodytoje valstybės narės kibernetinio saugumo rizikos vertinimo ataskaitoje pateikiamą sąrašą.</w:t>
                </w:r>
              </w:p>
            </w:tc>
            <w:tc>
              <w:tcPr>
                <w:tcW w:w="8221" w:type="dxa"/>
                <w:tcBorders>
                  <w:top w:val="single" w:sz="4" w:space="0" w:color="auto"/>
                  <w:left w:val="single" w:sz="2" w:space="0" w:color="000000" w:themeColor="text1"/>
                  <w:bottom w:val="single" w:sz="4" w:space="0" w:color="auto"/>
                  <w:right w:val="single" w:sz="2" w:space="0" w:color="000000" w:themeColor="text1"/>
                </w:tcBorders>
              </w:tcPr>
              <w:p w14:paraId="6E92058E" w14:textId="77777777">
                <w:pPr>
                  <w:ind w:firstLine="720"/>
                  <w:jc w:val="both"/>
                  <w:rPr>
                    <w:rFonts w:eastAsia="Calibri"/>
                    <w:b/>
                    <w:bCs/>
                    <w:szCs w:val="24"/>
                  </w:rPr>
                </w:pPr>
                <w:r>
                  <w:rPr>
                    <w:b/>
                    <w:szCs w:val="24"/>
                    <w:lang w:eastAsia="lt-LT"/>
                  </w:rPr>
                  <w:t>15</w:t>
                </w:r>
                <w:r>
                  <w:rPr>
                    <w:bCs/>
                    <w:szCs w:val="24"/>
                    <w:lang w:eastAsia="lt-LT"/>
                  </w:rPr>
                  <w:t xml:space="preserve"> </w:t>
                </w:r>
                <w:r>
                  <w:rPr>
                    <w:rFonts w:eastAsia="Calibri"/>
                    <w:b/>
                    <w:bCs/>
                    <w:szCs w:val="24"/>
                  </w:rPr>
                  <w:t>straipsnis. Įstatymo papildymas 73</w:t>
                </w:r>
                <w:r>
                  <w:rPr>
                    <w:rFonts w:eastAsia="Calibri"/>
                    <w:b/>
                    <w:bCs/>
                    <w:szCs w:val="24"/>
                    <w:vertAlign w:val="superscript"/>
                  </w:rPr>
                  <w:t xml:space="preserve">4 </w:t>
                </w:r>
                <w:r>
                  <w:rPr>
                    <w:rFonts w:eastAsia="Calibri"/>
                    <w:b/>
                    <w:bCs/>
                    <w:szCs w:val="24"/>
                  </w:rPr>
                  <w:t>straipsniu</w:t>
                </w:r>
              </w:p>
              <w:p w14:paraId="72EC1DBB" w14:textId="77777777">
                <w:pPr>
                  <w:ind w:firstLine="720"/>
                  <w:jc w:val="both"/>
                  <w:rPr>
                    <w:rFonts w:eastAsia="Calibri"/>
                    <w:b/>
                    <w:bCs/>
                    <w:szCs w:val="24"/>
                  </w:rPr>
                </w:pPr>
                <w:r>
                  <w:rPr>
                    <w:rFonts w:eastAsia="Calibri"/>
                    <w:b/>
                    <w:bCs/>
                    <w:szCs w:val="24"/>
                  </w:rPr>
                  <w:t>Papildyti Įstatymą 73</w:t>
                </w:r>
                <w:r>
                  <w:rPr>
                    <w:rFonts w:eastAsia="Calibri"/>
                    <w:b/>
                    <w:bCs/>
                    <w:szCs w:val="24"/>
                    <w:vertAlign w:val="superscript"/>
                  </w:rPr>
                  <w:t>4</w:t>
                </w:r>
                <w:r>
                  <w:rPr>
                    <w:rFonts w:eastAsia="Calibri"/>
                    <w:b/>
                    <w:bCs/>
                    <w:szCs w:val="24"/>
                  </w:rPr>
                  <w:t xml:space="preserve"> straipsniu:</w:t>
                </w:r>
              </w:p>
              <w:p w14:paraId="673D8698" w14:textId="77777777">
                <w:pPr>
                  <w:ind w:left="2430" w:hanging="1710"/>
                  <w:jc w:val="both"/>
                  <w:rPr>
                    <w:rFonts w:eastAsia="Calibri"/>
                    <w:b/>
                    <w:bCs/>
                    <w:szCs w:val="24"/>
                  </w:rPr>
                </w:pPr>
                <w:r>
                  <w:rPr>
                    <w:rFonts w:eastAsia="Calibri"/>
                    <w:szCs w:val="24"/>
                  </w:rPr>
                  <w:t>„</w:t>
                </w:r>
                <w:r>
                  <w:rPr>
                    <w:rFonts w:eastAsia="Calibri"/>
                    <w:b/>
                    <w:bCs/>
                    <w:szCs w:val="24"/>
                  </w:rPr>
                  <w:t>73</w:t>
                </w:r>
                <w:r>
                  <w:rPr>
                    <w:rFonts w:eastAsia="Calibri"/>
                    <w:b/>
                    <w:bCs/>
                    <w:szCs w:val="24"/>
                    <w:vertAlign w:val="superscript"/>
                  </w:rPr>
                  <w:t xml:space="preserve">4 </w:t>
                </w:r>
                <w:r>
                  <w:rPr>
                    <w:rFonts w:eastAsia="Calibri"/>
                    <w:b/>
                    <w:bCs/>
                    <w:szCs w:val="24"/>
                  </w:rPr>
                  <w:t>straipsnis. Tarpvalstybinių elektros energijos srautų kibernetinio saugumo užtikrinimas</w:t>
                </w:r>
              </w:p>
              <w:p w14:paraId="3E615235" w14:textId="77777777">
                <w:pPr>
                  <w:ind w:firstLine="720"/>
                  <w:jc w:val="both"/>
                  <w:rPr>
                    <w:rFonts w:eastAsia="Calibri"/>
                    <w:b/>
                    <w:szCs w:val="24"/>
                  </w:rPr>
                </w:pPr>
                <w:r>
                  <w:rPr>
                    <w:rFonts w:eastAsia="Calibri"/>
                    <w:b/>
                    <w:szCs w:val="24"/>
                  </w:rPr>
                  <w:t>&lt;...&gt;</w:t>
                </w:r>
              </w:p>
              <w:p w14:paraId="369B7EB1" w14:textId="77777777">
                <w:pPr>
                  <w:ind w:firstLine="720"/>
                  <w:jc w:val="both"/>
                  <w:rPr>
                    <w:rFonts w:eastAsia="Calibri"/>
                    <w:b/>
                    <w:szCs w:val="24"/>
                  </w:rPr>
                </w:pPr>
              </w:p>
              <w:p w14:paraId="06581210" w14:textId="42F9C306">
                <w:pPr>
                  <w:ind w:firstLine="720"/>
                  <w:jc w:val="both"/>
                  <w:rPr>
                    <w:rFonts w:eastAsia="Calibri"/>
                    <w:b/>
                    <w:szCs w:val="24"/>
                  </w:rPr>
                </w:pPr>
                <w:r>
                  <w:rPr>
                    <w:rFonts w:eastAsia="Calibri"/>
                    <w:b/>
                    <w:szCs w:val="24"/>
                  </w:rPr>
                  <w:t xml:space="preserve">2. Kompetentinga institucija, atsakinga už Reglamente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nustatytų užduočių, susijusių su tarpvalstybinių elektros energijos srautų kibernetinio saugumo užtikrinimu, vykdymą, yra Taryba. Taryba vykdo Reglamento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5 straipsnyje nustatytas užduotis, nustato kandidatus į didelio poveikio ir ypatingos svarbos poveikio subjektus ir parengia preliminarų didelio poveikio ir ypatingos svarbos poveikio subjektų sąrašą pagal Reglamento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48 straipsnio 3 dalį, teikia nacionalinių teisės aktų, aktualių tarpvalstybinių elektros energijos srautų kibernetinio saugumo aspektams sąrašą pagal Reglamento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48 straipsnio 5 dalį, identifikuoja didelio poveikio ir ypatingos svarbos poveikio subjektus pagal Reglamento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24 straipsnį, tvirtina Reglamente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nurodytas metodikas, sąlygas, nuostatas, gavusi Nacionalinio kibernetinio saugumo centro išvadą.“</w:t>
                </w:r>
              </w:p>
              <w:p w14:paraId="4D3A4D39" w14:textId="77777777">
                <w:pPr>
                  <w:ind w:firstLine="720"/>
                  <w:jc w:val="both"/>
                  <w:rPr>
                    <w:b/>
                    <w:szCs w:val="24"/>
                    <w:lang w:eastAsia="lt-LT"/>
                  </w:rPr>
                </w:pPr>
              </w:p>
            </w:tc>
            <w:tc>
              <w:tcPr>
                <w:tcW w:w="1560" w:type="dxa"/>
                <w:tcBorders>
                  <w:top w:val="single" w:sz="4" w:space="0" w:color="auto"/>
                  <w:left w:val="single" w:sz="2" w:space="0" w:color="000000" w:themeColor="text1"/>
                  <w:bottom w:val="single" w:sz="4" w:space="0" w:color="auto"/>
                  <w:right w:val="single" w:sz="2" w:space="0" w:color="000000" w:themeColor="text1"/>
                </w:tcBorders>
              </w:tcPr>
              <w:p w14:paraId="50B151C8" w14:textId="03832890">
                <w:pPr>
                  <w:jc w:val="both"/>
                  <w:rPr>
                    <w:rFonts w:eastAsia="Arial Unicode MS"/>
                    <w:b/>
                    <w:bCs/>
                    <w:sz w:val="22"/>
                    <w:szCs w:val="22"/>
                    <w:lang w:eastAsia="lt-LT"/>
                  </w:rPr>
                </w:pPr>
                <w:r>
                  <w:rPr>
                    <w:rFonts w:eastAsia="Arial Unicode MS"/>
                    <w:b/>
                    <w:bCs/>
                    <w:sz w:val="22"/>
                    <w:szCs w:val="22"/>
                    <w:lang w:eastAsia="lt-LT"/>
                  </w:rPr>
                  <w:t>Visiškas</w:t>
                </w:r>
              </w:p>
            </w:tc>
          </w:tr>
          <w:tr w14:paraId="53E17433" w14:textId="77777777">
            <w:trPr>
              <w:trHeight w:val="300"/>
            </w:trPr>
            <w:tc>
              <w:tcPr>
                <w:tcW w:w="5189" w:type="dxa"/>
                <w:tcBorders>
                  <w:top w:val="single" w:sz="4" w:space="0" w:color="auto"/>
                  <w:left w:val="single" w:sz="2" w:space="0" w:color="000000" w:themeColor="text1"/>
                  <w:bottom w:val="single" w:sz="4" w:space="0" w:color="auto"/>
                  <w:right w:val="single" w:sz="2" w:space="0" w:color="000000" w:themeColor="text1"/>
                </w:tcBorders>
              </w:tcPr>
              <w:p w14:paraId="27459201" w14:textId="77777777">
                <w:pPr>
                  <w:jc w:val="both"/>
                  <w:rPr>
                    <w:color w:val="333333"/>
                    <w:sz w:val="22"/>
                    <w:szCs w:val="22"/>
                  </w:rPr>
                </w:pPr>
                <w:r>
                  <w:rPr>
                    <w:color w:val="333333"/>
                    <w:sz w:val="22"/>
                    <w:szCs w:val="22"/>
                  </w:rPr>
                  <w:t>30 straipsnis</w:t>
                </w:r>
              </w:p>
              <w:p w14:paraId="32FEFEE4" w14:textId="77777777">
                <w:pPr>
                  <w:jc w:val="both"/>
                  <w:rPr>
                    <w:color w:val="333333"/>
                    <w:sz w:val="22"/>
                    <w:szCs w:val="22"/>
                  </w:rPr>
                </w:pPr>
              </w:p>
              <w:p w14:paraId="7B853216" w14:textId="77777777">
                <w:pPr>
                  <w:jc w:val="both"/>
                  <w:rPr>
                    <w:color w:val="333333"/>
                    <w:sz w:val="22"/>
                    <w:szCs w:val="22"/>
                  </w:rPr>
                </w:pPr>
                <w:r>
                  <w:rPr>
                    <w:color w:val="333333"/>
                    <w:sz w:val="22"/>
                    <w:szCs w:val="22"/>
                  </w:rPr>
                  <w:t>Nuostatos, leidžiančios nukrypti nuo reikalavimo taikyti būtinosios ir sustiprintos kibernetinio saugumo kontrolės priemones</w:t>
                </w:r>
              </w:p>
              <w:p w14:paraId="3FDF7E36" w14:textId="77777777">
                <w:pPr>
                  <w:jc w:val="both"/>
                  <w:rPr>
                    <w:color w:val="333333"/>
                    <w:sz w:val="22"/>
                    <w:szCs w:val="22"/>
                  </w:rPr>
                </w:pPr>
              </w:p>
              <w:p w14:paraId="2649D223" w14:textId="7BF9C025">
                <w:pPr>
                  <w:jc w:val="both"/>
                  <w:rPr>
                    <w:color w:val="333333"/>
                    <w:sz w:val="22"/>
                    <w:szCs w:val="22"/>
                  </w:rPr>
                </w:pPr>
                <w:r>
                  <w:rPr>
                    <w:color w:val="333333"/>
                    <w:sz w:val="22"/>
                    <w:szCs w:val="22"/>
                  </w:rPr>
                  <w:t xml:space="preserve">1.   2 straipsnio 1 dalyje išvardyti subjektai gali prašyti atitinkamos kompetentingos institucijos leisti nukrypti nuo pareigos taikyti 29 straipsnio 6 dalyje nurodytas būtinosios ir sustiprintos kibernetinio saugumo kontrolės priemones. Kompetentinga institucija gali leisti pasinaudoti tokia nukrypti leidžiančia nuostata dėl vienos iš šių priežasčių:</w:t>
                </w:r>
              </w:p>
            </w:tc>
            <w:tc>
              <w:tcPr>
                <w:tcW w:w="8221" w:type="dxa"/>
                <w:tcBorders>
                  <w:top w:val="single" w:sz="4" w:space="0" w:color="auto"/>
                  <w:left w:val="single" w:sz="2" w:space="0" w:color="000000" w:themeColor="text1"/>
                  <w:bottom w:val="single" w:sz="4" w:space="0" w:color="auto"/>
                  <w:right w:val="single" w:sz="2" w:space="0" w:color="000000" w:themeColor="text1"/>
                </w:tcBorders>
              </w:tcPr>
              <w:p w14:paraId="11301BF6" w14:textId="77777777">
                <w:pPr>
                  <w:ind w:firstLine="720"/>
                  <w:jc w:val="both"/>
                  <w:rPr>
                    <w:rFonts w:eastAsia="Calibri"/>
                    <w:b/>
                    <w:bCs/>
                    <w:szCs w:val="24"/>
                  </w:rPr>
                </w:pPr>
                <w:r>
                  <w:rPr>
                    <w:b/>
                    <w:szCs w:val="24"/>
                    <w:lang w:eastAsia="lt-LT"/>
                  </w:rPr>
                  <w:t>15</w:t>
                </w:r>
                <w:r>
                  <w:rPr>
                    <w:bCs/>
                    <w:szCs w:val="24"/>
                    <w:lang w:eastAsia="lt-LT"/>
                  </w:rPr>
                  <w:t xml:space="preserve"> </w:t>
                </w:r>
                <w:r>
                  <w:rPr>
                    <w:rFonts w:eastAsia="Calibri"/>
                    <w:b/>
                    <w:bCs/>
                    <w:szCs w:val="24"/>
                  </w:rPr>
                  <w:t>straipsnis. Įstatymo papildymas 73</w:t>
                </w:r>
                <w:r>
                  <w:rPr>
                    <w:rFonts w:eastAsia="Calibri"/>
                    <w:b/>
                    <w:bCs/>
                    <w:szCs w:val="24"/>
                    <w:vertAlign w:val="superscript"/>
                  </w:rPr>
                  <w:t xml:space="preserve">4 </w:t>
                </w:r>
                <w:r>
                  <w:rPr>
                    <w:rFonts w:eastAsia="Calibri"/>
                    <w:b/>
                    <w:bCs/>
                    <w:szCs w:val="24"/>
                  </w:rPr>
                  <w:t>straipsniu</w:t>
                </w:r>
              </w:p>
              <w:p w14:paraId="7DAD5ECA" w14:textId="77777777">
                <w:pPr>
                  <w:ind w:firstLine="720"/>
                  <w:jc w:val="both"/>
                  <w:rPr>
                    <w:rFonts w:eastAsia="Calibri"/>
                    <w:b/>
                    <w:bCs/>
                    <w:szCs w:val="24"/>
                  </w:rPr>
                </w:pPr>
                <w:r>
                  <w:rPr>
                    <w:rFonts w:eastAsia="Calibri"/>
                    <w:b/>
                    <w:bCs/>
                    <w:szCs w:val="24"/>
                  </w:rPr>
                  <w:t>Papildyti Įstatymą 73</w:t>
                </w:r>
                <w:r>
                  <w:rPr>
                    <w:rFonts w:eastAsia="Calibri"/>
                    <w:b/>
                    <w:bCs/>
                    <w:szCs w:val="24"/>
                    <w:vertAlign w:val="superscript"/>
                  </w:rPr>
                  <w:t>4</w:t>
                </w:r>
                <w:r>
                  <w:rPr>
                    <w:rFonts w:eastAsia="Calibri"/>
                    <w:b/>
                    <w:bCs/>
                    <w:szCs w:val="24"/>
                  </w:rPr>
                  <w:t xml:space="preserve"> straipsniu:</w:t>
                </w:r>
              </w:p>
              <w:p w14:paraId="7F1A74F3" w14:textId="77777777">
                <w:pPr>
                  <w:ind w:left="2430" w:hanging="1710"/>
                  <w:jc w:val="both"/>
                  <w:rPr>
                    <w:rFonts w:eastAsia="Calibri"/>
                    <w:b/>
                    <w:bCs/>
                    <w:szCs w:val="24"/>
                  </w:rPr>
                </w:pPr>
                <w:r>
                  <w:rPr>
                    <w:rFonts w:eastAsia="Calibri"/>
                    <w:szCs w:val="24"/>
                  </w:rPr>
                  <w:t>„</w:t>
                </w:r>
                <w:r>
                  <w:rPr>
                    <w:rFonts w:eastAsia="Calibri"/>
                    <w:b/>
                    <w:bCs/>
                    <w:szCs w:val="24"/>
                  </w:rPr>
                  <w:t>73</w:t>
                </w:r>
                <w:r>
                  <w:rPr>
                    <w:rFonts w:eastAsia="Calibri"/>
                    <w:b/>
                    <w:bCs/>
                    <w:szCs w:val="24"/>
                    <w:vertAlign w:val="superscript"/>
                  </w:rPr>
                  <w:t xml:space="preserve">4 </w:t>
                </w:r>
                <w:r>
                  <w:rPr>
                    <w:rFonts w:eastAsia="Calibri"/>
                    <w:b/>
                    <w:bCs/>
                    <w:szCs w:val="24"/>
                  </w:rPr>
                  <w:t>straipsnis. Tarpvalstybinių elektros energijos srautų kibernetinio saugumo užtikrinimas</w:t>
                </w:r>
              </w:p>
              <w:p w14:paraId="14BEA876" w14:textId="2889255C">
                <w:pPr>
                  <w:ind w:firstLine="720"/>
                  <w:jc w:val="both"/>
                  <w:rPr>
                    <w:rFonts w:eastAsia="Calibri"/>
                    <w:b/>
                    <w:szCs w:val="24"/>
                  </w:rPr>
                </w:pPr>
                <w:r>
                  <w:rPr>
                    <w:rFonts w:eastAsia="Calibri"/>
                    <w:b/>
                    <w:szCs w:val="24"/>
                  </w:rPr>
                  <w:t>&lt;...&gt;</w:t>
                </w:r>
              </w:p>
              <w:p w14:paraId="5C58DB79" w14:textId="4699C8F1">
                <w:pPr>
                  <w:ind w:firstLine="720"/>
                  <w:jc w:val="both"/>
                  <w:rPr>
                    <w:rFonts w:eastAsia="Calibri"/>
                    <w:b/>
                    <w:szCs w:val="24"/>
                  </w:rPr>
                </w:pPr>
                <w:r>
                  <w:rPr>
                    <w:rFonts w:eastAsia="Calibri"/>
                    <w:b/>
                    <w:szCs w:val="24"/>
                  </w:rPr>
                  <w:t xml:space="preserve">4. Nacionalinis kibernetinio saugumo centras Reglamento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30 straipsnyje nurodytais atvejais ir terminais, suteikia leidimą pasinaudoti nuo reikalavimo taikyti būtinosios ir sustiprintos kibernetinio saugumo kontrolės priemones nukrypti leidžiančia nuostatą, tikrina, ar ypatingos svarbos poveikio subjektas laikosi kibernetinio saugumo valdymo sistemos ir būtinosios arba sustiprintos kibernetinio saugumo kontrolės priemonių, valdo kibernetinius incidentus ir užtikrina informacijos dalijimosi taisykles pagal Reglamento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37 straipsnį, dalyvauja krizių valdyme, kaip numato Reglamento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40 straipsnis. </w:t>
                </w:r>
              </w:p>
              <w:p w14:paraId="790F53A4" w14:textId="57E895CF">
                <w:pPr>
                  <w:ind w:firstLine="720"/>
                  <w:jc w:val="both"/>
                  <w:rPr>
                    <w:b/>
                    <w:szCs w:val="24"/>
                    <w:lang w:eastAsia="lt-LT"/>
                  </w:rPr>
                </w:pPr>
                <w:r>
                  <w:rPr>
                    <w:rFonts w:eastAsia="Calibri"/>
                    <w:b/>
                    <w:szCs w:val="24"/>
                  </w:rPr>
                  <w:t xml:space="preserve">5. Nacionalinis kibernetinio saugumo centras, vykdydamas šio straipsnio 4 dalyje numatytas funkcijas, turi Lietuvos Respublikos kibernetinio saugumo įstatymo VI skyriuje numatytus </w:t>
                </w:r>
                <w:r>
                  <w:rPr>
                    <w:rFonts w:eastAsia="Calibri"/>
                    <w:b/>
                    <w:bCs/>
                    <w:szCs w:val="24"/>
                  </w:rPr>
                  <w:t>įgaliojimus</w:t>
                </w:r>
                <w:r>
                  <w:rPr>
                    <w:rFonts w:eastAsia="Calibri"/>
                    <w:b/>
                    <w:szCs w:val="24"/>
                  </w:rPr>
                  <w:t>.“</w:t>
                </w:r>
              </w:p>
            </w:tc>
            <w:tc>
              <w:tcPr>
                <w:tcW w:w="1560" w:type="dxa"/>
                <w:tcBorders>
                  <w:top w:val="single" w:sz="4" w:space="0" w:color="auto"/>
                  <w:left w:val="single" w:sz="2" w:space="0" w:color="000000" w:themeColor="text1"/>
                  <w:bottom w:val="single" w:sz="4" w:space="0" w:color="auto"/>
                  <w:right w:val="single" w:sz="2" w:space="0" w:color="000000" w:themeColor="text1"/>
                </w:tcBorders>
              </w:tcPr>
              <w:p w14:paraId="5C08ACFE" w14:textId="33A3CF46">
                <w:pPr>
                  <w:jc w:val="both"/>
                  <w:rPr>
                    <w:rFonts w:eastAsia="Arial Unicode MS"/>
                    <w:b/>
                    <w:bCs/>
                    <w:sz w:val="22"/>
                    <w:szCs w:val="22"/>
                    <w:lang w:eastAsia="lt-LT"/>
                  </w:rPr>
                </w:pPr>
                <w:r>
                  <w:rPr>
                    <w:rFonts w:eastAsia="Arial Unicode MS"/>
                    <w:b/>
                    <w:bCs/>
                    <w:sz w:val="22"/>
                    <w:szCs w:val="22"/>
                    <w:lang w:eastAsia="lt-LT"/>
                  </w:rPr>
                  <w:t>Visiškas</w:t>
                </w:r>
              </w:p>
            </w:tc>
          </w:tr>
          <w:tr w14:paraId="6CD2CAA5" w14:textId="77777777">
            <w:trPr>
              <w:trHeight w:val="300"/>
            </w:trPr>
            <w:tc>
              <w:tcPr>
                <w:tcW w:w="5189" w:type="dxa"/>
                <w:tcBorders>
                  <w:top w:val="single" w:sz="4" w:space="0" w:color="auto"/>
                  <w:left w:val="single" w:sz="2" w:space="0" w:color="000000" w:themeColor="text1"/>
                  <w:bottom w:val="single" w:sz="4" w:space="0" w:color="auto"/>
                  <w:right w:val="single" w:sz="2" w:space="0" w:color="000000" w:themeColor="text1"/>
                </w:tcBorders>
              </w:tcPr>
              <w:p w14:paraId="443DA199" w14:textId="77777777">
                <w:pPr>
                  <w:jc w:val="both"/>
                  <w:rPr>
                    <w:color w:val="333333"/>
                    <w:sz w:val="22"/>
                    <w:szCs w:val="22"/>
                  </w:rPr>
                </w:pPr>
                <w:r>
                  <w:rPr>
                    <w:color w:val="333333"/>
                    <w:sz w:val="22"/>
                    <w:szCs w:val="22"/>
                  </w:rPr>
                  <w:t>40 straipsnis</w:t>
                </w:r>
              </w:p>
              <w:p w14:paraId="0B6D3E6E" w14:textId="77777777">
                <w:pPr>
                  <w:jc w:val="both"/>
                  <w:rPr>
                    <w:color w:val="333333"/>
                    <w:sz w:val="22"/>
                    <w:szCs w:val="22"/>
                  </w:rPr>
                </w:pPr>
              </w:p>
              <w:p w14:paraId="7900BF40" w14:textId="77777777">
                <w:pPr>
                  <w:jc w:val="both"/>
                  <w:rPr>
                    <w:color w:val="333333"/>
                    <w:sz w:val="22"/>
                    <w:szCs w:val="22"/>
                  </w:rPr>
                </w:pPr>
                <w:r>
                  <w:rPr>
                    <w:color w:val="333333"/>
                    <w:sz w:val="22"/>
                    <w:szCs w:val="22"/>
                  </w:rPr>
                  <w:t>Krizių valdymas</w:t>
                </w:r>
              </w:p>
              <w:p w14:paraId="2CB5EA6B" w14:textId="77777777">
                <w:pPr>
                  <w:jc w:val="both"/>
                  <w:rPr>
                    <w:color w:val="333333"/>
                    <w:sz w:val="22"/>
                    <w:szCs w:val="22"/>
                  </w:rPr>
                </w:pPr>
              </w:p>
              <w:p w14:paraId="2CD03978" w14:textId="59EEE190">
                <w:pPr>
                  <w:jc w:val="both"/>
                  <w:rPr>
                    <w:color w:val="333333"/>
                    <w:sz w:val="22"/>
                    <w:szCs w:val="22"/>
                  </w:rPr>
                </w:pPr>
                <w:r>
                  <w:rPr>
                    <w:color w:val="333333"/>
                    <w:sz w:val="22"/>
                    <w:szCs w:val="22"/>
                  </w:rPr>
                  <w:t xml:space="preserve">1.   Kai kompetentinga institucija nustato, kad elektros energijos sektoriaus krizė yra susijusi su kibernetiniu išpuoliu, paveikiančiu daugiau nei vieną valstybę narę, paveiktų valstybių narių kompetentingos institucijos, už kibernetinį saugumą atsakingos NKI, už pasirengimą valdyti riziką atsakingos NKI ir TIS kibernetinių krizių valdymo institucijos kartu sudaro ad hoc tarpvalstybinio krizės koordinavimo grupę.</w:t>
                </w:r>
              </w:p>
            </w:tc>
            <w:tc>
              <w:tcPr>
                <w:tcW w:w="8221" w:type="dxa"/>
                <w:tcBorders>
                  <w:top w:val="single" w:sz="4" w:space="0" w:color="auto"/>
                  <w:left w:val="single" w:sz="2" w:space="0" w:color="000000" w:themeColor="text1"/>
                  <w:bottom w:val="single" w:sz="4" w:space="0" w:color="auto"/>
                  <w:right w:val="single" w:sz="2" w:space="0" w:color="000000" w:themeColor="text1"/>
                </w:tcBorders>
              </w:tcPr>
              <w:p w14:paraId="52F3086A" w14:textId="77777777">
                <w:pPr>
                  <w:ind w:firstLine="720"/>
                  <w:jc w:val="both"/>
                  <w:rPr>
                    <w:rFonts w:eastAsia="Calibri"/>
                    <w:b/>
                    <w:bCs/>
                    <w:szCs w:val="24"/>
                  </w:rPr>
                </w:pPr>
                <w:r>
                  <w:rPr>
                    <w:b/>
                    <w:szCs w:val="24"/>
                    <w:lang w:eastAsia="lt-LT"/>
                  </w:rPr>
                  <w:t>15</w:t>
                </w:r>
                <w:r>
                  <w:rPr>
                    <w:bCs/>
                    <w:szCs w:val="24"/>
                    <w:lang w:eastAsia="lt-LT"/>
                  </w:rPr>
                  <w:t xml:space="preserve"> </w:t>
                </w:r>
                <w:r>
                  <w:rPr>
                    <w:rFonts w:eastAsia="Calibri"/>
                    <w:b/>
                    <w:bCs/>
                    <w:szCs w:val="24"/>
                  </w:rPr>
                  <w:t>straipsnis. Įstatymo papildymas 73</w:t>
                </w:r>
                <w:r>
                  <w:rPr>
                    <w:rFonts w:eastAsia="Calibri"/>
                    <w:b/>
                    <w:bCs/>
                    <w:szCs w:val="24"/>
                    <w:vertAlign w:val="superscript"/>
                  </w:rPr>
                  <w:t xml:space="preserve">4 </w:t>
                </w:r>
                <w:r>
                  <w:rPr>
                    <w:rFonts w:eastAsia="Calibri"/>
                    <w:b/>
                    <w:bCs/>
                    <w:szCs w:val="24"/>
                  </w:rPr>
                  <w:t>straipsniu</w:t>
                </w:r>
              </w:p>
              <w:p w14:paraId="5096B19C" w14:textId="77777777">
                <w:pPr>
                  <w:ind w:firstLine="720"/>
                  <w:jc w:val="both"/>
                  <w:rPr>
                    <w:rFonts w:eastAsia="Calibri"/>
                    <w:b/>
                    <w:bCs/>
                    <w:szCs w:val="24"/>
                  </w:rPr>
                </w:pPr>
                <w:r>
                  <w:rPr>
                    <w:rFonts w:eastAsia="Calibri"/>
                    <w:b/>
                    <w:bCs/>
                    <w:szCs w:val="24"/>
                  </w:rPr>
                  <w:t>Papildyti Įstatymą 73</w:t>
                </w:r>
                <w:r>
                  <w:rPr>
                    <w:rFonts w:eastAsia="Calibri"/>
                    <w:b/>
                    <w:bCs/>
                    <w:szCs w:val="24"/>
                    <w:vertAlign w:val="superscript"/>
                  </w:rPr>
                  <w:t>4</w:t>
                </w:r>
                <w:r>
                  <w:rPr>
                    <w:rFonts w:eastAsia="Calibri"/>
                    <w:b/>
                    <w:bCs/>
                    <w:szCs w:val="24"/>
                  </w:rPr>
                  <w:t xml:space="preserve"> straipsniu:</w:t>
                </w:r>
              </w:p>
              <w:p w14:paraId="4028851D" w14:textId="77777777">
                <w:pPr>
                  <w:ind w:left="2430" w:hanging="1710"/>
                  <w:jc w:val="both"/>
                  <w:rPr>
                    <w:rFonts w:eastAsia="Calibri"/>
                    <w:b/>
                    <w:bCs/>
                    <w:szCs w:val="24"/>
                  </w:rPr>
                </w:pPr>
                <w:r>
                  <w:rPr>
                    <w:rFonts w:eastAsia="Calibri"/>
                    <w:szCs w:val="24"/>
                  </w:rPr>
                  <w:t>„</w:t>
                </w:r>
                <w:r>
                  <w:rPr>
                    <w:rFonts w:eastAsia="Calibri"/>
                    <w:b/>
                    <w:bCs/>
                    <w:szCs w:val="24"/>
                  </w:rPr>
                  <w:t>73</w:t>
                </w:r>
                <w:r>
                  <w:rPr>
                    <w:rFonts w:eastAsia="Calibri"/>
                    <w:b/>
                    <w:bCs/>
                    <w:szCs w:val="24"/>
                    <w:vertAlign w:val="superscript"/>
                  </w:rPr>
                  <w:t xml:space="preserve">4 </w:t>
                </w:r>
                <w:r>
                  <w:rPr>
                    <w:rFonts w:eastAsia="Calibri"/>
                    <w:b/>
                    <w:bCs/>
                    <w:szCs w:val="24"/>
                  </w:rPr>
                  <w:t>straipsnis. Tarpvalstybinių elektros energijos srautų kibernetinio saugumo užtikrinimas</w:t>
                </w:r>
              </w:p>
              <w:p w14:paraId="30626F1B" w14:textId="77777777">
                <w:pPr>
                  <w:ind w:firstLine="720"/>
                  <w:jc w:val="both"/>
                  <w:rPr>
                    <w:rFonts w:eastAsia="Calibri"/>
                    <w:b/>
                    <w:szCs w:val="24"/>
                  </w:rPr>
                </w:pPr>
                <w:r>
                  <w:rPr>
                    <w:rFonts w:eastAsia="Calibri"/>
                    <w:b/>
                    <w:szCs w:val="24"/>
                  </w:rPr>
                  <w:t>&lt;...&gt;</w:t>
                </w:r>
              </w:p>
              <w:p w14:paraId="65111A1A" w14:textId="41D8AC9A">
                <w:pPr>
                  <w:ind w:firstLine="720"/>
                  <w:jc w:val="both"/>
                  <w:rPr>
                    <w:rFonts w:eastAsia="Calibri"/>
                    <w:b/>
                    <w:szCs w:val="24"/>
                  </w:rPr>
                </w:pPr>
                <w:r>
                  <w:rPr>
                    <w:rFonts w:eastAsia="Calibri"/>
                    <w:b/>
                    <w:szCs w:val="24"/>
                  </w:rPr>
                  <w:t xml:space="preserve">4. Nacionalinis kibernetinio saugumo centras Reglamento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30 straipsnyje nurodytais atvejais ir terminais, suteikia leidimą pasinaudoti nuo reikalavimo taikyti būtinosios ir sustiprintos kibernetinio saugumo kontrolės priemones nukrypti leidžiančia nuostatą, tikrina, ar ypatingos svarbos poveikio subjektas laikosi kibernetinio saugumo valdymo sistemos ir būtinosios arba sustiprintos kibernetinio saugumo kontrolės priemonių, valdo kibernetinius incidentus ir užtikrina informacijos dalijimosi taisykles pagal Reglamento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37 straipsnį, dalyvauja krizių valdyme, kaip numato Reglamento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40 straipsnis. </w:t>
                </w:r>
              </w:p>
              <w:p w14:paraId="4B3983D7" w14:textId="5C233C72">
                <w:pPr>
                  <w:ind w:firstLine="720"/>
                  <w:jc w:val="both"/>
                  <w:rPr>
                    <w:rFonts w:eastAsia="Calibri"/>
                    <w:b/>
                    <w:szCs w:val="24"/>
                  </w:rPr>
                </w:pPr>
                <w:r>
                  <w:rPr>
                    <w:rFonts w:eastAsia="Calibri"/>
                    <w:b/>
                    <w:szCs w:val="24"/>
                  </w:rPr>
                  <w:t xml:space="preserve">5. Nacionalinis kibernetinio saugumo centras, vykdydamas šio straipsnio 4 dalyje numatytas funkcijas, turi Lietuvos Respublikos kibernetinio saugumo įstatymo VI skyriuje numatytus </w:t>
                </w:r>
                <w:r>
                  <w:rPr>
                    <w:rFonts w:eastAsia="Calibri"/>
                    <w:b/>
                    <w:bCs/>
                    <w:szCs w:val="24"/>
                  </w:rPr>
                  <w:t>įgaliojimus</w:t>
                </w:r>
                <w:r>
                  <w:rPr>
                    <w:rFonts w:eastAsia="Calibri"/>
                    <w:b/>
                    <w:szCs w:val="24"/>
                  </w:rPr>
                  <w:t>.“</w:t>
                </w:r>
              </w:p>
            </w:tc>
            <w:tc>
              <w:tcPr>
                <w:tcW w:w="1560" w:type="dxa"/>
                <w:tcBorders>
                  <w:top w:val="single" w:sz="4" w:space="0" w:color="auto"/>
                  <w:left w:val="single" w:sz="2" w:space="0" w:color="000000" w:themeColor="text1"/>
                  <w:bottom w:val="single" w:sz="4" w:space="0" w:color="auto"/>
                  <w:right w:val="single" w:sz="2" w:space="0" w:color="000000" w:themeColor="text1"/>
                </w:tcBorders>
              </w:tcPr>
              <w:p w14:paraId="7883A160" w14:textId="1822CF36">
                <w:pPr>
                  <w:jc w:val="both"/>
                  <w:rPr>
                    <w:rFonts w:eastAsia="Arial Unicode MS"/>
                    <w:b/>
                    <w:bCs/>
                    <w:sz w:val="22"/>
                    <w:szCs w:val="22"/>
                    <w:lang w:eastAsia="lt-LT"/>
                  </w:rPr>
                </w:pPr>
                <w:r>
                  <w:rPr>
                    <w:rFonts w:eastAsia="Arial Unicode MS"/>
                    <w:b/>
                    <w:bCs/>
                    <w:sz w:val="22"/>
                    <w:szCs w:val="22"/>
                    <w:lang w:eastAsia="lt-LT"/>
                  </w:rPr>
                  <w:t>Visiškas</w:t>
                </w:r>
              </w:p>
            </w:tc>
          </w:tr>
          <w:tr w14:paraId="2AFBDBA8" w14:textId="77777777">
            <w:trPr>
              <w:trHeight w:val="300"/>
            </w:trPr>
            <w:tc>
              <w:tcPr>
                <w:tcW w:w="5189" w:type="dxa"/>
                <w:tcBorders>
                  <w:top w:val="single" w:sz="4" w:space="0" w:color="auto"/>
                  <w:left w:val="single" w:sz="2" w:space="0" w:color="000000" w:themeColor="text1"/>
                  <w:bottom w:val="single" w:sz="4" w:space="0" w:color="auto"/>
                  <w:right w:val="single" w:sz="2" w:space="0" w:color="000000" w:themeColor="text1"/>
                </w:tcBorders>
              </w:tcPr>
              <w:p w14:paraId="2486C8BA" w14:textId="77777777">
                <w:pPr>
                  <w:jc w:val="both"/>
                  <w:rPr>
                    <w:color w:val="333333"/>
                    <w:sz w:val="22"/>
                    <w:szCs w:val="22"/>
                  </w:rPr>
                </w:pPr>
                <w:r>
                  <w:rPr>
                    <w:color w:val="333333"/>
                    <w:sz w:val="22"/>
                    <w:szCs w:val="22"/>
                  </w:rPr>
                  <w:t>48 straipsnis</w:t>
                </w:r>
              </w:p>
              <w:p w14:paraId="61CF4AA1" w14:textId="77777777">
                <w:pPr>
                  <w:jc w:val="both"/>
                  <w:rPr>
                    <w:color w:val="333333"/>
                    <w:sz w:val="22"/>
                    <w:szCs w:val="22"/>
                  </w:rPr>
                </w:pPr>
              </w:p>
              <w:p w14:paraId="5926ADCA" w14:textId="686EF221">
                <w:pPr>
                  <w:jc w:val="both"/>
                  <w:rPr>
                    <w:color w:val="333333"/>
                    <w:sz w:val="22"/>
                    <w:szCs w:val="22"/>
                  </w:rPr>
                </w:pPr>
                <w:r>
                  <w:rPr>
                    <w:color w:val="333333"/>
                    <w:sz w:val="22"/>
                    <w:szCs w:val="22"/>
                  </w:rPr>
                  <w:t>Laikinos nuostatos</w:t>
                </w:r>
              </w:p>
              <w:p w14:paraId="065BEB2C" w14:textId="68B55EE8">
                <w:pPr>
                  <w:jc w:val="both"/>
                  <w:rPr>
                    <w:color w:val="333333"/>
                    <w:sz w:val="22"/>
                    <w:szCs w:val="22"/>
                  </w:rPr>
                </w:pPr>
                <w:r>
                  <w:rPr>
                    <w:color w:val="333333"/>
                    <w:sz w:val="22"/>
                    <w:szCs w:val="22"/>
                  </w:rPr>
                  <w:t>&lt;...&gt;</w:t>
                </w:r>
              </w:p>
              <w:p w14:paraId="53B88E9F" w14:textId="5A9424D7">
                <w:pPr>
                  <w:jc w:val="both"/>
                  <w:rPr>
                    <w:color w:val="333333"/>
                    <w:sz w:val="22"/>
                    <w:szCs w:val="22"/>
                  </w:rPr>
                </w:pPr>
                <w:r>
                  <w:rPr>
                    <w:color w:val="333333"/>
                    <w:sz w:val="22"/>
                    <w:szCs w:val="22"/>
                  </w:rPr>
                  <w:t>5.   Iki 2024 m. rugsėjo 13 d. kiekviena kompetentinga institucija pagal 4 straipsnio 1 dalį ENTSO-E ir ES SSO subjektui pateikia savo nacionalinės teisės aktų, aktualių tarpvalstybinių elektros energijos srautų kibernetinio saugumo aspektams, sąrašą.</w:t>
                </w:r>
              </w:p>
              <w:p w14:paraId="7427B44F" w14:textId="77777777">
                <w:pPr>
                  <w:jc w:val="both"/>
                  <w:rPr>
                    <w:color w:val="333333"/>
                    <w:sz w:val="22"/>
                    <w:szCs w:val="22"/>
                  </w:rPr>
                </w:pPr>
              </w:p>
            </w:tc>
            <w:tc>
              <w:tcPr>
                <w:tcW w:w="8221" w:type="dxa"/>
                <w:tcBorders>
                  <w:top w:val="single" w:sz="4" w:space="0" w:color="auto"/>
                  <w:left w:val="single" w:sz="2" w:space="0" w:color="000000" w:themeColor="text1"/>
                  <w:bottom w:val="single" w:sz="4" w:space="0" w:color="auto"/>
                  <w:right w:val="single" w:sz="2" w:space="0" w:color="000000" w:themeColor="text1"/>
                </w:tcBorders>
              </w:tcPr>
              <w:p w14:paraId="0249BD03" w14:textId="77777777">
                <w:pPr>
                  <w:ind w:firstLine="720"/>
                  <w:jc w:val="both"/>
                  <w:rPr>
                    <w:rFonts w:eastAsia="Calibri"/>
                    <w:b/>
                    <w:bCs/>
                    <w:szCs w:val="24"/>
                  </w:rPr>
                </w:pPr>
                <w:r>
                  <w:rPr>
                    <w:b/>
                    <w:szCs w:val="24"/>
                    <w:lang w:eastAsia="lt-LT"/>
                  </w:rPr>
                  <w:t>15</w:t>
                </w:r>
                <w:r>
                  <w:rPr>
                    <w:bCs/>
                    <w:szCs w:val="24"/>
                    <w:lang w:eastAsia="lt-LT"/>
                  </w:rPr>
                  <w:t xml:space="preserve"> </w:t>
                </w:r>
                <w:r>
                  <w:rPr>
                    <w:rFonts w:eastAsia="Calibri"/>
                    <w:b/>
                    <w:bCs/>
                    <w:szCs w:val="24"/>
                  </w:rPr>
                  <w:t>straipsnis. Įstatymo papildymas 73</w:t>
                </w:r>
                <w:r>
                  <w:rPr>
                    <w:rFonts w:eastAsia="Calibri"/>
                    <w:b/>
                    <w:bCs/>
                    <w:szCs w:val="24"/>
                    <w:vertAlign w:val="superscript"/>
                  </w:rPr>
                  <w:t xml:space="preserve">4 </w:t>
                </w:r>
                <w:r>
                  <w:rPr>
                    <w:rFonts w:eastAsia="Calibri"/>
                    <w:b/>
                    <w:bCs/>
                    <w:szCs w:val="24"/>
                  </w:rPr>
                  <w:t>straipsniu</w:t>
                </w:r>
              </w:p>
              <w:p w14:paraId="61E4DAF4" w14:textId="77777777">
                <w:pPr>
                  <w:ind w:firstLine="720"/>
                  <w:jc w:val="both"/>
                  <w:rPr>
                    <w:rFonts w:eastAsia="Calibri"/>
                    <w:b/>
                    <w:bCs/>
                    <w:szCs w:val="24"/>
                  </w:rPr>
                </w:pPr>
                <w:r>
                  <w:rPr>
                    <w:rFonts w:eastAsia="Calibri"/>
                    <w:b/>
                    <w:bCs/>
                    <w:szCs w:val="24"/>
                  </w:rPr>
                  <w:t>Papildyti Įstatymą 73</w:t>
                </w:r>
                <w:r>
                  <w:rPr>
                    <w:rFonts w:eastAsia="Calibri"/>
                    <w:b/>
                    <w:bCs/>
                    <w:szCs w:val="24"/>
                    <w:vertAlign w:val="superscript"/>
                  </w:rPr>
                  <w:t>4</w:t>
                </w:r>
                <w:r>
                  <w:rPr>
                    <w:rFonts w:eastAsia="Calibri"/>
                    <w:b/>
                    <w:bCs/>
                    <w:szCs w:val="24"/>
                  </w:rPr>
                  <w:t xml:space="preserve"> straipsniu:</w:t>
                </w:r>
              </w:p>
              <w:p w14:paraId="23B0ABB2" w14:textId="77777777">
                <w:pPr>
                  <w:ind w:left="2430" w:hanging="1710"/>
                  <w:jc w:val="both"/>
                  <w:rPr>
                    <w:rFonts w:eastAsia="Calibri"/>
                    <w:b/>
                    <w:bCs/>
                    <w:szCs w:val="24"/>
                  </w:rPr>
                </w:pPr>
                <w:r>
                  <w:rPr>
                    <w:rFonts w:eastAsia="Calibri"/>
                    <w:szCs w:val="24"/>
                  </w:rPr>
                  <w:t>„</w:t>
                </w:r>
                <w:r>
                  <w:rPr>
                    <w:rFonts w:eastAsia="Calibri"/>
                    <w:b/>
                    <w:bCs/>
                    <w:szCs w:val="24"/>
                  </w:rPr>
                  <w:t>73</w:t>
                </w:r>
                <w:r>
                  <w:rPr>
                    <w:rFonts w:eastAsia="Calibri"/>
                    <w:b/>
                    <w:bCs/>
                    <w:szCs w:val="24"/>
                    <w:vertAlign w:val="superscript"/>
                  </w:rPr>
                  <w:t xml:space="preserve">4 </w:t>
                </w:r>
                <w:r>
                  <w:rPr>
                    <w:rFonts w:eastAsia="Calibri"/>
                    <w:b/>
                    <w:bCs/>
                    <w:szCs w:val="24"/>
                  </w:rPr>
                  <w:t>straipsnis. Tarpvalstybinių elektros energijos srautų kibernetinio saugumo užtikrinimas</w:t>
                </w:r>
              </w:p>
              <w:p w14:paraId="4BB7891B" w14:textId="77777777">
                <w:pPr>
                  <w:ind w:firstLine="720"/>
                  <w:jc w:val="both"/>
                  <w:rPr>
                    <w:rFonts w:eastAsia="Calibri"/>
                    <w:b/>
                    <w:szCs w:val="24"/>
                  </w:rPr>
                </w:pPr>
                <w:r>
                  <w:rPr>
                    <w:rFonts w:eastAsia="Calibri"/>
                    <w:b/>
                    <w:szCs w:val="24"/>
                  </w:rPr>
                  <w:t>&lt;...&gt;</w:t>
                </w:r>
              </w:p>
              <w:p w14:paraId="5EBF310C" w14:textId="77777777">
                <w:pPr>
                  <w:ind w:firstLine="720"/>
                  <w:jc w:val="both"/>
                  <w:rPr>
                    <w:rFonts w:eastAsia="Calibri"/>
                    <w:b/>
                    <w:szCs w:val="24"/>
                  </w:rPr>
                </w:pPr>
              </w:p>
              <w:p w14:paraId="6394E02C" w14:textId="06EE7FF3">
                <w:pPr>
                  <w:ind w:firstLine="720"/>
                  <w:jc w:val="both"/>
                  <w:rPr>
                    <w:rFonts w:eastAsia="Calibri"/>
                    <w:b/>
                    <w:szCs w:val="24"/>
                  </w:rPr>
                </w:pPr>
                <w:r>
                  <w:rPr>
                    <w:rFonts w:eastAsia="Calibri"/>
                    <w:b/>
                    <w:szCs w:val="24"/>
                  </w:rPr>
                  <w:t xml:space="preserve">2. Kompetentinga institucija, atsakinga už Reglamente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nustatytų užduočių, susijusių su tarpvalstybinių elektros energijos srautų kibernetinio saugumo užtikrinimu, vykdymą, yra Taryba. Taryba vykdo Reglamento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5 straipsnyje nustatytas užduotis, nustato kandidatus į didelio poveikio ir ypatingos svarbos poveikio subjektus ir parengia preliminarų didelio poveikio ir ypatingos svarbos poveikio subjektų sąrašą pagal Reglamento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48 straipsnio 3 dalį, teikia nacionalinių teisės aktų, aktualių tarpvalstybinių elektros energijos srautų kibernetinio saugumo aspektams sąrašą pagal Reglamento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48 straipsnio 5 dalį, identifikuoja didelio poveikio ir ypatingos svarbos poveikio subjektus pagal Reglamento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24 straipsnį, tvirtina Reglamente </w:t>
                </w:r>
                <w:fldSimple w:instr="HYPERLINK http://eur-lex.europa.eu/legal-content/LIT/TXT/?uri=CELEX:32024R1366&amp;locale=lt \t _blank">
                  <w:r>
                    <w:rPr>
                      <w:rFonts w:eastAsia="Calibri"/>
                      <w:b/>
                      <w:szCs w:val="24"/>
                      <w:u w:val="single"/>
                      <w:color w:val="0000FF" w:themeColor="hyperlink"/>
                    </w:rPr>
                    <w:t>(ES) 2024/1366</w:t>
                  </w:r>
                </w:fldSimple>
                <w:r>
                  <w:rPr>
                    <w:rFonts w:eastAsia="Calibri"/>
                    <w:b/>
                    <w:szCs w:val="24"/>
                  </w:rPr>
                  <w:t xml:space="preserve"> nurodytas metodikas, sąlygas, nuostatas, gavusi Nacionalinio kibernetinio saugumo centro išvadą.“</w:t>
                </w:r>
              </w:p>
              <w:p w14:paraId="323D3655" w14:textId="77777777">
                <w:pPr>
                  <w:ind w:firstLine="720"/>
                  <w:jc w:val="both"/>
                  <w:rPr>
                    <w:b/>
                    <w:szCs w:val="24"/>
                    <w:lang w:eastAsia="lt-LT"/>
                  </w:rPr>
                </w:pPr>
              </w:p>
            </w:tc>
            <w:tc>
              <w:tcPr>
                <w:tcW w:w="1560" w:type="dxa"/>
                <w:tcBorders>
                  <w:top w:val="single" w:sz="4" w:space="0" w:color="auto"/>
                  <w:left w:val="single" w:sz="2" w:space="0" w:color="000000" w:themeColor="text1"/>
                  <w:bottom w:val="single" w:sz="4" w:space="0" w:color="auto"/>
                  <w:right w:val="single" w:sz="2" w:space="0" w:color="000000" w:themeColor="text1"/>
                </w:tcBorders>
              </w:tcPr>
              <w:p w14:paraId="715A29A0" w14:textId="3D8D6024">
                <w:pPr>
                  <w:jc w:val="both"/>
                  <w:rPr>
                    <w:rFonts w:eastAsia="Arial Unicode MS"/>
                    <w:b/>
                    <w:bCs/>
                    <w:sz w:val="22"/>
                    <w:szCs w:val="22"/>
                    <w:lang w:eastAsia="lt-LT"/>
                  </w:rPr>
                </w:pPr>
                <w:r>
                  <w:rPr>
                    <w:rFonts w:eastAsia="Arial Unicode MS"/>
                    <w:b/>
                    <w:bCs/>
                    <w:sz w:val="22"/>
                    <w:szCs w:val="22"/>
                    <w:lang w:eastAsia="lt-LT"/>
                  </w:rPr>
                  <w:t>Visiškas</w:t>
                </w:r>
              </w:p>
            </w:tc>
          </w:tr>
        </w:tbl>
        <w:p w14:paraId="431E6FDF" w14:textId="77777777">
          <w:pPr>
            <w:widowControl w:val="0"/>
            <w:suppressAutoHyphens/>
            <w:rPr>
              <w:rFonts w:eastAsia="Arial Unicode MS"/>
              <w:szCs w:val="24"/>
              <w:lang w:eastAsia="lt-LT"/>
            </w:rPr>
            <w:sectPr>
              <w:footnotePr>
                <w:pos w:val="beneathText"/>
              </w:footnotePr>
              <w:type w:val="continuous"/>
              <w:pgSz w:w="16837" w:h="11905" w:orient="landscape"/>
              <w:pgMar w:top="1701" w:right="819" w:bottom="1134" w:left="1134" w:header="567" w:footer="567" w:gutter="0"/>
              <w:cols w:space="1296"/>
            </w:sectPr>
          </w:pPr>
        </w:p>
        <w:p w14:paraId="01B6A471" w14:textId="77777777">
          <w:pPr>
            <w:rPr>
              <w:sz w:val="10"/>
              <w:szCs w:val="10"/>
            </w:rPr>
          </w:pPr>
        </w:p>
        <w:sdt>
          <w:sdtPr>
            <w:alias w:val="pabaiga"/>
            <w:tag w:val="part_6b9682bcdf42404fa42ad24b00bc603c"/>
            <w:lock w:val="sdtLocked"/>
            <w:richText/>
          </w:sdtPr>
          <w:sdtContent>
            <w:p w14:paraId="56CF4224" w14:textId="77777777">
              <w:pPr>
                <w:widowControl w:val="0"/>
                <w:tabs>
                  <w:tab w:val="center" w:pos="0"/>
                  <w:tab w:val="center" w:pos="4153"/>
                  <w:tab w:val="left" w:pos="7230"/>
                  <w:tab w:val="right" w:pos="8306"/>
                </w:tabs>
                <w:suppressAutoHyphens/>
                <w:jc w:val="center"/>
                <w:rPr>
                  <w:rFonts w:eastAsia="Arial Unicode MS"/>
                  <w:szCs w:val="24"/>
                  <w:lang w:eastAsia="lt-LT"/>
                </w:rPr>
              </w:pPr>
              <w:r>
                <w:rPr>
                  <w:rFonts w:eastAsia="Arial Unicode MS"/>
                  <w:szCs w:val="24"/>
                  <w:lang w:eastAsia="lt-LT"/>
                </w:rPr>
                <w:t>_________________</w:t>
              </w:r>
            </w:p>
          </w:sdtContent>
        </w:sdt>
      </w:sdtContent>
    </w:sdt>
    <w:sectPr>
      <w:footnotePr>
        <w:pos w:val="beneathText"/>
      </w:footnotePr>
      <w:type w:val="continuous"/>
      <w:pgSz w:w="16837" w:h="11905" w:orient="landscape"/>
      <w:pgMar w:top="1134" w:right="1134" w:bottom="1134" w:left="1134" w:header="567" w:footer="567" w:gutter="0"/>
      <w:cols w:space="129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09"/>
  <w:hyphenationZone w:val="396"/>
  <w:doNotHyphenateCaps/>
  <w:drawingGridHorizontalSpacing w:val="0"/>
  <w:drawingGridVerticalSpacing w:val="0"/>
  <w:displayHorizontalDrawingGridEvery w:val="0"/>
  <w:displayVerticalDrawingGridEvery w:val="0"/>
  <w:doNotUseMarginsForDrawingGridOrigin/>
  <w:noPunctuationKerning/>
  <w:characterSpacingControl w:val="doNotCompress"/>
  <w:strictFirstAndLastChars/>
  <w:footnotePr>
    <w:pos w:val="beneathText"/>
  </w:foot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0C7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BECBF7"/>
  <w15:docId w15:val="{735EEBF7-93AF-4B34-90C6-CD570ADAFBE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fde158db-9ad6-4e48-b618-6abd2e808126" xsi:nil="true"/>
    <lcf76f155ced4ddcb4097134ff3c332f xmlns="438086d8-68c4-44e0-a2b1-9b1caa3431be">
      <Terms xmlns="http://schemas.microsoft.com/office/infopath/2007/PartnerControls"/>
    </lcf76f155ced4ddcb4097134ff3c332f>
    <SharedWithUsers xmlns="fde158db-9ad6-4e48-b618-6abd2e808126">
      <UserInfo>
        <DisplayName>Vilija Augutavičienė</DisplayName>
        <AccountId>7</AccountId>
        <AccountType/>
      </UserInfo>
      <UserInfo>
        <DisplayName>Tomas Aukštinaitis</DisplayName>
        <AccountId>22</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08057CD66624FE4F809517943CCCE640" ma:contentTypeVersion="14" ma:contentTypeDescription="Kurkite naują dokumentą." ma:contentTypeScope="" ma:versionID="54f1fe954f9928fb61a8bd69a4f9d667">
  <xsd:schema xmlns:xsd="http://www.w3.org/2001/XMLSchema" xmlns:xs="http://www.w3.org/2001/XMLSchema" xmlns:p="http://schemas.microsoft.com/office/2006/metadata/properties" xmlns:ns2="438086d8-68c4-44e0-a2b1-9b1caa3431be" xmlns:ns3="fde158db-9ad6-4e48-b618-6abd2e808126" targetNamespace="http://schemas.microsoft.com/office/2006/metadata/properties" ma:root="true" ma:fieldsID="0854e9e44ed6f3e9e2bc17563946b85f" ns2:_="" ns3:_="">
    <xsd:import namespace="438086d8-68c4-44e0-a2b1-9b1caa3431be"/>
    <xsd:import namespace="fde158db-9ad6-4e48-b618-6abd2e80812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8086d8-68c4-44e0-a2b1-9b1caa3431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08049582-af26-4f7a-a98f-3d23221832af"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de158db-9ad6-4e48-b618-6abd2e808126"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be93e05b-c2b8-40c6-a973-13c4fa7f8f3d}" ma:internalName="TaxCatchAll" ma:showField="CatchAllData" ma:web="fde158db-9ad6-4e48-b618-6abd2e80812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lentele" DocPartId="e79d5138ed4545ba9bd0909a858bd65a" PartId="19be2bc0b8d443a0a128bb03ff37290d">
    <Part Type="pabaiga" DocPartId="fefc21eb0ada4e9cac46470fba2fc8b0" PartId="6b9682bcdf42404fa42ad24b00bc603c"/>
  </Part>
</Parts>
</file>

<file path=customXml/itemProps1.xml><?xml version="1.0" encoding="utf-8"?>
<ds:datastoreItem xmlns:ds="http://schemas.openxmlformats.org/officeDocument/2006/customXml" ds:itemID="{A3ECA488-EBE5-4BA2-BFC4-702C375FFC2E}">
  <ds:schemaRefs>
    <ds:schemaRef ds:uri="http://schemas.microsoft.com/sharepoint/v3/contenttype/forms"/>
  </ds:schemaRefs>
</ds:datastoreItem>
</file>

<file path=customXml/itemProps2.xml><?xml version="1.0" encoding="utf-8"?>
<ds:datastoreItem xmlns:ds="http://schemas.openxmlformats.org/officeDocument/2006/customXml" ds:itemID="{7CDC82E2-640E-439A-A99B-5266AC6D188D}">
  <ds:schemaRefs>
    <ds:schemaRef ds:uri="http://purl.org/dc/dcmitype/"/>
    <ds:schemaRef ds:uri="http://schemas.microsoft.com/office/2006/documentManagement/types"/>
    <ds:schemaRef ds:uri="http://purl.org/dc/terms/"/>
    <ds:schemaRef ds:uri="http://www.w3.org/XML/1998/namespace"/>
    <ds:schemaRef ds:uri="438086d8-68c4-44e0-a2b1-9b1caa3431be"/>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fde158db-9ad6-4e48-b618-6abd2e808126"/>
  </ds:schemaRefs>
</ds:datastoreItem>
</file>

<file path=customXml/itemProps3.xml><?xml version="1.0" encoding="utf-8"?>
<ds:datastoreItem xmlns:ds="http://schemas.openxmlformats.org/officeDocument/2006/customXml" ds:itemID="{210F710B-F0E1-4354-BF99-179A667B89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8086d8-68c4-44e0-a2b1-9b1caa3431be"/>
    <ds:schemaRef ds:uri="fde158db-9ad6-4e48-b618-6abd2e8081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217E002-96E9-49CC-BAD7-EC2D11619EE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1429</Words>
  <Characters>10689</Characters>
  <Application>Microsoft Office Word</Application>
  <DocSecurity>4</DocSecurity>
  <Lines>260</Lines>
  <Paragraphs>85</Paragraphs>
  <ScaleCrop>false</ScaleCrop>
  <Company>LRV kanceliarija</Company>
  <LinksUpToDate>false</LinksUpToDate>
  <CharactersWithSpaces>12033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2026-03-27T06:24:00Z</dcterms:created>
  <dc:creator>iepa</dc:creator>
  <lastModifiedBy>adlibuser</lastModifiedBy>
  <lastPrinted>2008-03-17T21:18:00Z</lastPrinted>
  <dcterms:modified xsi:type="dcterms:W3CDTF">2026-03-27T06:24:00Z</dcterms:modified>
  <revision>2</revision>
  <dc:title>REGLAMENTO IR LIETUVOS RESPUBLIKOS NACIONALINIO TEISĖS AKTO PROJEKTO ATITIKTIES LENTELĖ</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0x01010008057CD66624FE4F809517943CCCE640</vt:lpwstr>
  </property>
  <property fmtid="{D5CDD505-2E9C-101B-9397-08002B2CF9AE}" pid="3" name="MediaServiceImageTags">
    <vt:lpwstr/>
  </property>
</Properties>
</file>