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37c55bd0ead440fb39e623c5f133e68"/>
        <w:lock w:val="sdtLocked"/>
        <w:richText/>
      </w:sdtPr>
      <w:sdtContent>
        <w:p>
          <w:pPr>
            <w:ind w:firstLine="142"/>
            <w:jc w:val="center"/>
            <w:rPr>
              <w:b/>
              <w:bCs/>
              <w:sz w:val="22"/>
              <w:szCs w:val="22"/>
            </w:rPr>
          </w:pPr>
          <w:r>
            <w:rPr>
              <w:b/>
              <w:bCs/>
              <w:sz w:val="22"/>
              <w:szCs w:val="22"/>
            </w:rPr>
            <w:t>DIREKTYVOS (ES) 2024/1275 IR NACIONALINIŲ TEISĖS AKTŲ (LIETUVOS RESPUBLIKOS ENERGETIKOS ĮSTATYMO</w:t>
          </w:r>
          <w:r>
            <w:rPr>
              <w:b/>
              <w:bCs/>
              <w:sz w:val="22"/>
              <w:szCs w:val="22"/>
              <w:lang w:eastAsia="lt-LT"/>
            </w:rPr>
            <w:t xml:space="preserve"> 27 STRAIPSNIO </w:t>
          </w:r>
          <w:r>
            <w:rPr>
              <w:b/>
              <w:bCs/>
              <w:caps/>
              <w:sz w:val="22"/>
              <w:szCs w:val="22"/>
              <w:lang w:eastAsia="lt-LT"/>
            </w:rPr>
            <w:t>PAKEITIMO</w:t>
          </w:r>
          <w:r>
            <w:rPr>
              <w:b/>
              <w:bCs/>
              <w:sz w:val="22"/>
              <w:szCs w:val="22"/>
              <w:lang w:eastAsia="lt-LT"/>
            </w:rPr>
            <w:t xml:space="preserve"> PROJEKTO) </w:t>
          </w:r>
          <w:r>
            <w:rPr>
              <w:b/>
              <w:bCs/>
              <w:sz w:val="22"/>
              <w:szCs w:val="22"/>
            </w:rPr>
            <w:t>ATITIKTIES LENTELĖ</w:t>
          </w:r>
        </w:p>
        <w:p>
          <w:pPr>
            <w:jc w:val="center"/>
            <w:rPr>
              <w:szCs w:val="24"/>
            </w:rPr>
          </w:pPr>
        </w:p>
        <w:p>
          <w:pPr>
            <w:jc w:val="center"/>
            <w:rPr>
              <w:szCs w:val="24"/>
            </w:rPr>
          </w:pPr>
        </w:p>
        <w:tbl>
          <w:tblPr>
            <w:tblW w:w="14835"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34"/>
            <w:gridCol w:w="8610"/>
            <w:gridCol w:w="1791"/>
          </w:tblGrid>
          <w:tr>
            <w:trPr>
              <w:trHeight w:val="300"/>
            </w:trPr>
            <w:tc>
              <w:tcPr>
                <w:tcW w:w="4434" w:type="dxa"/>
              </w:tcPr>
              <w:p>
                <w:pPr>
                  <w:tabs>
                    <w:tab w:val="center" w:pos="4153"/>
                    <w:tab w:val="right" w:pos="8306"/>
                  </w:tabs>
                  <w:jc w:val="both"/>
                  <w:rPr>
                    <w:i/>
                    <w:iCs/>
                    <w:color w:val="000000"/>
                    <w:szCs w:val="24"/>
                    <w:lang w:eastAsia="lt-LT"/>
                  </w:rPr>
                </w:pPr>
                <w:r>
                  <w:rPr>
                    <w:b/>
                    <w:color w:val="000000"/>
                    <w:szCs w:val="24"/>
                    <w:lang w:eastAsia="lt-LT"/>
                  </w:rPr>
                  <w:t xml:space="preserve">2024 m. balandžio 24 d. Europos Parlamento ir Tarybos direktyva </w:t>
                </w:r>
                <w:fldSimple w:instr="HYPERLINK http://eur-lex.europa.eu/legal-content/LIT/TXT/?uri=CELEX:32024L1275&amp;locale=lt \t _blank">
                  <w:r>
                    <w:rPr>
                      <w:b/>
                      <w:color w:val="0000FF" w:themeColor="hyperlink"/>
                      <w:szCs w:val="24"/>
                      <w:lang w:eastAsia="lt-LT"/>
                      <w:u w:val="single"/>
                    </w:rPr>
                    <w:t>(ES) 2024/1275</w:t>
                  </w:r>
                </w:fldSimple>
                <w:r>
                  <w:rPr>
                    <w:b/>
                    <w:color w:val="000000"/>
                    <w:szCs w:val="24"/>
                    <w:lang w:eastAsia="lt-LT"/>
                  </w:rPr>
                  <w:t xml:space="preserve"> dėl pastatų energinio naudingumo (nauja redakcija)</w:t>
                </w:r>
              </w:p>
            </w:tc>
            <w:tc>
              <w:tcPr>
                <w:tcW w:w="8610" w:type="dxa"/>
              </w:tcPr>
              <w:p>
                <w:pPr>
                  <w:ind w:left="644" w:hanging="360"/>
                  <w:jc w:val="both"/>
                  <w:rPr>
                    <w:b/>
                    <w:bCs/>
                    <w:color w:val="000000"/>
                    <w:szCs w:val="24"/>
                    <w:lang w:eastAsia="lt-LT"/>
                  </w:rPr>
                </w:pPr>
                <w:r>
                  <w:rPr>
                    <w:b/>
                    <w:bCs/>
                    <w:color w:val="000000"/>
                    <w:szCs w:val="24"/>
                    <w:lang w:eastAsia="lt-LT"/>
                  </w:rPr>
                  <w:t>1.</w:t>
                  <w:tab/>
                  <w:t xml:space="preserve">Lietuvos Respublikos energetikos įstatymo pakeitimo projektas (toliau – </w:t>
                </w:r>
                <w:r>
                  <w:rPr>
                    <w:b/>
                    <w:bCs/>
                    <w:color w:val="000000"/>
                    <w:sz w:val="22"/>
                    <w:szCs w:val="22"/>
                    <w:lang w:eastAsia="lt-LT"/>
                  </w:rPr>
                  <w:t>EĮ pakeitimo</w:t>
                </w:r>
                <w:r>
                  <w:rPr>
                    <w:b/>
                    <w:bCs/>
                    <w:color w:val="000000"/>
                    <w:szCs w:val="24"/>
                    <w:lang w:eastAsia="lt-LT"/>
                  </w:rPr>
                  <w:t xml:space="preserve"> projektas). </w:t>
                </w:r>
              </w:p>
              <w:p>
                <w:pPr>
                  <w:ind w:left="644" w:hanging="360"/>
                  <w:jc w:val="both"/>
                  <w:rPr>
                    <w:color w:val="000000"/>
                    <w:szCs w:val="24"/>
                    <w:lang w:eastAsia="lt-LT"/>
                  </w:rPr>
                </w:pPr>
                <w:r>
                  <w:rPr>
                    <w:color w:val="000000"/>
                    <w:szCs w:val="24"/>
                    <w:lang w:eastAsia="lt-LT"/>
                  </w:rPr>
                  <w:t>2.</w:t>
                  <w:tab/>
                  <w:t xml:space="preserve">Lietuvos Respublikos energetikos įstatymas (toliau – EĮ įstatymas). </w:t>
                </w:r>
              </w:p>
            </w:tc>
            <w:tc>
              <w:tcPr>
                <w:tcW w:w="1791" w:type="dxa"/>
              </w:tcPr>
              <w:p>
                <w:pPr>
                  <w:tabs>
                    <w:tab w:val="center" w:pos="4153"/>
                    <w:tab w:val="right" w:pos="8306"/>
                  </w:tabs>
                  <w:jc w:val="both"/>
                  <w:rPr>
                    <w:b/>
                    <w:color w:val="000000"/>
                    <w:szCs w:val="24"/>
                    <w:lang w:eastAsia="lt-LT"/>
                  </w:rPr>
                </w:pPr>
                <w:r>
                  <w:rPr>
                    <w:b/>
                    <w:color w:val="000000"/>
                    <w:szCs w:val="24"/>
                    <w:lang w:eastAsia="lt-LT"/>
                  </w:rPr>
                  <w:t>Direktyvos perkėlimo (įgyvendinimo) lygis (visiškas, dalinis)</w:t>
                </w:r>
              </w:p>
              <w:p>
                <w:pPr>
                  <w:tabs>
                    <w:tab w:val="center" w:pos="4153"/>
                    <w:tab w:val="right" w:pos="8306"/>
                  </w:tabs>
                  <w:jc w:val="both"/>
                  <w:rPr>
                    <w:i/>
                    <w:iCs/>
                    <w:color w:val="000000"/>
                    <w:szCs w:val="24"/>
                    <w:lang w:eastAsia="lt-LT"/>
                  </w:rPr>
                </w:pPr>
              </w:p>
            </w:tc>
          </w:tr>
          <w:tr>
            <w:trPr>
              <w:trHeight w:val="300"/>
            </w:trPr>
            <w:tc>
              <w:tcPr>
                <w:tcW w:w="14835" w:type="dxa"/>
                <w:gridSpan w:val="3"/>
              </w:tcPr>
              <w:p>
                <w:pPr>
                  <w:tabs>
                    <w:tab w:val="center" w:pos="4153"/>
                    <w:tab w:val="right" w:pos="8306"/>
                  </w:tabs>
                  <w:jc w:val="center"/>
                  <w:rPr>
                    <w:i/>
                    <w:iCs/>
                    <w:color w:val="000000"/>
                    <w:szCs w:val="24"/>
                    <w:lang w:eastAsia="lt-LT"/>
                  </w:rPr>
                </w:pPr>
                <w:r>
                  <w:rPr>
                    <w:i/>
                    <w:iCs/>
                    <w:color w:val="000000"/>
                    <w:szCs w:val="24"/>
                    <w:lang w:eastAsia="lt-LT"/>
                  </w:rPr>
                  <w:t>23 straipsnis</w:t>
                </w:r>
              </w:p>
              <w:p>
                <w:pPr>
                  <w:tabs>
                    <w:tab w:val="center" w:pos="4153"/>
                    <w:tab w:val="right" w:pos="8306"/>
                  </w:tabs>
                  <w:jc w:val="center"/>
                  <w:rPr>
                    <w:i/>
                    <w:iCs/>
                    <w:color w:val="000000"/>
                    <w:szCs w:val="24"/>
                    <w:lang w:eastAsia="lt-LT"/>
                  </w:rPr>
                </w:pPr>
                <w:r>
                  <w:rPr>
                    <w:b/>
                    <w:bCs/>
                    <w:color w:val="000000"/>
                    <w:szCs w:val="24"/>
                    <w:lang w:eastAsia="lt-LT"/>
                  </w:rPr>
                  <w:t>Patikrinimai</w:t>
                </w:r>
              </w:p>
            </w:tc>
          </w:tr>
          <w:tr>
            <w:tblPrEx>
              <w:tblLook w:val="04A0" w:firstRow="1" w:lastRow="0" w:firstColumn="1" w:lastColumn="0" w:noHBand="0" w:noVBand="1"/>
            </w:tblPrEx>
            <w:trPr>
              <w:trHeight w:val="300"/>
            </w:trPr>
            <w:tc>
              <w:tcPr>
                <w:tcW w:w="4434" w:type="dxa"/>
              </w:tcPr>
              <w:p>
                <w:pPr>
                  <w:tabs>
                    <w:tab w:val="left" w:pos="89"/>
                    <w:tab w:val="left" w:pos="311"/>
                  </w:tabs>
                  <w:jc w:val="both"/>
                  <w:rPr>
                    <w:i/>
                    <w:iCs/>
                    <w:color w:val="000000"/>
                    <w:sz w:val="22"/>
                    <w:szCs w:val="22"/>
                    <w:lang w:eastAsia="lt-LT"/>
                  </w:rPr>
                </w:pPr>
                <w:r>
                  <w:rPr>
                    <w:color w:val="000000"/>
                    <w:sz w:val="22"/>
                    <w:szCs w:val="22"/>
                    <w:lang w:eastAsia="lt-LT"/>
                  </w:rPr>
                  <w:t>1. Valstybės narės nustato būtinas priemones, siekdamos užtikrinti, kad būtų reguliariai tikrinamos prieinamos šildymo sistemų, vėdinimo sistemų ir oro kondicionavimo sistemų, kurių vardinė atiduodamoji galia yra didesnė kaip 70 kW, ar jų kombinacijos, dalys. Sistemos efektyvioji vardinė atiduodamoji galia grindžiama šilumos generatorių ir vėsumos generatorių sumine atiduodamąja galia.</w:t>
                </w:r>
              </w:p>
            </w:tc>
            <w:tc>
              <w:tcPr>
                <w:tcW w:w="8610" w:type="dxa"/>
              </w:tcPr>
              <w:p>
                <w:pPr>
                  <w:ind w:firstLine="17"/>
                  <w:jc w:val="both"/>
                  <w:rPr>
                    <w:b/>
                    <w:color w:val="000000"/>
                    <w:sz w:val="22"/>
                    <w:szCs w:val="22"/>
                    <w:lang w:eastAsia="lt-LT"/>
                  </w:rPr>
                </w:pPr>
                <w:r>
                  <w:rPr>
                    <w:b/>
                    <w:color w:val="000000"/>
                    <w:sz w:val="22"/>
                    <w:szCs w:val="22"/>
                    <w:lang w:eastAsia="lt-LT"/>
                  </w:rPr>
                  <w:t>EĮ įstatymas</w:t>
                </w:r>
              </w:p>
              <w:p>
                <w:pPr>
                  <w:ind w:firstLine="17"/>
                  <w:jc w:val="both"/>
                  <w:rPr>
                    <w:b/>
                    <w:color w:val="000000"/>
                    <w:sz w:val="22"/>
                    <w:szCs w:val="22"/>
                    <w:lang w:eastAsia="lt-LT"/>
                  </w:rPr>
                </w:pPr>
                <w:r>
                  <w:rPr>
                    <w:b/>
                    <w:color w:val="000000"/>
                    <w:sz w:val="22"/>
                    <w:szCs w:val="22"/>
                    <w:lang w:eastAsia="lt-LT"/>
                  </w:rPr>
                  <w:t xml:space="preserve">27 straipsnis. </w:t>
                </w:r>
              </w:p>
              <w:p>
                <w:pPr>
                  <w:ind w:firstLine="17"/>
                  <w:jc w:val="both"/>
                  <w:rPr>
                    <w:b/>
                    <w:color w:val="000000"/>
                    <w:sz w:val="22"/>
                    <w:szCs w:val="22"/>
                    <w:lang w:eastAsia="lt-LT"/>
                  </w:rPr>
                </w:pPr>
                <w:r>
                  <w:rPr>
                    <w:b/>
                    <w:color w:val="000000"/>
                    <w:sz w:val="22"/>
                    <w:szCs w:val="22"/>
                    <w:lang w:eastAsia="lt-LT"/>
                  </w:rPr>
                  <w:t>&lt;...&gt;</w:t>
                </w:r>
              </w:p>
              <w:p>
                <w:pPr>
                  <w:jc w:val="both"/>
                  <w:rPr>
                    <w:bCs/>
                    <w:color w:val="000000"/>
                    <w:sz w:val="22"/>
                    <w:szCs w:val="22"/>
                    <w:lang w:eastAsia="lt-LT"/>
                  </w:rPr>
                </w:pPr>
                <w:r>
                  <w:rPr>
                    <w:bCs/>
                    <w:color w:val="000000"/>
                    <w:sz w:val="22"/>
                    <w:szCs w:val="22"/>
                    <w:lang w:eastAsia="lt-LT"/>
                  </w:rPr>
                  <w:t>6. Pastatuose atitiktis nustatytiems energijos vartojimo efektyvumo reikalavimams tikrinama:</w:t>
                </w:r>
              </w:p>
              <w:p>
                <w:pPr>
                  <w:jc w:val="both"/>
                  <w:rPr>
                    <w:bCs/>
                    <w:color w:val="000000"/>
                    <w:sz w:val="22"/>
                    <w:szCs w:val="22"/>
                    <w:lang w:eastAsia="lt-LT"/>
                  </w:rPr>
                </w:pPr>
                <w:r>
                  <w:rPr>
                    <w:bCs/>
                    <w:color w:val="000000"/>
                    <w:sz w:val="22"/>
                    <w:szCs w:val="22"/>
                    <w:lang w:eastAsia="lt-LT"/>
                  </w:rPr>
                  <w:t>1) pastatuose įrengtų šildymo sistemų ir kombinuotųjų šildymo ir vėdinimo sistemų, kurių vardinė atiduodamoji galia didesnė kaip 70 kW, – kartą per penkerius metus;</w:t>
                </w:r>
              </w:p>
              <w:p>
                <w:pPr>
                  <w:jc w:val="both"/>
                  <w:rPr>
                    <w:bCs/>
                    <w:color w:val="000000"/>
                    <w:sz w:val="22"/>
                    <w:szCs w:val="22"/>
                    <w:lang w:eastAsia="lt-LT"/>
                  </w:rPr>
                </w:pPr>
                <w:r>
                  <w:rPr>
                    <w:bCs/>
                    <w:color w:val="000000"/>
                    <w:sz w:val="22"/>
                    <w:szCs w:val="22"/>
                    <w:lang w:eastAsia="lt-LT"/>
                  </w:rPr>
                  <w:t>&lt;...&gt;</w:t>
                </w:r>
              </w:p>
              <w:p>
                <w:pPr>
                  <w:jc w:val="both"/>
                  <w:rPr>
                    <w:bCs/>
                    <w:color w:val="000000"/>
                    <w:sz w:val="22"/>
                    <w:szCs w:val="22"/>
                    <w:lang w:eastAsia="lt-LT"/>
                  </w:rPr>
                </w:pPr>
                <w:r>
                  <w:rPr>
                    <w:bCs/>
                    <w:color w:val="000000"/>
                    <w:sz w:val="22"/>
                    <w:szCs w:val="22"/>
                    <w:lang w:eastAsia="lt-LT"/>
                  </w:rPr>
                  <w:t>3) pastatuose įrengtų oro kondicionavimo sistemų ir kombinuotųjų oro kondicionavimo ir vėdinimo sistemų, kurių vardinė atiduodamoji galia didesnė kaip 70 kW, – kartą per trejus metus.</w:t>
                </w:r>
              </w:p>
              <w:p>
                <w:pPr>
                  <w:jc w:val="both"/>
                  <w:rPr>
                    <w:bCs/>
                    <w:color w:val="000000"/>
                    <w:sz w:val="22"/>
                    <w:szCs w:val="22"/>
                    <w:lang w:eastAsia="lt-LT"/>
                  </w:rPr>
                </w:pPr>
                <w:r>
                  <w:rPr>
                    <w:bCs/>
                    <w:color w:val="000000"/>
                    <w:sz w:val="22"/>
                    <w:szCs w:val="22"/>
                    <w:lang w:eastAsia="lt-LT"/>
                  </w:rPr>
                  <w:t>&lt;...&gt;</w:t>
                </w:r>
              </w:p>
              <w:p>
                <w:pPr>
                  <w:jc w:val="both"/>
                  <w:rPr>
                    <w:b/>
                    <w:color w:val="000000"/>
                    <w:sz w:val="22"/>
                    <w:szCs w:val="22"/>
                    <w:lang w:eastAsia="lt-LT"/>
                  </w:rPr>
                </w:pPr>
              </w:p>
            </w:tc>
            <w:tc>
              <w:tcPr>
                <w:tcW w:w="1791" w:type="dxa"/>
              </w:tcPr>
              <w:p>
                <w:pPr>
                  <w:rPr>
                    <w:sz w:val="6"/>
                    <w:szCs w:val="6"/>
                  </w:rPr>
                </w:pPr>
              </w:p>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ook w:val="04A0" w:firstRow="1" w:lastRow="0" w:firstColumn="1" w:lastColumn="0" w:noHBand="0" w:noVBand="1"/>
            </w:tblPrEx>
            <w:trPr>
              <w:trHeight w:val="300"/>
            </w:trPr>
            <w:tc>
              <w:tcPr>
                <w:tcW w:w="4434" w:type="dxa"/>
              </w:tcPr>
              <w:p>
                <w:pPr>
                  <w:tabs>
                    <w:tab w:val="left" w:pos="89"/>
                    <w:tab w:val="left" w:pos="311"/>
                  </w:tabs>
                  <w:jc w:val="both"/>
                  <w:rPr>
                    <w:color w:val="000000"/>
                    <w:sz w:val="22"/>
                    <w:szCs w:val="22"/>
                    <w:lang w:eastAsia="lt-LT"/>
                  </w:rPr>
                </w:pPr>
                <w:r>
                  <w:rPr>
                    <w:color w:val="000000"/>
                    <w:sz w:val="22"/>
                    <w:szCs w:val="22"/>
                    <w:lang w:eastAsia="lt-LT"/>
                  </w:rPr>
                  <w:t>2. Valstybės narės gali nustatyti atskiras gyvenamųjų ir negyvenamųjų namų sistemų tikrinimo sistemas.</w:t>
                </w:r>
              </w:p>
            </w:tc>
            <w:tc>
              <w:tcPr>
                <w:tcW w:w="8610" w:type="dxa"/>
              </w:tcPr>
              <w:p>
                <w:pPr>
                  <w:jc w:val="both"/>
                  <w:rPr>
                    <w:color w:val="000000"/>
                    <w:sz w:val="22"/>
                    <w:szCs w:val="22"/>
                    <w:lang w:eastAsia="lt-LT"/>
                  </w:rPr>
                </w:pPr>
                <w:r>
                  <w:rPr>
                    <w:bCs/>
                    <w:i/>
                    <w:iCs/>
                    <w:color w:val="000000"/>
                    <w:sz w:val="22"/>
                    <w:szCs w:val="22"/>
                    <w:lang w:eastAsia="lt-LT"/>
                  </w:rPr>
                  <w:t>Komentaras: Dispozityvi nuostata, kurios neprivaloma įgyvendinti.</w:t>
                </w:r>
              </w:p>
            </w:tc>
            <w:tc>
              <w:tcPr>
                <w:tcW w:w="1791" w:type="dxa"/>
              </w:tcPr>
              <w:p>
                <w:pPr>
                  <w:rPr>
                    <w:sz w:val="6"/>
                    <w:szCs w:val="6"/>
                  </w:rPr>
                </w:pPr>
              </w:p>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ook w:val="04A0" w:firstRow="1" w:lastRow="0" w:firstColumn="1" w:lastColumn="0" w:noHBand="0" w:noVBand="1"/>
            </w:tblPrEx>
            <w:trPr>
              <w:trHeight w:val="300"/>
            </w:trPr>
            <w:tc>
              <w:tcPr>
                <w:tcW w:w="4434" w:type="dxa"/>
              </w:tcPr>
              <w:p>
                <w:pPr>
                  <w:tabs>
                    <w:tab w:val="left" w:pos="89"/>
                    <w:tab w:val="left" w:pos="311"/>
                  </w:tabs>
                  <w:jc w:val="both"/>
                  <w:rPr>
                    <w:color w:val="000000"/>
                    <w:sz w:val="22"/>
                    <w:szCs w:val="22"/>
                    <w:lang w:eastAsia="lt-LT"/>
                  </w:rPr>
                </w:pPr>
                <w:r>
                  <w:rPr>
                    <w:color w:val="000000"/>
                    <w:sz w:val="22"/>
                    <w:szCs w:val="22"/>
                    <w:lang w:eastAsia="lt-LT"/>
                  </w:rPr>
                  <w:t>3. Valstybės narės gali nustatyti skirtingą tikrinimų dažnumą, priklausomai nuo sistemos tipo ir vardinės atiduodamosios galios, atsižvelgdamos į sistemos tikrinimo išlaidas ir į tai, kiek po patikrinimo gali būti sutaupoma energijos išlaidų. Sistemos tikrinamos ne rečiau kaip kas penkerius metus. Sistemos, kurių generatorių vardinė atiduodamoji galia didesnė nei 290 kW, tikrinamos ne rečiau kaip kas trejus metus.</w:t>
                </w:r>
              </w:p>
            </w:tc>
            <w:tc>
              <w:tcPr>
                <w:tcW w:w="8610" w:type="dxa"/>
              </w:tcPr>
              <w:p>
                <w:pPr>
                  <w:jc w:val="both"/>
                  <w:rPr>
                    <w:b/>
                    <w:bCs/>
                    <w:color w:val="000000"/>
                    <w:sz w:val="22"/>
                    <w:szCs w:val="22"/>
                    <w:lang w:eastAsia="lt-LT"/>
                  </w:rPr>
                </w:pPr>
                <w:r>
                  <w:rPr>
                    <w:b/>
                    <w:bCs/>
                    <w:color w:val="000000"/>
                    <w:sz w:val="22"/>
                    <w:szCs w:val="22"/>
                    <w:lang w:eastAsia="lt-LT"/>
                  </w:rPr>
                  <w:t>EĮ pakeitimo projektas</w:t>
                </w:r>
              </w:p>
              <w:p>
                <w:pPr>
                  <w:jc w:val="both"/>
                  <w:rPr>
                    <w:b/>
                    <w:bCs/>
                    <w:color w:val="000000"/>
                    <w:sz w:val="22"/>
                    <w:szCs w:val="22"/>
                    <w:lang w:eastAsia="lt-LT"/>
                  </w:rPr>
                </w:pPr>
                <w:r>
                  <w:rPr>
                    <w:b/>
                    <w:bCs/>
                    <w:color w:val="000000"/>
                    <w:sz w:val="22"/>
                    <w:szCs w:val="22"/>
                    <w:lang w:eastAsia="lt-LT"/>
                  </w:rPr>
                  <w:t>&lt;...&gt;</w:t>
                </w:r>
              </w:p>
              <w:p>
                <w:pPr>
                  <w:ind w:firstLine="720"/>
                  <w:jc w:val="both"/>
                  <w:rPr>
                    <w:b/>
                    <w:bCs/>
                    <w:color w:val="000000"/>
                    <w:szCs w:val="24"/>
                    <w:lang w:eastAsia="lt-LT"/>
                  </w:rPr>
                </w:pPr>
                <w:r>
                  <w:rPr>
                    <w:b/>
                    <w:bCs/>
                    <w:color w:val="000000"/>
                    <w:szCs w:val="24"/>
                    <w:lang w:eastAsia="lt-LT"/>
                  </w:rPr>
                  <w:t>4 straipsnis. 27 straipsnio pakeitimas</w:t>
                </w:r>
              </w:p>
              <w:p>
                <w:pPr>
                  <w:spacing w:line="257" w:lineRule="auto"/>
                  <w:jc w:val="both"/>
                  <w:rPr>
                    <w:color w:val="000000"/>
                    <w:szCs w:val="24"/>
                    <w:lang w:eastAsia="zh-TW"/>
                  </w:rPr>
                </w:pPr>
                <w:r>
                  <w:rPr>
                    <w:color w:val="000000"/>
                    <w:szCs w:val="24"/>
                    <w:lang w:eastAsia="zh-TW"/>
                  </w:rPr>
                  <w:t>1. Pakeisti 27 straipsnio 6 dalies 1 punktą ir jį išdėstyti taip:</w:t>
                </w:r>
              </w:p>
              <w:p>
                <w:pPr>
                  <w:spacing w:line="257" w:lineRule="auto"/>
                  <w:jc w:val="both"/>
                  <w:rPr>
                    <w:color w:val="000000"/>
                    <w:szCs w:val="24"/>
                    <w:lang w:eastAsia="zh-TW"/>
                  </w:rPr>
                </w:pPr>
                <w:r>
                  <w:rPr>
                    <w:color w:val="000000"/>
                    <w:szCs w:val="24"/>
                    <w:lang w:eastAsia="zh-TW"/>
                  </w:rPr>
                  <w:t xml:space="preserve">1) pastatuose įrengtų šildymo sistemų, </w:t>
                </w:r>
                <w:r>
                  <w:rPr>
                    <w:strike/>
                    <w:color w:val="000000"/>
                    <w:szCs w:val="24"/>
                    <w:lang w:eastAsia="zh-TW"/>
                  </w:rPr>
                  <w:t>ir kombinuotųjų šildymo ir</w:t>
                </w:r>
                <w:r>
                  <w:rPr>
                    <w:color w:val="000000"/>
                    <w:szCs w:val="24"/>
                    <w:lang w:eastAsia="zh-TW"/>
                  </w:rPr>
                  <w:t xml:space="preserve"> vėdinimo sistemų </w:t>
                </w:r>
                <w:r>
                  <w:rPr>
                    <w:b/>
                    <w:bCs/>
                    <w:color w:val="000000"/>
                    <w:szCs w:val="24"/>
                    <w:lang w:eastAsia="zh-TW"/>
                  </w:rPr>
                  <w:t>ir oro kondicionavimo sistemų</w:t>
                </w:r>
                <w:r>
                  <w:rPr>
                    <w:color w:val="000000"/>
                    <w:szCs w:val="24"/>
                    <w:lang w:eastAsia="zh-TW"/>
                  </w:rPr>
                  <w:t>, kurių vardinė atiduodamoji galia didesnė kaip 70 kW, – kartą per penkerius metus;</w:t>
                </w:r>
              </w:p>
              <w:p>
                <w:pPr>
                  <w:spacing w:line="257" w:lineRule="auto"/>
                  <w:jc w:val="both"/>
                  <w:rPr>
                    <w:color w:val="000000"/>
                    <w:szCs w:val="24"/>
                    <w:lang w:eastAsia="zh-TW"/>
                  </w:rPr>
                </w:pPr>
                <w:r>
                  <w:rPr>
                    <w:color w:val="000000"/>
                    <w:szCs w:val="24"/>
                    <w:lang w:eastAsia="zh-TW"/>
                  </w:rPr>
                  <w:t>2. Pripažinti netekusiu galios 27 straipsnio 6 dalies 2 punktą.</w:t>
                </w:r>
              </w:p>
              <w:p>
                <w:pPr>
                  <w:spacing w:line="257" w:lineRule="auto"/>
                  <w:jc w:val="both"/>
                  <w:rPr>
                    <w:color w:val="000000"/>
                    <w:szCs w:val="24"/>
                    <w:lang w:eastAsia="zh-TW"/>
                  </w:rPr>
                </w:pPr>
                <w:r>
                  <w:rPr>
                    <w:color w:val="000000"/>
                    <w:szCs w:val="24"/>
                    <w:lang w:eastAsia="zh-TW"/>
                  </w:rPr>
                  <w:t>3. Pakeisti 27 straipsnio 6 dalies 3 punktą ir jį išdėstyti taip:</w:t>
                </w:r>
              </w:p>
              <w:p>
                <w:pPr>
                  <w:spacing w:line="257" w:lineRule="auto"/>
                  <w:jc w:val="both"/>
                  <w:rPr>
                    <w:color w:val="000000"/>
                    <w:szCs w:val="24"/>
                    <w:lang w:eastAsia="zh-TW"/>
                  </w:rPr>
                </w:pPr>
                <w:r>
                  <w:rPr>
                    <w:color w:val="000000"/>
                    <w:szCs w:val="24"/>
                    <w:lang w:eastAsia="zh-TW"/>
                  </w:rPr>
                  <w:t xml:space="preserve">3) pastatuose įrengtų </w:t>
                </w:r>
                <w:r>
                  <w:rPr>
                    <w:b/>
                    <w:bCs/>
                    <w:color w:val="000000"/>
                    <w:szCs w:val="24"/>
                    <w:lang w:eastAsia="zh-TW"/>
                  </w:rPr>
                  <w:t>šildymo sistemų, vėdinimo sistemų ir</w:t>
                </w:r>
                <w:r>
                  <w:rPr>
                    <w:color w:val="000000"/>
                    <w:szCs w:val="24"/>
                    <w:lang w:eastAsia="zh-TW"/>
                  </w:rPr>
                  <w:t xml:space="preserve"> oro kondicionavimo sistemų </w:t>
                </w:r>
                <w:r>
                  <w:rPr>
                    <w:strike/>
                    <w:color w:val="000000"/>
                    <w:szCs w:val="24"/>
                    <w:lang w:eastAsia="zh-TW"/>
                  </w:rPr>
                  <w:t>ir kombinuotųjų oro kondicionavimo ir vėdinimo sistemų</w:t>
                </w:r>
                <w:r>
                  <w:rPr>
                    <w:color w:val="000000"/>
                    <w:szCs w:val="24"/>
                    <w:lang w:eastAsia="zh-TW"/>
                  </w:rPr>
                  <w:t xml:space="preserve">, kurių vardinė atiduodamoji galia didesnė kaip </w:t>
                </w:r>
                <w:r>
                  <w:rPr>
                    <w:b/>
                    <w:bCs/>
                    <w:color w:val="000000"/>
                    <w:szCs w:val="24"/>
                    <w:lang w:eastAsia="zh-TW"/>
                  </w:rPr>
                  <w:t>290</w:t>
                </w:r>
                <w:r>
                  <w:rPr>
                    <w:strike/>
                    <w:color w:val="000000"/>
                    <w:szCs w:val="24"/>
                    <w:lang w:eastAsia="zh-TW"/>
                  </w:rPr>
                  <w:t>70</w:t>
                </w:r>
                <w:r>
                  <w:rPr>
                    <w:color w:val="000000"/>
                    <w:szCs w:val="24"/>
                    <w:lang w:eastAsia="zh-TW"/>
                  </w:rPr>
                  <w:t xml:space="preserve"> kW, – kartą per trejus metus.</w:t>
                </w:r>
              </w:p>
              <w:p>
                <w:pPr>
                  <w:jc w:val="both"/>
                  <w:rPr>
                    <w:color w:val="000000"/>
                    <w:sz w:val="22"/>
                    <w:szCs w:val="22"/>
                    <w:lang w:eastAsia="lt-LT"/>
                  </w:rPr>
                </w:pPr>
                <w:r>
                  <w:rPr>
                    <w:color w:val="000000"/>
                    <w:sz w:val="22"/>
                    <w:szCs w:val="22"/>
                    <w:lang w:eastAsia="lt-LT"/>
                  </w:rPr>
                  <w:t>&lt;...&gt;</w:t>
                </w:r>
              </w:p>
            </w:tc>
            <w:tc>
              <w:tcPr>
                <w:tcW w:w="1791" w:type="dxa"/>
              </w:tcPr>
              <w:p>
                <w:pPr>
                  <w:rPr>
                    <w:sz w:val="6"/>
                    <w:szCs w:val="6"/>
                  </w:rPr>
                </w:pPr>
              </w:p>
              <w:p>
                <w:pPr>
                  <w:tabs>
                    <w:tab w:val="center" w:pos="4153"/>
                    <w:tab w:val="right" w:pos="8306"/>
                  </w:tabs>
                  <w:jc w:val="both"/>
                  <w:rPr>
                    <w:b/>
                    <w:color w:val="000000"/>
                    <w:sz w:val="22"/>
                    <w:szCs w:val="22"/>
                    <w:lang w:eastAsia="lt-LT"/>
                  </w:rPr>
                </w:pPr>
                <w:r>
                  <w:rPr>
                    <w:b/>
                    <w:color w:val="000000"/>
                    <w:sz w:val="22"/>
                    <w:szCs w:val="22"/>
                    <w:lang w:eastAsia="lt-LT"/>
                  </w:rPr>
                  <w:t xml:space="preserve">Visiškas </w:t>
                </w:r>
              </w:p>
              <w:p>
                <w:pPr>
                  <w:rPr>
                    <w:sz w:val="6"/>
                    <w:szCs w:val="6"/>
                  </w:rPr>
                </w:pPr>
              </w:p>
              <w:p>
                <w:pPr>
                  <w:tabs>
                    <w:tab w:val="center" w:pos="4153"/>
                    <w:tab w:val="right" w:pos="8306"/>
                  </w:tabs>
                  <w:jc w:val="both"/>
                  <w:rPr>
                    <w:bCs/>
                    <w:i/>
                    <w:iCs/>
                    <w:color w:val="000000"/>
                    <w:sz w:val="22"/>
                    <w:szCs w:val="22"/>
                    <w:lang w:eastAsia="lt-LT"/>
                  </w:rPr>
                </w:pPr>
              </w:p>
            </w:tc>
          </w:tr>
          <w:tr>
            <w:tblPrEx>
              <w:tblLook w:val="04A0" w:firstRow="1" w:lastRow="0" w:firstColumn="1" w:lastColumn="0" w:noHBand="0" w:noVBand="1"/>
            </w:tblPrEx>
            <w:trPr>
              <w:trHeight w:val="300"/>
            </w:trPr>
            <w:tc>
              <w:tcPr>
                <w:tcW w:w="4434" w:type="dxa"/>
              </w:tcPr>
              <w:p>
                <w:pPr>
                  <w:tabs>
                    <w:tab w:val="left" w:pos="89"/>
                    <w:tab w:val="left" w:pos="311"/>
                  </w:tabs>
                  <w:jc w:val="both"/>
                  <w:rPr>
                    <w:color w:val="000000"/>
                    <w:sz w:val="22"/>
                    <w:szCs w:val="22"/>
                    <w:lang w:eastAsia="lt-LT"/>
                  </w:rPr>
                </w:pPr>
                <w:r>
                  <w:rPr>
                    <w:color w:val="000000"/>
                    <w:sz w:val="22"/>
                    <w:szCs w:val="22"/>
                    <w:lang w:eastAsia="lt-LT"/>
                  </w:rPr>
                  <w:t>4. Patikrinimo metu, be kita ko, vertinamas generatorius (-iai), cirkuliaciniai siurbliai ir, kai tinkama, vėdinimo sistemų komponentai, oro ir vandens paskirstymo sistemos, hidraulinės balansavimo sistemos ir kontrolės sistemos. Valstybės narės gali į tikrinimo sistemas įtraukti visas papildomas I priede nurodytas pastatų sistemas.</w:t>
                </w:r>
              </w:p>
              <w:p>
                <w:pPr>
                  <w:rPr>
                    <w:sz w:val="10"/>
                    <w:szCs w:val="10"/>
                  </w:rPr>
                </w:pPr>
              </w:p>
              <w:p>
                <w:pPr>
                  <w:tabs>
                    <w:tab w:val="left" w:pos="89"/>
                    <w:tab w:val="left" w:pos="311"/>
                  </w:tabs>
                  <w:jc w:val="both"/>
                  <w:rPr>
                    <w:color w:val="000000"/>
                    <w:sz w:val="22"/>
                    <w:szCs w:val="22"/>
                    <w:lang w:eastAsia="lt-LT"/>
                  </w:rPr>
                </w:pPr>
                <w:r>
                  <w:rPr>
                    <w:color w:val="000000"/>
                    <w:sz w:val="22"/>
                    <w:szCs w:val="22"/>
                    <w:lang w:eastAsia="lt-LT"/>
                  </w:rPr>
                  <w:t>To patikrinimo metu, be kita ko, įvertinamas šilumos generatoriaus (-ių) ir vėsumos generatoriaus (-ių) ir jo (jų) pagrindinių sudedamųjų dalių efektyvumas ir dydis, palyginti su pastato reikalavimais, ir atsižvelgiama į sistemos pajėgumus optimizuoti savo naudingumą tipinėmis arba vidutinėmis eksploatavimo sąlygomis, naudojant turimas energijos taupymo technologijas, ir dėl naudojimo variacijų kintančiomis sąlygomis. Atitinkamais atvejais per patikrinimą įvertinama, ar sistema gali veikti esant skirtingiems ir efektyvesniems temperatūros nuostačiams, pavyzdžiui, vandeninės šildymo sistemos – esant žemai temperatūrai, be kita ko, suprojektuojant šiluminės galios atidavimo būdą ir pasitelkiant temperatūros bei srauto reikalavimus, kartu užtikrinant saugų sistemos veikimą. Patikrinimo metu, kai tinkama, atliekamas galimybių sumažinti iškastinio kuro naudojimą vietoje, pavyzdžiui, integruojant atsinaujinančiųjų išteklių energiją, keičiant energijos šaltinį arba pakeičiant ar pritaikant esamas sistemas, pagrindinis vertinimas.</w:t>
                </w:r>
              </w:p>
              <w:p>
                <w:pPr>
                  <w:rPr>
                    <w:sz w:val="10"/>
                    <w:szCs w:val="10"/>
                  </w:rPr>
                </w:pPr>
              </w:p>
              <w:p>
                <w:pPr>
                  <w:tabs>
                    <w:tab w:val="left" w:pos="89"/>
                    <w:tab w:val="left" w:pos="311"/>
                  </w:tabs>
                  <w:jc w:val="both"/>
                  <w:rPr>
                    <w:color w:val="000000"/>
                    <w:sz w:val="22"/>
                    <w:szCs w:val="22"/>
                    <w:lang w:eastAsia="lt-LT"/>
                  </w:rPr>
                </w:pPr>
                <w:r>
                  <w:rPr>
                    <w:color w:val="000000"/>
                    <w:sz w:val="22"/>
                    <w:szCs w:val="22"/>
                    <w:lang w:eastAsia="lt-LT"/>
                  </w:rPr>
                  <w:t>Jeigu įrengta vėdinimo sistema, taip pat įvertinamas jos dydis ir pajėgumai optimizuoti savo veiksmingumą tipinėmis arba vidutinėmis eksploatavimo sąlygomis, aktualiomis konkrečiam arba dabartiniam pastato naudojimui.</w:t>
                </w:r>
              </w:p>
              <w:p>
                <w:pPr>
                  <w:rPr>
                    <w:sz w:val="10"/>
                    <w:szCs w:val="10"/>
                  </w:rPr>
                </w:pPr>
              </w:p>
              <w:p>
                <w:pPr>
                  <w:tabs>
                    <w:tab w:val="left" w:pos="89"/>
                    <w:tab w:val="left" w:pos="311"/>
                  </w:tabs>
                  <w:jc w:val="both"/>
                  <w:rPr>
                    <w:color w:val="000000"/>
                    <w:sz w:val="22"/>
                    <w:szCs w:val="22"/>
                    <w:lang w:eastAsia="lt-LT"/>
                  </w:rPr>
                </w:pPr>
                <w:r>
                  <w:rPr>
                    <w:color w:val="000000"/>
                    <w:sz w:val="22"/>
                    <w:szCs w:val="22"/>
                    <w:lang w:eastAsia="lt-LT"/>
                  </w:rPr>
                  <w:t>Jeigu po patikrinimo, atlikto pagal šį straipsnį, sistemoje nebuvo padaryta jokių pakeitimų ir nepakito pastato reikalavimai, valstybės narės gali nuspręsti nereikalauti pakartotinai atlikti pagrindinės sudedamosios dalies dydžio įvertinimo arba veikimo esant skirtingai temperatūrai įvertinimo.</w:t>
                </w:r>
              </w:p>
            </w:tc>
            <w:tc>
              <w:tcPr>
                <w:tcW w:w="8610" w:type="dxa"/>
              </w:tcPr>
              <w:p>
                <w:pPr>
                  <w:jc w:val="both"/>
                  <w:rPr>
                    <w:b/>
                    <w:bCs/>
                    <w:color w:val="000000"/>
                    <w:sz w:val="22"/>
                    <w:szCs w:val="22"/>
                    <w:lang w:eastAsia="lt-LT"/>
                  </w:rPr>
                </w:pPr>
                <w:r>
                  <w:rPr>
                    <w:b/>
                    <w:bCs/>
                    <w:color w:val="000000"/>
                    <w:sz w:val="22"/>
                    <w:szCs w:val="22"/>
                    <w:lang w:eastAsia="lt-LT"/>
                  </w:rPr>
                  <w:t>EĮ pakeitimo projektas</w:t>
                </w:r>
              </w:p>
              <w:p>
                <w:pPr>
                  <w:jc w:val="both"/>
                  <w:rPr>
                    <w:b/>
                    <w:bCs/>
                    <w:color w:val="000000"/>
                    <w:sz w:val="22"/>
                    <w:szCs w:val="22"/>
                    <w:lang w:eastAsia="lt-LT"/>
                  </w:rPr>
                </w:pPr>
                <w:r>
                  <w:rPr>
                    <w:b/>
                    <w:bCs/>
                    <w:color w:val="000000"/>
                    <w:sz w:val="22"/>
                    <w:szCs w:val="22"/>
                    <w:lang w:eastAsia="lt-LT"/>
                  </w:rPr>
                  <w:t>&lt;...&gt;</w:t>
                </w:r>
              </w:p>
              <w:p>
                <w:pPr>
                  <w:jc w:val="both"/>
                  <w:rPr>
                    <w:b/>
                    <w:bCs/>
                    <w:color w:val="000000"/>
                    <w:szCs w:val="24"/>
                    <w:lang w:eastAsia="lt-LT"/>
                  </w:rPr>
                </w:pPr>
                <w:r>
                  <w:rPr>
                    <w:b/>
                    <w:bCs/>
                    <w:color w:val="000000"/>
                    <w:szCs w:val="24"/>
                    <w:lang w:eastAsia="lt-LT"/>
                  </w:rPr>
                  <w:t>4 straipsnis. 27 straipsnio pakeitimas</w:t>
                </w:r>
              </w:p>
              <w:p>
                <w:pPr>
                  <w:jc w:val="both"/>
                  <w:rPr>
                    <w:color w:val="000000"/>
                    <w:szCs w:val="24"/>
                    <w:lang w:eastAsia="lt-LT"/>
                  </w:rPr>
                </w:pPr>
                <w:r>
                  <w:rPr>
                    <w:color w:val="000000"/>
                    <w:szCs w:val="24"/>
                    <w:lang w:eastAsia="lt-LT"/>
                  </w:rPr>
                  <w:t>&lt;...&gt;</w:t>
                </w:r>
              </w:p>
              <w:p>
                <w:pPr>
                  <w:spacing w:line="257" w:lineRule="auto"/>
                  <w:jc w:val="both"/>
                  <w:rPr>
                    <w:color w:val="000000"/>
                    <w:szCs w:val="24"/>
                    <w:lang w:eastAsia="zh-TW"/>
                  </w:rPr>
                </w:pPr>
                <w:r>
                  <w:rPr>
                    <w:color w:val="000000"/>
                    <w:szCs w:val="24"/>
                    <w:lang w:eastAsia="zh-TW"/>
                  </w:rPr>
                  <w:t>4. Pripažinti netekusia galios 27 straipsnio 7 dalį.</w:t>
                </w:r>
              </w:p>
              <w:p>
                <w:pPr>
                  <w:spacing w:line="257" w:lineRule="auto"/>
                  <w:jc w:val="both"/>
                  <w:rPr>
                    <w:strike/>
                    <w:color w:val="000000"/>
                    <w:szCs w:val="24"/>
                    <w:lang w:eastAsia="zh-TW"/>
                  </w:rPr>
                </w:pPr>
                <w:r>
                  <w:rPr>
                    <w:strike/>
                    <w:color w:val="000000"/>
                    <w:szCs w:val="24"/>
                    <w:lang w:eastAsia="zh-TW"/>
                  </w:rPr>
                  <w:t>7. Šio straipsnio 6 dalies 1 ir 2 punktuose nustatytų tikrinimų metu vertinamas šilumos generatoriaus naudingumo koeficientas ir dydis, palyginti su pastato šildymo poreikiais. Šilumos generatoriaus dydžio atitikties pastato šildymo poreikiams vertinimas neturi būti atliekamas pakartotinai, jeigu toje šildymo sistemoje arba kombinuotojoje šildymo ir vėdinimo sistemoje nebuvo atlikta pakeitimų arba per tą laiką nepakito pastato šildymo poreikiai.</w:t>
                </w:r>
              </w:p>
              <w:p>
                <w:pPr>
                  <w:spacing w:line="257" w:lineRule="auto"/>
                  <w:jc w:val="both"/>
                  <w:rPr>
                    <w:color w:val="000000"/>
                    <w:szCs w:val="24"/>
                    <w:lang w:eastAsia="zh-TW"/>
                  </w:rPr>
                </w:pPr>
                <w:r>
                  <w:rPr>
                    <w:color w:val="000000"/>
                    <w:szCs w:val="24"/>
                    <w:lang w:eastAsia="zh-TW"/>
                  </w:rPr>
                  <w:t>5. Pripažinti netekusia galios 27 straipsnio 8 dalį.</w:t>
                </w:r>
              </w:p>
              <w:p>
                <w:pPr>
                  <w:spacing w:line="257" w:lineRule="auto"/>
                  <w:jc w:val="both"/>
                  <w:rPr>
                    <w:color w:val="000000"/>
                    <w:szCs w:val="24"/>
                    <w:lang w:eastAsia="zh-TW"/>
                  </w:rPr>
                </w:pPr>
                <w:r>
                  <w:rPr>
                    <w:strike/>
                    <w:color w:val="000000"/>
                    <w:szCs w:val="24"/>
                    <w:lang w:eastAsia="zh-TW"/>
                  </w:rPr>
                  <w:t>8. Šio straipsnio 6 dalies 3 punkte nustatytų tikrinimų metu vertinamas oro kondicionavimo sistemos naudingumo koeficientas ir dydis, palyginti su pastato vėsinimo poreikiais. Oro kondicionavimo sistemos dydžio atitikties pastato vėsinimo poreikiams vertinimas neturi būti atliekamas pakartotinai, jeigu toje oro kondicionavimo sistemoje arba kombinuotojoje oro kondicionavimo ir vėdinimo sistemoje nebuvo atlikta pakeitimų arba per tą laiką nepakito pastato vėsinimo poreikiai.</w:t>
                </w:r>
              </w:p>
              <w:p>
                <w:pPr>
                  <w:jc w:val="both"/>
                  <w:rPr>
                    <w:i/>
                    <w:iCs/>
                    <w:color w:val="000000"/>
                    <w:sz w:val="22"/>
                    <w:szCs w:val="22"/>
                    <w:lang w:eastAsia="lt-LT"/>
                  </w:rPr>
                </w:pPr>
              </w:p>
            </w:tc>
            <w:tc>
              <w:tcPr>
                <w:tcW w:w="1791" w:type="dxa"/>
              </w:tcPr>
              <w:p>
                <w:pPr>
                  <w:rPr>
                    <w:sz w:val="6"/>
                    <w:szCs w:val="6"/>
                  </w:rPr>
                </w:pPr>
              </w:p>
              <w:p>
                <w:pPr>
                  <w:tabs>
                    <w:tab w:val="center" w:pos="4153"/>
                    <w:tab w:val="right" w:pos="8306"/>
                  </w:tabs>
                  <w:jc w:val="both"/>
                  <w:rPr>
                    <w:b/>
                    <w:color w:val="000000"/>
                    <w:sz w:val="22"/>
                    <w:szCs w:val="22"/>
                    <w:lang w:eastAsia="lt-LT"/>
                  </w:rPr>
                </w:pPr>
                <w:r>
                  <w:rPr>
                    <w:b/>
                    <w:color w:val="000000"/>
                    <w:sz w:val="22"/>
                    <w:szCs w:val="22"/>
                    <w:lang w:eastAsia="lt-LT"/>
                  </w:rPr>
                  <w:t>Dalinis</w:t>
                </w:r>
              </w:p>
              <w:p>
                <w:pPr>
                  <w:rPr>
                    <w:sz w:val="6"/>
                    <w:szCs w:val="6"/>
                  </w:rPr>
                </w:pPr>
              </w:p>
              <w:p>
                <w:pPr>
                  <w:tabs>
                    <w:tab w:val="center" w:pos="4153"/>
                    <w:tab w:val="right" w:pos="8306"/>
                  </w:tabs>
                  <w:jc w:val="both"/>
                  <w:rPr>
                    <w:b/>
                    <w:color w:val="000000"/>
                    <w:sz w:val="22"/>
                    <w:szCs w:val="22"/>
                    <w:lang w:eastAsia="lt-LT"/>
                  </w:rPr>
                </w:pPr>
                <w:r>
                  <w:rPr>
                    <w:bCs/>
                    <w:i/>
                    <w:iCs/>
                    <w:color w:val="000000"/>
                    <w:sz w:val="22"/>
                    <w:szCs w:val="22"/>
                    <w:lang w:eastAsia="lt-LT"/>
                  </w:rPr>
                  <w:t>Pastaba. Visiškas nuostatos perkėlimas bus užtikrintas priėmus Įsakymo projektą</w:t>
                </w:r>
              </w:p>
            </w:tc>
          </w:tr>
        </w:tbl>
        <w:p>
          <w:pPr>
            <w:tabs>
              <w:tab w:val="center" w:pos="4153"/>
              <w:tab w:val="right" w:pos="8306"/>
            </w:tabs>
            <w:jc w:val="both"/>
            <w:rPr>
              <w:i/>
              <w:iCs/>
              <w:color w:val="000000"/>
              <w:szCs w:val="24"/>
              <w:lang w:eastAsia="lt-LT"/>
            </w:rPr>
          </w:pPr>
        </w:p>
      </w:sdtContent>
    </w:sdt>
    <w:sectPr>
      <w:pgSz w:w="16838" w:h="11906" w:orient="landscape"/>
      <w:pgMar w:top="1418" w:right="1701" w:bottom="567" w:left="1134"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Yu Gothic Light">
    <w:charset w:val="80"/>
    <w:family w:val="swiss"/>
    <w:pitch w:val="variable"/>
    <w:sig w:usb0="E00002FF" w:usb1="2AC7FDFF" w:usb2="00000016" w:usb3="00000000" w:csb0="0002009F" w:csb1="00000000"/>
  </w:font>
  <w:font w:name="Aptos Display">
    <w:altName w:val="Arial"/>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4F9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D9633B-75F6-44A0-98F2-C907357E36B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08057CD66624FE4F809517943CCCE640" ma:contentTypeVersion="14" ma:contentTypeDescription="Kurkite naują dokumentą." ma:contentTypeScope="" ma:versionID="54f1fe954f9928fb61a8bd69a4f9d667">
  <xsd:schema xmlns:xsd="http://www.w3.org/2001/XMLSchema" xmlns:xs="http://www.w3.org/2001/XMLSchema" xmlns:p="http://schemas.microsoft.com/office/2006/metadata/properties" xmlns:ns2="438086d8-68c4-44e0-a2b1-9b1caa3431be" xmlns:ns3="fde158db-9ad6-4e48-b618-6abd2e808126" targetNamespace="http://schemas.microsoft.com/office/2006/metadata/properties" ma:root="true" ma:fieldsID="0854e9e44ed6f3e9e2bc17563946b85f" ns2:_="" ns3:_="">
    <xsd:import namespace="438086d8-68c4-44e0-a2b1-9b1caa3431be"/>
    <xsd:import namespace="fde158db-9ad6-4e48-b618-6abd2e8081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8086d8-68c4-44e0-a2b1-9b1caa3431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de158db-9ad6-4e48-b618-6abd2e808126"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be93e05b-c2b8-40c6-a973-13c4fa7f8f3d}" ma:internalName="TaxCatchAll" ma:showField="CatchAllData" ma:web="fde158db-9ad6-4e48-b618-6abd2e80812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fde158db-9ad6-4e48-b618-6abd2e808126" xsi:nil="true"/>
    <lcf76f155ced4ddcb4097134ff3c332f xmlns="438086d8-68c4-44e0-a2b1-9b1caa3431be">
      <Terms xmlns="http://schemas.microsoft.com/office/infopath/2007/PartnerControls"/>
    </lcf76f155ced4ddcb4097134ff3c332f>
  </documentManagement>
</p:properties>
</file>

<file path=customXml/item4.xml><?xml version="1.0" encoding="utf-8"?>
<Parts xmlns="http://lrs.lt/TAIS/DocParts">
  <Part Type="lentele" DocPartId="56a175a95a664129842ed62e517ffe0d" PartId="337c55bd0ead440fb39e623c5f133e68"/>
</Parts>
</file>

<file path=customXml/itemProps1.xml><?xml version="1.0" encoding="utf-8"?>
<ds:datastoreItem xmlns:ds="http://schemas.openxmlformats.org/officeDocument/2006/customXml" ds:itemID="{E8791861-DA80-428C-9BBB-74EE820EF1E6}">
  <ds:schemaRefs>
    <ds:schemaRef ds:uri="http://schemas.microsoft.com/sharepoint/v3/contenttype/forms"/>
  </ds:schemaRefs>
</ds:datastoreItem>
</file>

<file path=customXml/itemProps2.xml><?xml version="1.0" encoding="utf-8"?>
<ds:datastoreItem xmlns:ds="http://schemas.openxmlformats.org/officeDocument/2006/customXml" ds:itemID="{5ED23B73-5B96-4CA1-9C67-E63768C18A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8086d8-68c4-44e0-a2b1-9b1caa3431be"/>
    <ds:schemaRef ds:uri="fde158db-9ad6-4e48-b618-6abd2e8081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A07E8C-527F-4B2C-8E6C-B62A4190C825}">
  <ds:schemaRefs>
    <ds:schemaRef ds:uri="http://schemas.microsoft.com/office/2006/metadata/properties"/>
    <ds:schemaRef ds:uri="http://schemas.microsoft.com/office/infopath/2007/PartnerControls"/>
    <ds:schemaRef ds:uri="fde158db-9ad6-4e48-b618-6abd2e808126"/>
    <ds:schemaRef ds:uri="438086d8-68c4-44e0-a2b1-9b1caa3431be"/>
  </ds:schemaRefs>
</ds:datastoreItem>
</file>

<file path=customXml/itemProps4.xml><?xml version="1.0" encoding="utf-8"?>
<ds:datastoreItem xmlns:ds="http://schemas.openxmlformats.org/officeDocument/2006/customXml" ds:itemID="{698FFAAF-637A-404B-B7BA-98C9FA1AADF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731</Words>
  <Characters>5101</Characters>
  <Application>Microsoft Office Word</Application>
  <DocSecurity>4</DocSecurity>
  <Lines>150</Lines>
  <Paragraphs>51</Paragraphs>
  <ScaleCrop>false</ScaleCrop>
  <Company/>
  <LinksUpToDate>false</LinksUpToDate>
  <CharactersWithSpaces>5781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2026-03-27T06:24:00Z</dcterms:created>
  <dc:creator>Vytautas Bernadisius</dc:creator>
  <lastModifiedBy>adlibuser</lastModifiedBy>
  <dcterms:modified xsi:type="dcterms:W3CDTF">2026-03-27T06:24:00Z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0x01010008057CD66624FE4F809517943CCCE640</vt:lpwstr>
  </property>
  <property fmtid="{D5CDD505-2E9C-101B-9397-08002B2CF9AE}" pid="3" name="MediaServiceImageTags">
    <vt:lpwstr/>
  </property>
</Properties>
</file>