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displacedByCustomXml="next"/>
    <w:bookmarkEnd w:id="0" w:displacedByCustomXml="next"/>
    <w:sdt>
      <w:sdtPr>
        <w:alias w:val="lentele"/>
        <w:tag w:val="part_fa3de0a839a24ee194880477d4ec6fb8"/>
        <w:id w:val="-1204471209"/>
        <w:lock w:val="sdtLocked"/>
      </w:sdtPr>
      <w:sdtEndPr/>
      <w:sdtContent>
        <w:p w:rsidR="00F857B4" w:rsidRDefault="00F857B4">
          <w:pPr>
            <w:rPr>
              <w:sz w:val="10"/>
              <w:szCs w:val="10"/>
            </w:rPr>
          </w:pPr>
        </w:p>
        <w:p w:rsidR="00F857B4" w:rsidRDefault="00500B7C">
          <w:pPr>
            <w:jc w:val="center"/>
            <w:rPr>
              <w:bCs/>
              <w:szCs w:val="24"/>
              <w:lang w:eastAsia="lt-LT"/>
            </w:rPr>
          </w:pPr>
          <w:r>
            <w:rPr>
              <w:b/>
              <w:bCs/>
              <w:szCs w:val="24"/>
              <w:lang w:eastAsia="lt-LT"/>
            </w:rPr>
            <w:t xml:space="preserve">2006 m. lapkričio 28 d. Tarybos direktyva </w:t>
          </w:r>
          <w:hyperlink r:id="rId8" w:tgtFrame="_blank" w:history="1">
            <w:r>
              <w:rPr>
                <w:b/>
                <w:bCs/>
                <w:color w:val="0000FF" w:themeColor="hyperlink"/>
                <w:szCs w:val="24"/>
                <w:u w:val="single"/>
                <w:lang w:eastAsia="lt-LT"/>
              </w:rPr>
              <w:t>2006/112/EB</w:t>
            </w:r>
          </w:hyperlink>
          <w:r>
            <w:rPr>
              <w:b/>
              <w:bCs/>
              <w:szCs w:val="24"/>
              <w:lang w:eastAsia="lt-LT"/>
            </w:rPr>
            <w:t xml:space="preserve"> dėl pridėtinės vertės mokesčio bendros sistemos</w:t>
          </w:r>
          <w:r>
            <w:rPr>
              <w:rFonts w:eastAsia="Arial Unicode MS"/>
              <w:b/>
              <w:bCs/>
              <w:color w:val="000000"/>
              <w:szCs w:val="24"/>
              <w:lang w:eastAsia="lt-LT"/>
            </w:rPr>
            <w:t xml:space="preserve"> </w:t>
          </w:r>
          <w:r>
            <w:rPr>
              <w:b/>
              <w:bCs/>
              <w:szCs w:val="24"/>
              <w:lang w:eastAsia="lt-LT"/>
            </w:rPr>
            <w:t>ir</w:t>
          </w:r>
          <w:r>
            <w:rPr>
              <w:bCs/>
              <w:szCs w:val="24"/>
              <w:lang w:eastAsia="lt-LT"/>
            </w:rPr>
            <w:t xml:space="preserve"> </w:t>
          </w:r>
          <w:r>
            <w:rPr>
              <w:b/>
              <w:bCs/>
              <w:szCs w:val="24"/>
              <w:lang w:eastAsia="lt-LT"/>
            </w:rPr>
            <w:t xml:space="preserve">Lietuvos Respublikos pridėtinės vertės mokesčio </w:t>
          </w:r>
          <w:r>
            <w:rPr>
              <w:b/>
              <w:bCs/>
              <w:szCs w:val="24"/>
              <w:lang w:eastAsia="lt-LT"/>
            </w:rPr>
            <w:t>įstatymo Nr. IX-751 19, 21, 71, 92 straipsnių ir 2 priedo pakeitimo įstatymo projekto atitikties lentelė</w:t>
          </w:r>
        </w:p>
        <w:p w:rsidR="00F857B4" w:rsidRDefault="00F857B4">
          <w:pPr>
            <w:jc w:val="center"/>
            <w:rPr>
              <w:b/>
              <w:szCs w:val="24"/>
              <w:lang w:eastAsia="lt-LT"/>
            </w:rPr>
          </w:pPr>
        </w:p>
        <w:tbl>
          <w:tblPr>
            <w:tblW w:w="143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99"/>
            <w:gridCol w:w="5881"/>
            <w:gridCol w:w="1789"/>
          </w:tblGrid>
          <w:tr w:rsidR="00F857B4">
            <w:trPr>
              <w:trHeight w:val="142"/>
            </w:trPr>
            <w:tc>
              <w:tcPr>
                <w:tcW w:w="6699" w:type="dxa"/>
              </w:tcPr>
              <w:p w:rsidR="00F857B4" w:rsidRDefault="00500B7C">
                <w:pPr>
                  <w:rPr>
                    <w:b/>
                    <w:szCs w:val="24"/>
                    <w:lang w:eastAsia="lt-LT"/>
                  </w:rPr>
                </w:pPr>
                <w:r>
                  <w:rPr>
                    <w:b/>
                    <w:bCs/>
                    <w:szCs w:val="24"/>
                    <w:lang w:eastAsia="lt-LT"/>
                  </w:rPr>
                  <w:t>2006 m. lapkričio 28 d.</w:t>
                </w:r>
                <w:r>
                  <w:rPr>
                    <w:b/>
                    <w:szCs w:val="24"/>
                  </w:rPr>
                  <w:t xml:space="preserve"> </w:t>
                </w:r>
                <w:r>
                  <w:rPr>
                    <w:b/>
                    <w:bCs/>
                    <w:szCs w:val="24"/>
                    <w:lang w:eastAsia="lt-LT"/>
                  </w:rPr>
                  <w:t>T</w:t>
                </w:r>
                <w:r>
                  <w:rPr>
                    <w:b/>
                    <w:szCs w:val="24"/>
                  </w:rPr>
                  <w:t>arybos</w:t>
                </w:r>
                <w:r>
                  <w:rPr>
                    <w:b/>
                    <w:bCs/>
                    <w:szCs w:val="24"/>
                    <w:lang w:eastAsia="lt-LT"/>
                  </w:rPr>
                  <w:t xml:space="preserve"> </w:t>
                </w:r>
                <w:r>
                  <w:rPr>
                    <w:b/>
                    <w:szCs w:val="24"/>
                  </w:rPr>
                  <w:t>direktyva</w:t>
                </w:r>
                <w:r>
                  <w:rPr>
                    <w:b/>
                    <w:bCs/>
                    <w:szCs w:val="24"/>
                    <w:lang w:eastAsia="lt-LT"/>
                  </w:rPr>
                  <w:t xml:space="preserve"> </w:t>
                </w:r>
                <w:hyperlink r:id="rId9" w:tgtFrame="_blank" w:history="1">
                  <w:r>
                    <w:rPr>
                      <w:b/>
                      <w:bCs/>
                      <w:color w:val="0000FF" w:themeColor="hyperlink"/>
                      <w:szCs w:val="24"/>
                      <w:u w:val="single"/>
                      <w:lang w:eastAsia="lt-LT"/>
                    </w:rPr>
                    <w:t>2006/11</w:t>
                  </w:r>
                  <w:r>
                    <w:rPr>
                      <w:b/>
                      <w:bCs/>
                      <w:color w:val="0000FF" w:themeColor="hyperlink"/>
                      <w:szCs w:val="24"/>
                      <w:u w:val="single"/>
                      <w:lang w:eastAsia="lt-LT"/>
                    </w:rPr>
                    <w:t>2/EB</w:t>
                  </w:r>
                </w:hyperlink>
              </w:p>
            </w:tc>
            <w:tc>
              <w:tcPr>
                <w:tcW w:w="5881" w:type="dxa"/>
              </w:tcPr>
              <w:p w:rsidR="00F857B4" w:rsidRDefault="00500B7C">
                <w:pPr>
                  <w:jc w:val="both"/>
                  <w:rPr>
                    <w:b/>
                    <w:szCs w:val="24"/>
                    <w:lang w:eastAsia="lt-LT"/>
                  </w:rPr>
                </w:pPr>
                <w:r>
                  <w:rPr>
                    <w:b/>
                    <w:szCs w:val="24"/>
                    <w:lang w:eastAsia="lt-LT"/>
                  </w:rPr>
                  <w:t xml:space="preserve">Lietuvos Respublikos pridėtinės vertės mokesčio įstatymo Nr. IX-751 19, 21, 71, 92 straipsnių ir 2 priedo pakeitimo įstatymo projektas </w:t>
                </w:r>
              </w:p>
            </w:tc>
            <w:tc>
              <w:tcPr>
                <w:tcW w:w="1789" w:type="dxa"/>
              </w:tcPr>
              <w:p w:rsidR="00F857B4" w:rsidRDefault="00500B7C">
                <w:pPr>
                  <w:jc w:val="both"/>
                  <w:rPr>
                    <w:szCs w:val="24"/>
                    <w:lang w:eastAsia="lt-LT"/>
                  </w:rPr>
                </w:pPr>
                <w:r>
                  <w:rPr>
                    <w:szCs w:val="24"/>
                    <w:lang w:eastAsia="lt-LT"/>
                  </w:rPr>
                  <w:t>Direktyvos perkėlimo (įgyvendinimo) lygis (visiškas, dalinis)</w:t>
                </w:r>
              </w:p>
            </w:tc>
          </w:tr>
          <w:tr w:rsidR="00F857B4">
            <w:trPr>
              <w:trHeight w:val="142"/>
            </w:trPr>
            <w:tc>
              <w:tcPr>
                <w:tcW w:w="6699" w:type="dxa"/>
              </w:tcPr>
              <w:p w:rsidR="00F857B4" w:rsidRDefault="00500B7C">
                <w:pPr>
                  <w:jc w:val="both"/>
                  <w:rPr>
                    <w:rFonts w:eastAsia="Arial Unicode MS"/>
                    <w:b/>
                    <w:iCs/>
                    <w:color w:val="000000"/>
                    <w:szCs w:val="24"/>
                  </w:rPr>
                </w:pPr>
                <w:r>
                  <w:rPr>
                    <w:rFonts w:eastAsia="Arial Unicode MS"/>
                    <w:b/>
                    <w:iCs/>
                    <w:color w:val="000000"/>
                    <w:szCs w:val="24"/>
                  </w:rPr>
                  <w:t>132 straipsnis</w:t>
                </w:r>
              </w:p>
              <w:p w:rsidR="00F857B4" w:rsidRDefault="00500B7C">
                <w:pPr>
                  <w:jc w:val="both"/>
                  <w:rPr>
                    <w:rFonts w:eastAsia="Arial Unicode MS"/>
                    <w:iCs/>
                    <w:color w:val="000000"/>
                    <w:szCs w:val="24"/>
                  </w:rPr>
                </w:pPr>
                <w:r>
                  <w:rPr>
                    <w:rFonts w:eastAsia="Arial Unicode MS"/>
                    <w:iCs/>
                    <w:color w:val="000000"/>
                    <w:szCs w:val="24"/>
                  </w:rPr>
                  <w:t>1. Sandoriai, kurių valstybės narės n</w:t>
                </w:r>
                <w:r>
                  <w:rPr>
                    <w:rFonts w:eastAsia="Arial Unicode MS"/>
                    <w:iCs/>
                    <w:color w:val="000000"/>
                    <w:szCs w:val="24"/>
                  </w:rPr>
                  <w:t>eapmokestina PVM:</w:t>
                </w:r>
              </w:p>
              <w:p w:rsidR="00F857B4" w:rsidRDefault="00500B7C">
                <w:pPr>
                  <w:jc w:val="both"/>
                  <w:rPr>
                    <w:rFonts w:eastAsia="Arial Unicode MS"/>
                    <w:iCs/>
                    <w:color w:val="000000"/>
                    <w:szCs w:val="24"/>
                  </w:rPr>
                </w:pPr>
                <w:r>
                  <w:rPr>
                    <w:rFonts w:eastAsia="Arial Unicode MS"/>
                    <w:iCs/>
                    <w:color w:val="000000"/>
                    <w:szCs w:val="24"/>
                  </w:rPr>
                  <w:t>(..)</w:t>
                </w:r>
              </w:p>
              <w:p w:rsidR="00F857B4" w:rsidRDefault="00500B7C">
                <w:pPr>
                  <w:jc w:val="both"/>
                  <w:rPr>
                    <w:rFonts w:eastAsia="Arial Unicode MS"/>
                    <w:iCs/>
                    <w:color w:val="000000"/>
                    <w:szCs w:val="24"/>
                  </w:rPr>
                </w:pPr>
                <w:r>
                  <w:rPr>
                    <w:rFonts w:eastAsia="Arial Unicode MS"/>
                    <w:iCs/>
                    <w:color w:val="000000"/>
                    <w:szCs w:val="24"/>
                  </w:rPr>
                  <w:t>g) su globa ir rūpyba bei socialinės apsaugos darbu glaudžiai susijusių paslaugų teikimas ir prekių tiekimas, įskaitant paslaugas ir prekes, kurias teikia ar tiekia senelių namai, viešosios teisės reglamentuojamos įstaigos ar kitos o</w:t>
                </w:r>
                <w:r>
                  <w:rPr>
                    <w:rFonts w:eastAsia="Arial Unicode MS"/>
                    <w:iCs/>
                    <w:color w:val="000000"/>
                    <w:szCs w:val="24"/>
                  </w:rPr>
                  <w:t>rganizacijos, kurias atitinkama valstybė narė pripažino socialine gerove besirūpinančiomis organizacijomis;</w:t>
                </w:r>
              </w:p>
              <w:p w:rsidR="00F857B4" w:rsidRDefault="00500B7C">
                <w:pPr>
                  <w:jc w:val="both"/>
                  <w:rPr>
                    <w:rFonts w:eastAsia="Arial Unicode MS"/>
                    <w:iCs/>
                    <w:color w:val="000000"/>
                    <w:szCs w:val="24"/>
                  </w:rPr>
                </w:pPr>
                <w:r>
                  <w:rPr>
                    <w:rFonts w:eastAsia="Arial Unicode MS"/>
                    <w:iCs/>
                    <w:color w:val="000000"/>
                    <w:szCs w:val="24"/>
                  </w:rPr>
                  <w:t>h) su vaikų ir jaunimo apsauga glaudžiai susijusių paslaugų teikimas ir prekių tiekimas, kurį vykdo viešosios teisės reglamentuojamos įstaigos ar ki</w:t>
                </w:r>
                <w:r>
                  <w:rPr>
                    <w:rFonts w:eastAsia="Arial Unicode MS"/>
                    <w:iCs/>
                    <w:color w:val="000000"/>
                    <w:szCs w:val="24"/>
                  </w:rPr>
                  <w:t>tos organizacijos, kurias atitinkama valstybė narė pripažino socialine gerove besirūpinančiomis organizacijomis;</w:t>
                </w:r>
              </w:p>
              <w:p w:rsidR="00F857B4" w:rsidRDefault="00500B7C">
                <w:pPr>
                  <w:jc w:val="both"/>
                  <w:rPr>
                    <w:rFonts w:eastAsia="Arial Unicode MS"/>
                    <w:iCs/>
                    <w:color w:val="000000"/>
                    <w:szCs w:val="24"/>
                  </w:rPr>
                </w:pPr>
                <w:r>
                  <w:rPr>
                    <w:rFonts w:eastAsia="Arial Unicode MS"/>
                    <w:iCs/>
                    <w:color w:val="000000"/>
                    <w:szCs w:val="24"/>
                  </w:rPr>
                  <w:t>(..)</w:t>
                </w:r>
              </w:p>
            </w:tc>
            <w:tc>
              <w:tcPr>
                <w:tcW w:w="5881" w:type="dxa"/>
              </w:tcPr>
              <w:p w:rsidR="00F857B4" w:rsidRDefault="00500B7C">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2 straipsnis. 21 straipsnio pakeitimas</w:t>
                </w:r>
              </w:p>
              <w:p w:rsidR="00F857B4" w:rsidRDefault="00500B7C">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Pakeisti 21 straipsnį ir jį išdėstyti taip:</w:t>
                </w:r>
              </w:p>
              <w:p w:rsidR="00F857B4" w:rsidRDefault="00500B7C">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w:t>
                </w:r>
                <w:r>
                  <w:rPr>
                    <w:b/>
                    <w:szCs w:val="24"/>
                    <w:lang w:eastAsia="lt-LT"/>
                  </w:rPr>
                  <w:t xml:space="preserve">21 straipsnis. Socialinės paslaugos ir susijusios </w:t>
                </w:r>
                <w:r>
                  <w:rPr>
                    <w:b/>
                    <w:szCs w:val="24"/>
                    <w:lang w:eastAsia="lt-LT"/>
                  </w:rPr>
                  <w:t>prekės</w:t>
                </w:r>
                <w:r>
                  <w:rPr>
                    <w:szCs w:val="24"/>
                    <w:lang w:eastAsia="lt-LT"/>
                  </w:rPr>
                  <w:t xml:space="preserve"> </w:t>
                </w:r>
              </w:p>
              <w:p w:rsidR="00F857B4" w:rsidRDefault="00500B7C">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 PVM neapmokestinamos pagal Lietuvos Respublikos socialinių paslaugų įstatymą socialinių paslaugų įstaigų teikiamos socialinės paslaugos</w:t>
                </w:r>
                <w:r>
                  <w:rPr>
                    <w:color w:val="000000"/>
                    <w:szCs w:val="24"/>
                    <w:vertAlign w:val="superscript"/>
                    <w:lang w:eastAsia="lt-LT"/>
                  </w:rPr>
                  <w:footnoteReference w:id="1"/>
                </w:r>
                <w:r>
                  <w:rPr>
                    <w:szCs w:val="24"/>
                    <w:lang w:eastAsia="lt-LT"/>
                  </w:rPr>
                  <w:t>.</w:t>
                </w:r>
              </w:p>
              <w:p w:rsidR="00F857B4" w:rsidRDefault="00500B7C">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both"/>
                  <w:rPr>
                    <w:szCs w:val="24"/>
                    <w:lang w:eastAsia="lt-LT"/>
                  </w:rPr>
                </w:pPr>
                <w:r>
                  <w:rPr>
                    <w:szCs w:val="24"/>
                    <w:lang w:eastAsia="lt-LT"/>
                  </w:rPr>
                  <w:t>2. PVM neapmokestinamos šio straipsnio 1 dalyje nurodytų asmenų tiekiamos prekės ir teikiamos kitos, negu n</w:t>
                </w:r>
                <w:r>
                  <w:rPr>
                    <w:szCs w:val="24"/>
                    <w:lang w:eastAsia="lt-LT"/>
                  </w:rPr>
                  <w:t>urodyta šio straipsnio 1 dalyje, paslaugos, kai tenkinamos visos šios sąlygos:</w:t>
                </w:r>
              </w:p>
              <w:p w:rsidR="00F857B4" w:rsidRDefault="00500B7C">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lang w:eastAsia="lt-LT"/>
                  </w:rPr>
                </w:pPr>
                <w:r>
                  <w:rPr>
                    <w:szCs w:val="24"/>
                    <w:lang w:eastAsia="lt-LT"/>
                  </w:rPr>
                  <w:t>1) šios prekės tiekiamos ir paslaugos teikiamos šio straipsnio 1 dalyje nurodytų paslaugų vartotojams;</w:t>
                </w:r>
              </w:p>
              <w:p w:rsidR="00F857B4" w:rsidRDefault="00500B7C">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szCs w:val="24"/>
                    <w:lang w:eastAsia="lt-LT"/>
                  </w:rPr>
                  <w:t>2) šių prekių tiekimas ir paslaugų teikimas yra susiję su šio straipsnio 1</w:t>
                </w:r>
                <w:r>
                  <w:rPr>
                    <w:szCs w:val="24"/>
                    <w:lang w:eastAsia="lt-LT"/>
                  </w:rPr>
                  <w:t xml:space="preserve"> dalyje nurodytų paslaugų teikimu.“</w:t>
                </w:r>
              </w:p>
              <w:p w:rsidR="00F857B4" w:rsidRDefault="00F857B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p>
            </w:tc>
            <w:tc>
              <w:tcPr>
                <w:tcW w:w="1789" w:type="dxa"/>
              </w:tcPr>
              <w:p w:rsidR="00F857B4" w:rsidRDefault="00500B7C">
                <w:pPr>
                  <w:jc w:val="both"/>
                  <w:rPr>
                    <w:szCs w:val="24"/>
                    <w:lang w:eastAsia="lt-LT"/>
                  </w:rPr>
                </w:pPr>
                <w:r>
                  <w:rPr>
                    <w:szCs w:val="24"/>
                    <w:lang w:eastAsia="lt-LT"/>
                  </w:rPr>
                  <w:t>Visiškas</w:t>
                </w:r>
              </w:p>
            </w:tc>
          </w:tr>
          <w:tr w:rsidR="00F857B4">
            <w:trPr>
              <w:trHeight w:val="142"/>
            </w:trPr>
            <w:tc>
              <w:tcPr>
                <w:tcW w:w="6699" w:type="dxa"/>
              </w:tcPr>
              <w:p w:rsidR="00F857B4" w:rsidRDefault="00500B7C">
                <w:pPr>
                  <w:jc w:val="both"/>
                  <w:rPr>
                    <w:rFonts w:eastAsia="Arial Unicode MS"/>
                    <w:b/>
                    <w:iCs/>
                    <w:color w:val="000000"/>
                    <w:szCs w:val="24"/>
                  </w:rPr>
                </w:pPr>
                <w:r>
                  <w:rPr>
                    <w:rFonts w:eastAsia="Arial Unicode MS"/>
                    <w:b/>
                    <w:iCs/>
                    <w:color w:val="000000"/>
                    <w:szCs w:val="24"/>
                  </w:rPr>
                  <w:t>III PRIEDAS</w:t>
                </w:r>
              </w:p>
              <w:p w:rsidR="00F857B4" w:rsidRDefault="00500B7C">
                <w:pPr>
                  <w:jc w:val="both"/>
                  <w:rPr>
                    <w:rFonts w:eastAsia="Arial Unicode MS"/>
                    <w:b/>
                    <w:bCs/>
                    <w:iCs/>
                    <w:color w:val="000000"/>
                    <w:szCs w:val="24"/>
                  </w:rPr>
                </w:pPr>
                <w:r>
                  <w:rPr>
                    <w:rFonts w:eastAsia="Arial Unicode MS"/>
                    <w:b/>
                    <w:bCs/>
                    <w:iCs/>
                    <w:color w:val="000000"/>
                    <w:szCs w:val="24"/>
                  </w:rPr>
                  <w:lastRenderedPageBreak/>
                  <w:t>PREKIŲ IR PASLAUGŲ, KURIAS TIEKIANT IR TEIKIANT GALI BŪTI TAIKOMI 98 STRAIPSNYJE NURODYTI LENGVATINIAI TARIFAI, SĄRAŠAS</w:t>
                </w:r>
              </w:p>
              <w:p w:rsidR="00F857B4" w:rsidRDefault="00500B7C">
                <w:pPr>
                  <w:jc w:val="both"/>
                  <w:rPr>
                    <w:rFonts w:eastAsia="Arial Unicode MS"/>
                    <w:iCs/>
                    <w:color w:val="000000"/>
                    <w:szCs w:val="24"/>
                  </w:rPr>
                </w:pPr>
                <w:r>
                  <w:rPr>
                    <w:rFonts w:eastAsia="Arial Unicode MS"/>
                    <w:iCs/>
                    <w:color w:val="000000"/>
                    <w:szCs w:val="24"/>
                  </w:rPr>
                  <w:t>(..)</w:t>
                </w:r>
              </w:p>
              <w:p w:rsidR="00F857B4" w:rsidRDefault="00F857B4">
                <w:pPr>
                  <w:jc w:val="both"/>
                  <w:rPr>
                    <w:rFonts w:eastAsia="Arial Unicode MS"/>
                    <w:iCs/>
                    <w:color w:val="000000"/>
                    <w:szCs w:val="24"/>
                  </w:rPr>
                </w:pPr>
              </w:p>
              <w:p w:rsidR="00F857B4" w:rsidRDefault="00500B7C">
                <w:pPr>
                  <w:jc w:val="both"/>
                  <w:rPr>
                    <w:rFonts w:eastAsia="Arial Unicode MS"/>
                    <w:iCs/>
                    <w:color w:val="000000"/>
                    <w:szCs w:val="24"/>
                  </w:rPr>
                </w:pPr>
                <w:r>
                  <w:rPr>
                    <w:rFonts w:eastAsia="Arial Unicode MS"/>
                    <w:iCs/>
                    <w:color w:val="000000"/>
                    <w:szCs w:val="24"/>
                  </w:rPr>
                  <w:t xml:space="preserve">4) medicinos įranga, prietaisai, priemonės, reikmenys, pagalbinės </w:t>
                </w:r>
                <w:r>
                  <w:rPr>
                    <w:rFonts w:eastAsia="Arial Unicode MS"/>
                    <w:iCs/>
                    <w:color w:val="000000"/>
                    <w:szCs w:val="24"/>
                  </w:rPr>
                  <w:t>priemonės ir apsaugos priemonės, įskaitant sveikatą apsaugančias kaukes, paprastai skirtas naudoti sveikatos priežiūrai arba naudoti asmenims su negalia, prekės, būtinos negaliai kompensuoti ir įveikti, taip pat tokių prekių pritaikymas, taisymas, nuoma ir</w:t>
                </w:r>
                <w:r>
                  <w:rPr>
                    <w:rFonts w:eastAsia="Arial Unicode MS"/>
                    <w:iCs/>
                    <w:color w:val="000000"/>
                    <w:szCs w:val="24"/>
                  </w:rPr>
                  <w:t xml:space="preserve"> išperkamoji nuoma;</w:t>
                </w:r>
              </w:p>
              <w:p w:rsidR="00F857B4" w:rsidRDefault="00F857B4">
                <w:pPr>
                  <w:jc w:val="both"/>
                  <w:rPr>
                    <w:rFonts w:eastAsia="Arial Unicode MS"/>
                    <w:iCs/>
                    <w:color w:val="000000"/>
                    <w:szCs w:val="24"/>
                  </w:rPr>
                </w:pPr>
              </w:p>
              <w:p w:rsidR="00F857B4" w:rsidRDefault="00500B7C">
                <w:pPr>
                  <w:jc w:val="both"/>
                  <w:rPr>
                    <w:rFonts w:eastAsia="Arial Unicode MS"/>
                    <w:iCs/>
                    <w:color w:val="000000"/>
                    <w:szCs w:val="24"/>
                  </w:rPr>
                </w:pPr>
                <w:r>
                  <w:rPr>
                    <w:rFonts w:eastAsia="Arial Unicode MS"/>
                    <w:iCs/>
                    <w:color w:val="000000"/>
                    <w:szCs w:val="24"/>
                  </w:rPr>
                  <w:t>(..)</w:t>
                </w:r>
              </w:p>
              <w:p w:rsidR="00F857B4" w:rsidRDefault="00F857B4">
                <w:pPr>
                  <w:jc w:val="both"/>
                  <w:rPr>
                    <w:rFonts w:eastAsia="Arial Unicode MS"/>
                    <w:b/>
                    <w:iCs/>
                    <w:color w:val="000000"/>
                    <w:szCs w:val="24"/>
                  </w:rPr>
                </w:pPr>
              </w:p>
            </w:tc>
            <w:tc>
              <w:tcPr>
                <w:tcW w:w="5881" w:type="dxa"/>
              </w:tcPr>
              <w:p w:rsidR="00F857B4" w:rsidRDefault="00F857B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p>
              <w:p w:rsidR="00F857B4" w:rsidRDefault="00F857B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rPr>
                </w:pPr>
              </w:p>
              <w:p w:rsidR="00F857B4" w:rsidRDefault="00F857B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p>
              <w:p w:rsidR="00F857B4" w:rsidRDefault="00F857B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p>
              <w:p w:rsidR="00F857B4" w:rsidRDefault="00F857B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p>
              <w:p w:rsidR="00F857B4" w:rsidRDefault="00500B7C">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r>
                  <w:rPr>
                    <w:b/>
                    <w:szCs w:val="24"/>
                    <w:lang w:eastAsia="lt-LT"/>
                  </w:rPr>
                  <w:t>1 straipsnis. 19 straipsnio pakeitimas</w:t>
                </w:r>
              </w:p>
              <w:p w:rsidR="00F857B4" w:rsidRDefault="00500B7C">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r>
                  <w:rPr>
                    <w:szCs w:val="24"/>
                  </w:rPr>
                  <w:t>Pakeisti 19 straipsnio 4 dalies 2 punktą ir jį išdėstyti taip:</w:t>
                </w:r>
              </w:p>
              <w:p w:rsidR="00F857B4" w:rsidRDefault="00500B7C">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B050"/>
                    <w:szCs w:val="24"/>
                  </w:rPr>
                </w:pPr>
                <w:r>
                  <w:rPr>
                    <w:szCs w:val="24"/>
                  </w:rPr>
                  <w:t>„2) asmenų su negalia</w:t>
                </w:r>
                <w:r>
                  <w:rPr>
                    <w:b/>
                    <w:szCs w:val="24"/>
                  </w:rPr>
                  <w:t xml:space="preserve"> </w:t>
                </w:r>
                <w:r>
                  <w:rPr>
                    <w:szCs w:val="24"/>
                  </w:rPr>
                  <w:t>techninės pagalbos priemonėms ir jų remontui;“.</w:t>
                </w:r>
              </w:p>
              <w:p w:rsidR="00F857B4" w:rsidRDefault="00F857B4">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Cs w:val="24"/>
                    <w:lang w:eastAsia="lt-LT"/>
                  </w:rPr>
                </w:pPr>
              </w:p>
            </w:tc>
            <w:tc>
              <w:tcPr>
                <w:tcW w:w="1789" w:type="dxa"/>
              </w:tcPr>
              <w:p w:rsidR="00F857B4" w:rsidRDefault="00500B7C">
                <w:pPr>
                  <w:jc w:val="both"/>
                  <w:rPr>
                    <w:szCs w:val="24"/>
                    <w:lang w:eastAsia="lt-LT"/>
                  </w:rPr>
                </w:pPr>
                <w:proofErr w:type="spellStart"/>
                <w:r>
                  <w:rPr>
                    <w:szCs w:val="24"/>
                    <w:lang w:eastAsia="lt-LT"/>
                  </w:rPr>
                  <w:lastRenderedPageBreak/>
                  <w:t>Visškas</w:t>
                </w:r>
                <w:proofErr w:type="spellEnd"/>
              </w:p>
            </w:tc>
          </w:tr>
        </w:tbl>
        <w:p w:rsidR="00F857B4" w:rsidRDefault="00500B7C"/>
      </w:sdtContent>
    </w:sdt>
    <w:sectPr w:rsidR="00F857B4">
      <w:pgSz w:w="16838" w:h="11906" w:orient="landscape"/>
      <w:pgMar w:top="1701" w:right="1701" w:bottom="567"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857B4" w:rsidRDefault="00500B7C">
      <w:pPr>
        <w:rPr>
          <w:sz w:val="22"/>
          <w:szCs w:val="22"/>
        </w:rPr>
      </w:pPr>
      <w:r>
        <w:rPr>
          <w:sz w:val="22"/>
          <w:szCs w:val="22"/>
        </w:rPr>
        <w:separator/>
      </w:r>
    </w:p>
  </w:endnote>
  <w:endnote w:type="continuationSeparator" w:id="0">
    <w:p w:rsidR="00F857B4" w:rsidRDefault="00500B7C">
      <w:pPr>
        <w:rPr>
          <w:sz w:val="22"/>
          <w:szCs w:val="22"/>
        </w:rPr>
      </w:pPr>
      <w:r>
        <w:rPr>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857B4" w:rsidRDefault="00500B7C">
      <w:pPr>
        <w:rPr>
          <w:sz w:val="22"/>
          <w:szCs w:val="22"/>
        </w:rPr>
      </w:pPr>
      <w:r>
        <w:rPr>
          <w:sz w:val="22"/>
          <w:szCs w:val="22"/>
        </w:rPr>
        <w:separator/>
      </w:r>
    </w:p>
  </w:footnote>
  <w:footnote w:type="continuationSeparator" w:id="0">
    <w:p w:rsidR="00F857B4" w:rsidRDefault="00500B7C">
      <w:pPr>
        <w:rPr>
          <w:sz w:val="22"/>
          <w:szCs w:val="22"/>
        </w:rPr>
      </w:pPr>
      <w:r>
        <w:rPr>
          <w:sz w:val="22"/>
          <w:szCs w:val="22"/>
        </w:rPr>
        <w:continuationSeparator/>
      </w:r>
    </w:p>
  </w:footnote>
  <w:footnote w:id="1">
    <w:p w:rsidR="00F857B4" w:rsidRDefault="00500B7C">
      <w:pPr>
        <w:rPr>
          <w:bCs/>
          <w:color w:val="000000"/>
          <w:sz w:val="20"/>
          <w:lang w:eastAsia="lt-LT"/>
        </w:rPr>
      </w:pPr>
      <w:r>
        <w:rPr>
          <w:sz w:val="22"/>
          <w:szCs w:val="22"/>
          <w:vertAlign w:val="superscript"/>
        </w:rPr>
        <w:footnoteRef/>
      </w:r>
      <w:r>
        <w:rPr>
          <w:sz w:val="22"/>
          <w:szCs w:val="22"/>
        </w:rPr>
        <w:t xml:space="preserve"> </w:t>
      </w:r>
      <w:r>
        <w:rPr>
          <w:b/>
          <w:bCs/>
          <w:color w:val="000000"/>
          <w:sz w:val="20"/>
          <w:lang w:eastAsia="lt-LT"/>
        </w:rPr>
        <w:t xml:space="preserve">Lietuvos Respublikos socialinių paslaugų įstatymas </w:t>
      </w:r>
      <w:r>
        <w:rPr>
          <w:b/>
          <w:color w:val="000000"/>
          <w:sz w:val="20"/>
        </w:rPr>
        <w:t>Nr. X-493</w:t>
      </w:r>
    </w:p>
    <w:p w:rsidR="00F857B4" w:rsidRDefault="00500B7C">
      <w:pPr>
        <w:rPr>
          <w:b/>
          <w:bCs/>
          <w:color w:val="000000"/>
          <w:sz w:val="20"/>
        </w:rPr>
      </w:pPr>
      <w:r>
        <w:rPr>
          <w:b/>
          <w:bCs/>
          <w:color w:val="000000"/>
          <w:sz w:val="20"/>
        </w:rPr>
        <w:t>2 straipsnis. Pagrindinės šio įstatymo sąvokos</w:t>
      </w:r>
    </w:p>
    <w:p w:rsidR="00F857B4" w:rsidRDefault="00500B7C">
      <w:pPr>
        <w:rPr>
          <w:sz w:val="20"/>
        </w:rPr>
      </w:pPr>
      <w:r>
        <w:rPr>
          <w:b/>
          <w:bCs/>
          <w:color w:val="000000"/>
          <w:sz w:val="20"/>
        </w:rPr>
        <w:t>&lt;...&gt;</w:t>
      </w:r>
    </w:p>
    <w:p w:rsidR="00F857B4" w:rsidRDefault="00500B7C">
      <w:pPr>
        <w:rPr>
          <w:color w:val="000000"/>
          <w:sz w:val="20"/>
        </w:rPr>
      </w:pPr>
      <w:r>
        <w:rPr>
          <w:color w:val="000000"/>
          <w:sz w:val="20"/>
        </w:rPr>
        <w:t>10. </w:t>
      </w:r>
      <w:r>
        <w:rPr>
          <w:b/>
          <w:bCs/>
          <w:color w:val="000000"/>
          <w:sz w:val="20"/>
        </w:rPr>
        <w:t>Socialinių paslaugų įstaiga</w:t>
      </w:r>
      <w:r>
        <w:rPr>
          <w:color w:val="000000"/>
          <w:sz w:val="20"/>
        </w:rPr>
        <w:t xml:space="preserve"> – socialines paslaugas teikiantis </w:t>
      </w:r>
      <w:r>
        <w:rPr>
          <w:color w:val="000000"/>
          <w:sz w:val="20"/>
        </w:rPr>
        <w:t>Lietuvos Respublikoje ar kitoje Europos Sąjungos valstybėje narėje arba kitoje Europos ekonominės erdvės valstybėje įsisteigęs juridinis asmuo ar kita organizacija, jų padalinys, atitinkantys šiame įstatyme nustatytus reikalavimus.</w:t>
      </w:r>
    </w:p>
    <w:p w:rsidR="00F857B4" w:rsidRDefault="00500B7C">
      <w:pPr>
        <w:rPr>
          <w:color w:val="000000"/>
          <w:sz w:val="20"/>
        </w:rPr>
      </w:pPr>
      <w:r>
        <w:rPr>
          <w:color w:val="000000"/>
          <w:sz w:val="20"/>
        </w:rPr>
        <w:t>&lt;...&gt;</w:t>
      </w:r>
    </w:p>
    <w:p w:rsidR="00F857B4" w:rsidRDefault="00500B7C">
      <w:pPr>
        <w:jc w:val="both"/>
        <w:rPr>
          <w:color w:val="000000"/>
          <w:sz w:val="20"/>
          <w:lang w:eastAsia="lt-LT"/>
        </w:rPr>
      </w:pPr>
      <w:r>
        <w:rPr>
          <w:b/>
          <w:bCs/>
          <w:color w:val="000000"/>
          <w:sz w:val="20"/>
          <w:lang w:eastAsia="lt-LT"/>
        </w:rPr>
        <w:t>6 straipsnis. Socialinių paslaugų rūšys ir turinys</w:t>
      </w:r>
    </w:p>
    <w:p w:rsidR="00F857B4" w:rsidRDefault="00500B7C">
      <w:pPr>
        <w:jc w:val="both"/>
        <w:rPr>
          <w:color w:val="000000"/>
          <w:sz w:val="20"/>
          <w:lang w:eastAsia="lt-LT"/>
        </w:rPr>
      </w:pPr>
      <w:r>
        <w:rPr>
          <w:color w:val="000000"/>
          <w:sz w:val="20"/>
          <w:lang w:eastAsia="lt-LT"/>
        </w:rPr>
        <w:t>&lt;...&gt;</w:t>
      </w:r>
    </w:p>
    <w:p w:rsidR="00F857B4" w:rsidRDefault="00500B7C">
      <w:pPr>
        <w:jc w:val="both"/>
        <w:rPr>
          <w:sz w:val="20"/>
        </w:rPr>
      </w:pPr>
      <w:r>
        <w:rPr>
          <w:color w:val="000000"/>
          <w:sz w:val="20"/>
          <w:lang w:eastAsia="lt-LT"/>
        </w:rPr>
        <w:t>2. Socialines paslaugas, jų turinį pagal socialinių paslaugų rūšis ir socialinių paslaugų įstaigų tipus apibrėžia socialinių paslaugų katalogas, patvirtintas Vyriausybės ar jos įgaliotos institucijos</w:t>
      </w:r>
      <w:r>
        <w:rPr>
          <w:color w:val="000000"/>
          <w:sz w:val="20"/>
          <w:lang w:eastAsia="lt-LT"/>
        </w:rPr>
        <w:t>.</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7F4B"/>
    <w:rsid w:val="00500B7C"/>
    <w:rsid w:val="00BB7F4B"/>
    <w:rsid w:val="00F857B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D0B0FB5-2F7E-478F-B1A3-794559E22D6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3902665">
      <w:bodyDiv w:val="1"/>
      <w:marLeft w:val="0"/>
      <w:marRight w:val="0"/>
      <w:marTop w:val="0"/>
      <w:marBottom w:val="0"/>
      <w:divBdr>
        <w:top w:val="none" w:sz="0" w:space="0" w:color="auto"/>
        <w:left w:val="none" w:sz="0" w:space="0" w:color="auto"/>
        <w:bottom w:val="none" w:sz="0" w:space="0" w:color="auto"/>
        <w:right w:val="none" w:sz="0" w:space="0" w:color="auto"/>
      </w:divBdr>
      <w:divsChild>
        <w:div w:id="451752941">
          <w:marLeft w:val="0"/>
          <w:marRight w:val="0"/>
          <w:marTop w:val="120"/>
          <w:marBottom w:val="0"/>
          <w:divBdr>
            <w:top w:val="none" w:sz="0" w:space="0" w:color="auto"/>
            <w:left w:val="none" w:sz="0" w:space="0" w:color="auto"/>
            <w:bottom w:val="none" w:sz="0" w:space="0" w:color="auto"/>
            <w:right w:val="none" w:sz="0" w:space="0" w:color="auto"/>
          </w:divBdr>
        </w:div>
        <w:div w:id="546527385">
          <w:marLeft w:val="0"/>
          <w:marRight w:val="0"/>
          <w:marTop w:val="0"/>
          <w:marBottom w:val="0"/>
          <w:divBdr>
            <w:top w:val="none" w:sz="0" w:space="0" w:color="auto"/>
            <w:left w:val="none" w:sz="0" w:space="0" w:color="auto"/>
            <w:bottom w:val="none" w:sz="0" w:space="0" w:color="auto"/>
            <w:right w:val="none" w:sz="0" w:space="0" w:color="auto"/>
          </w:divBdr>
        </w:div>
      </w:divsChild>
    </w:div>
    <w:div w:id="332073192">
      <w:bodyDiv w:val="1"/>
      <w:marLeft w:val="0"/>
      <w:marRight w:val="0"/>
      <w:marTop w:val="0"/>
      <w:marBottom w:val="0"/>
      <w:divBdr>
        <w:top w:val="none" w:sz="0" w:space="0" w:color="auto"/>
        <w:left w:val="none" w:sz="0" w:space="0" w:color="auto"/>
        <w:bottom w:val="none" w:sz="0" w:space="0" w:color="auto"/>
        <w:right w:val="none" w:sz="0" w:space="0" w:color="auto"/>
      </w:divBdr>
      <w:divsChild>
        <w:div w:id="1262883553">
          <w:marLeft w:val="0"/>
          <w:marRight w:val="0"/>
          <w:marTop w:val="0"/>
          <w:marBottom w:val="0"/>
          <w:divBdr>
            <w:top w:val="none" w:sz="0" w:space="0" w:color="auto"/>
            <w:left w:val="none" w:sz="0" w:space="0" w:color="auto"/>
            <w:bottom w:val="none" w:sz="0" w:space="0" w:color="auto"/>
            <w:right w:val="none" w:sz="0" w:space="0" w:color="auto"/>
          </w:divBdr>
          <w:divsChild>
            <w:div w:id="14112984">
              <w:marLeft w:val="0"/>
              <w:marRight w:val="0"/>
              <w:marTop w:val="120"/>
              <w:marBottom w:val="0"/>
              <w:divBdr>
                <w:top w:val="none" w:sz="0" w:space="0" w:color="auto"/>
                <w:left w:val="none" w:sz="0" w:space="0" w:color="auto"/>
                <w:bottom w:val="none" w:sz="0" w:space="0" w:color="auto"/>
                <w:right w:val="none" w:sz="0" w:space="0" w:color="auto"/>
              </w:divBdr>
            </w:div>
            <w:div w:id="2008746100">
              <w:marLeft w:val="0"/>
              <w:marRight w:val="0"/>
              <w:marTop w:val="0"/>
              <w:marBottom w:val="0"/>
              <w:divBdr>
                <w:top w:val="none" w:sz="0" w:space="0" w:color="auto"/>
                <w:left w:val="none" w:sz="0" w:space="0" w:color="auto"/>
                <w:bottom w:val="none" w:sz="0" w:space="0" w:color="auto"/>
                <w:right w:val="none" w:sz="0" w:space="0" w:color="auto"/>
              </w:divBdr>
            </w:div>
          </w:divsChild>
        </w:div>
        <w:div w:id="1335571180">
          <w:marLeft w:val="0"/>
          <w:marRight w:val="0"/>
          <w:marTop w:val="0"/>
          <w:marBottom w:val="0"/>
          <w:divBdr>
            <w:top w:val="none" w:sz="0" w:space="0" w:color="auto"/>
            <w:left w:val="none" w:sz="0" w:space="0" w:color="auto"/>
            <w:bottom w:val="none" w:sz="0" w:space="0" w:color="auto"/>
            <w:right w:val="none" w:sz="0" w:space="0" w:color="auto"/>
          </w:divBdr>
          <w:divsChild>
            <w:div w:id="1504853745">
              <w:marLeft w:val="0"/>
              <w:marRight w:val="0"/>
              <w:marTop w:val="120"/>
              <w:marBottom w:val="0"/>
              <w:divBdr>
                <w:top w:val="none" w:sz="0" w:space="0" w:color="auto"/>
                <w:left w:val="none" w:sz="0" w:space="0" w:color="auto"/>
                <w:bottom w:val="none" w:sz="0" w:space="0" w:color="auto"/>
                <w:right w:val="none" w:sz="0" w:space="0" w:color="auto"/>
              </w:divBdr>
            </w:div>
            <w:div w:id="928779087">
              <w:marLeft w:val="0"/>
              <w:marRight w:val="0"/>
              <w:marTop w:val="0"/>
              <w:marBottom w:val="0"/>
              <w:divBdr>
                <w:top w:val="none" w:sz="0" w:space="0" w:color="auto"/>
                <w:left w:val="none" w:sz="0" w:space="0" w:color="auto"/>
                <w:bottom w:val="none" w:sz="0" w:space="0" w:color="auto"/>
                <w:right w:val="none" w:sz="0" w:space="0" w:color="auto"/>
              </w:divBdr>
            </w:div>
          </w:divsChild>
        </w:div>
        <w:div w:id="2129272037">
          <w:marLeft w:val="0"/>
          <w:marRight w:val="0"/>
          <w:marTop w:val="0"/>
          <w:marBottom w:val="0"/>
          <w:divBdr>
            <w:top w:val="none" w:sz="0" w:space="0" w:color="auto"/>
            <w:left w:val="none" w:sz="0" w:space="0" w:color="auto"/>
            <w:bottom w:val="none" w:sz="0" w:space="0" w:color="auto"/>
            <w:right w:val="none" w:sz="0" w:space="0" w:color="auto"/>
          </w:divBdr>
          <w:divsChild>
            <w:div w:id="595289993">
              <w:marLeft w:val="0"/>
              <w:marRight w:val="0"/>
              <w:marTop w:val="120"/>
              <w:marBottom w:val="0"/>
              <w:divBdr>
                <w:top w:val="none" w:sz="0" w:space="0" w:color="auto"/>
                <w:left w:val="none" w:sz="0" w:space="0" w:color="auto"/>
                <w:bottom w:val="none" w:sz="0" w:space="0" w:color="auto"/>
                <w:right w:val="none" w:sz="0" w:space="0" w:color="auto"/>
              </w:divBdr>
            </w:div>
            <w:div w:id="643702459">
              <w:marLeft w:val="0"/>
              <w:marRight w:val="0"/>
              <w:marTop w:val="0"/>
              <w:marBottom w:val="0"/>
              <w:divBdr>
                <w:top w:val="none" w:sz="0" w:space="0" w:color="auto"/>
                <w:left w:val="none" w:sz="0" w:space="0" w:color="auto"/>
                <w:bottom w:val="none" w:sz="0" w:space="0" w:color="auto"/>
                <w:right w:val="none" w:sz="0" w:space="0" w:color="auto"/>
              </w:divBdr>
            </w:div>
          </w:divsChild>
        </w:div>
        <w:div w:id="517349028">
          <w:marLeft w:val="0"/>
          <w:marRight w:val="0"/>
          <w:marTop w:val="0"/>
          <w:marBottom w:val="0"/>
          <w:divBdr>
            <w:top w:val="none" w:sz="0" w:space="0" w:color="auto"/>
            <w:left w:val="none" w:sz="0" w:space="0" w:color="auto"/>
            <w:bottom w:val="none" w:sz="0" w:space="0" w:color="auto"/>
            <w:right w:val="none" w:sz="0" w:space="0" w:color="auto"/>
          </w:divBdr>
          <w:divsChild>
            <w:div w:id="465927092">
              <w:marLeft w:val="0"/>
              <w:marRight w:val="0"/>
              <w:marTop w:val="120"/>
              <w:marBottom w:val="0"/>
              <w:divBdr>
                <w:top w:val="none" w:sz="0" w:space="0" w:color="auto"/>
                <w:left w:val="none" w:sz="0" w:space="0" w:color="auto"/>
                <w:bottom w:val="none" w:sz="0" w:space="0" w:color="auto"/>
                <w:right w:val="none" w:sz="0" w:space="0" w:color="auto"/>
              </w:divBdr>
            </w:div>
            <w:div w:id="145020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0268025">
      <w:bodyDiv w:val="1"/>
      <w:marLeft w:val="0"/>
      <w:marRight w:val="0"/>
      <w:marTop w:val="0"/>
      <w:marBottom w:val="0"/>
      <w:divBdr>
        <w:top w:val="none" w:sz="0" w:space="0" w:color="auto"/>
        <w:left w:val="none" w:sz="0" w:space="0" w:color="auto"/>
        <w:bottom w:val="none" w:sz="0" w:space="0" w:color="auto"/>
        <w:right w:val="none" w:sz="0" w:space="0" w:color="auto"/>
      </w:divBdr>
    </w:div>
    <w:div w:id="696780732">
      <w:bodyDiv w:val="1"/>
      <w:marLeft w:val="0"/>
      <w:marRight w:val="0"/>
      <w:marTop w:val="0"/>
      <w:marBottom w:val="0"/>
      <w:divBdr>
        <w:top w:val="none" w:sz="0" w:space="0" w:color="auto"/>
        <w:left w:val="none" w:sz="0" w:space="0" w:color="auto"/>
        <w:bottom w:val="none" w:sz="0" w:space="0" w:color="auto"/>
        <w:right w:val="none" w:sz="0" w:space="0" w:color="auto"/>
      </w:divBdr>
      <w:divsChild>
        <w:div w:id="1462268497">
          <w:marLeft w:val="0"/>
          <w:marRight w:val="0"/>
          <w:marTop w:val="0"/>
          <w:marBottom w:val="0"/>
          <w:divBdr>
            <w:top w:val="none" w:sz="0" w:space="0" w:color="auto"/>
            <w:left w:val="none" w:sz="0" w:space="0" w:color="auto"/>
            <w:bottom w:val="none" w:sz="0" w:space="0" w:color="auto"/>
            <w:right w:val="none" w:sz="0" w:space="0" w:color="auto"/>
          </w:divBdr>
          <w:divsChild>
            <w:div w:id="2114157969">
              <w:marLeft w:val="0"/>
              <w:marRight w:val="0"/>
              <w:marTop w:val="120"/>
              <w:marBottom w:val="0"/>
              <w:divBdr>
                <w:top w:val="none" w:sz="0" w:space="0" w:color="auto"/>
                <w:left w:val="none" w:sz="0" w:space="0" w:color="auto"/>
                <w:bottom w:val="none" w:sz="0" w:space="0" w:color="auto"/>
                <w:right w:val="none" w:sz="0" w:space="0" w:color="auto"/>
              </w:divBdr>
            </w:div>
            <w:div w:id="1456437766">
              <w:marLeft w:val="0"/>
              <w:marRight w:val="0"/>
              <w:marTop w:val="0"/>
              <w:marBottom w:val="0"/>
              <w:divBdr>
                <w:top w:val="none" w:sz="0" w:space="0" w:color="auto"/>
                <w:left w:val="none" w:sz="0" w:space="0" w:color="auto"/>
                <w:bottom w:val="none" w:sz="0" w:space="0" w:color="auto"/>
                <w:right w:val="none" w:sz="0" w:space="0" w:color="auto"/>
              </w:divBdr>
            </w:div>
          </w:divsChild>
        </w:div>
        <w:div w:id="1507355203">
          <w:marLeft w:val="0"/>
          <w:marRight w:val="0"/>
          <w:marTop w:val="0"/>
          <w:marBottom w:val="0"/>
          <w:divBdr>
            <w:top w:val="none" w:sz="0" w:space="0" w:color="auto"/>
            <w:left w:val="none" w:sz="0" w:space="0" w:color="auto"/>
            <w:bottom w:val="none" w:sz="0" w:space="0" w:color="auto"/>
            <w:right w:val="none" w:sz="0" w:space="0" w:color="auto"/>
          </w:divBdr>
          <w:divsChild>
            <w:div w:id="1216816645">
              <w:marLeft w:val="0"/>
              <w:marRight w:val="0"/>
              <w:marTop w:val="120"/>
              <w:marBottom w:val="0"/>
              <w:divBdr>
                <w:top w:val="none" w:sz="0" w:space="0" w:color="auto"/>
                <w:left w:val="none" w:sz="0" w:space="0" w:color="auto"/>
                <w:bottom w:val="none" w:sz="0" w:space="0" w:color="auto"/>
                <w:right w:val="none" w:sz="0" w:space="0" w:color="auto"/>
              </w:divBdr>
            </w:div>
            <w:div w:id="782502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9033810">
      <w:bodyDiv w:val="1"/>
      <w:marLeft w:val="0"/>
      <w:marRight w:val="0"/>
      <w:marTop w:val="0"/>
      <w:marBottom w:val="0"/>
      <w:divBdr>
        <w:top w:val="none" w:sz="0" w:space="0" w:color="auto"/>
        <w:left w:val="none" w:sz="0" w:space="0" w:color="auto"/>
        <w:bottom w:val="none" w:sz="0" w:space="0" w:color="auto"/>
        <w:right w:val="none" w:sz="0" w:space="0" w:color="auto"/>
      </w:divBdr>
    </w:div>
    <w:div w:id="784540141">
      <w:bodyDiv w:val="1"/>
      <w:marLeft w:val="0"/>
      <w:marRight w:val="0"/>
      <w:marTop w:val="0"/>
      <w:marBottom w:val="0"/>
      <w:divBdr>
        <w:top w:val="none" w:sz="0" w:space="0" w:color="auto"/>
        <w:left w:val="none" w:sz="0" w:space="0" w:color="auto"/>
        <w:bottom w:val="none" w:sz="0" w:space="0" w:color="auto"/>
        <w:right w:val="none" w:sz="0" w:space="0" w:color="auto"/>
      </w:divBdr>
      <w:divsChild>
        <w:div w:id="1500651653">
          <w:marLeft w:val="0"/>
          <w:marRight w:val="0"/>
          <w:marTop w:val="0"/>
          <w:marBottom w:val="0"/>
          <w:divBdr>
            <w:top w:val="none" w:sz="0" w:space="0" w:color="auto"/>
            <w:left w:val="none" w:sz="0" w:space="0" w:color="auto"/>
            <w:bottom w:val="none" w:sz="0" w:space="0" w:color="auto"/>
            <w:right w:val="none" w:sz="0" w:space="0" w:color="auto"/>
          </w:divBdr>
          <w:divsChild>
            <w:div w:id="5091803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96685176">
      <w:bodyDiv w:val="1"/>
      <w:marLeft w:val="0"/>
      <w:marRight w:val="0"/>
      <w:marTop w:val="0"/>
      <w:marBottom w:val="0"/>
      <w:divBdr>
        <w:top w:val="none" w:sz="0" w:space="0" w:color="auto"/>
        <w:left w:val="none" w:sz="0" w:space="0" w:color="auto"/>
        <w:bottom w:val="none" w:sz="0" w:space="0" w:color="auto"/>
        <w:right w:val="none" w:sz="0" w:space="0" w:color="auto"/>
      </w:divBdr>
    </w:div>
    <w:div w:id="873155941">
      <w:bodyDiv w:val="1"/>
      <w:marLeft w:val="0"/>
      <w:marRight w:val="0"/>
      <w:marTop w:val="0"/>
      <w:marBottom w:val="0"/>
      <w:divBdr>
        <w:top w:val="none" w:sz="0" w:space="0" w:color="auto"/>
        <w:left w:val="none" w:sz="0" w:space="0" w:color="auto"/>
        <w:bottom w:val="none" w:sz="0" w:space="0" w:color="auto"/>
        <w:right w:val="none" w:sz="0" w:space="0" w:color="auto"/>
      </w:divBdr>
    </w:div>
    <w:div w:id="953053464">
      <w:bodyDiv w:val="1"/>
      <w:marLeft w:val="0"/>
      <w:marRight w:val="0"/>
      <w:marTop w:val="0"/>
      <w:marBottom w:val="0"/>
      <w:divBdr>
        <w:top w:val="none" w:sz="0" w:space="0" w:color="auto"/>
        <w:left w:val="none" w:sz="0" w:space="0" w:color="auto"/>
        <w:bottom w:val="none" w:sz="0" w:space="0" w:color="auto"/>
        <w:right w:val="none" w:sz="0" w:space="0" w:color="auto"/>
      </w:divBdr>
      <w:divsChild>
        <w:div w:id="1336952773">
          <w:marLeft w:val="0"/>
          <w:marRight w:val="0"/>
          <w:marTop w:val="0"/>
          <w:marBottom w:val="0"/>
          <w:divBdr>
            <w:top w:val="none" w:sz="0" w:space="0" w:color="auto"/>
            <w:left w:val="none" w:sz="0" w:space="0" w:color="auto"/>
            <w:bottom w:val="none" w:sz="0" w:space="0" w:color="auto"/>
            <w:right w:val="none" w:sz="0" w:space="0" w:color="auto"/>
          </w:divBdr>
        </w:div>
        <w:div w:id="2060085014">
          <w:marLeft w:val="0"/>
          <w:marRight w:val="0"/>
          <w:marTop w:val="0"/>
          <w:marBottom w:val="0"/>
          <w:divBdr>
            <w:top w:val="none" w:sz="0" w:space="0" w:color="auto"/>
            <w:left w:val="none" w:sz="0" w:space="0" w:color="auto"/>
            <w:bottom w:val="none" w:sz="0" w:space="0" w:color="auto"/>
            <w:right w:val="none" w:sz="0" w:space="0" w:color="auto"/>
          </w:divBdr>
        </w:div>
      </w:divsChild>
    </w:div>
    <w:div w:id="972490742">
      <w:bodyDiv w:val="1"/>
      <w:marLeft w:val="0"/>
      <w:marRight w:val="0"/>
      <w:marTop w:val="0"/>
      <w:marBottom w:val="0"/>
      <w:divBdr>
        <w:top w:val="none" w:sz="0" w:space="0" w:color="auto"/>
        <w:left w:val="none" w:sz="0" w:space="0" w:color="auto"/>
        <w:bottom w:val="none" w:sz="0" w:space="0" w:color="auto"/>
        <w:right w:val="none" w:sz="0" w:space="0" w:color="auto"/>
      </w:divBdr>
    </w:div>
    <w:div w:id="1199859302">
      <w:bodyDiv w:val="1"/>
      <w:marLeft w:val="0"/>
      <w:marRight w:val="0"/>
      <w:marTop w:val="0"/>
      <w:marBottom w:val="0"/>
      <w:divBdr>
        <w:top w:val="none" w:sz="0" w:space="0" w:color="auto"/>
        <w:left w:val="none" w:sz="0" w:space="0" w:color="auto"/>
        <w:bottom w:val="none" w:sz="0" w:space="0" w:color="auto"/>
        <w:right w:val="none" w:sz="0" w:space="0" w:color="auto"/>
      </w:divBdr>
    </w:div>
    <w:div w:id="1245916826">
      <w:bodyDiv w:val="1"/>
      <w:marLeft w:val="0"/>
      <w:marRight w:val="0"/>
      <w:marTop w:val="0"/>
      <w:marBottom w:val="0"/>
      <w:divBdr>
        <w:top w:val="none" w:sz="0" w:space="0" w:color="auto"/>
        <w:left w:val="none" w:sz="0" w:space="0" w:color="auto"/>
        <w:bottom w:val="none" w:sz="0" w:space="0" w:color="auto"/>
        <w:right w:val="none" w:sz="0" w:space="0" w:color="auto"/>
      </w:divBdr>
    </w:div>
    <w:div w:id="1285698628">
      <w:bodyDiv w:val="1"/>
      <w:marLeft w:val="0"/>
      <w:marRight w:val="0"/>
      <w:marTop w:val="0"/>
      <w:marBottom w:val="0"/>
      <w:divBdr>
        <w:top w:val="none" w:sz="0" w:space="0" w:color="auto"/>
        <w:left w:val="none" w:sz="0" w:space="0" w:color="auto"/>
        <w:bottom w:val="none" w:sz="0" w:space="0" w:color="auto"/>
        <w:right w:val="none" w:sz="0" w:space="0" w:color="auto"/>
      </w:divBdr>
      <w:divsChild>
        <w:div w:id="2057927313">
          <w:marLeft w:val="0"/>
          <w:marRight w:val="0"/>
          <w:marTop w:val="0"/>
          <w:marBottom w:val="0"/>
          <w:divBdr>
            <w:top w:val="none" w:sz="0" w:space="0" w:color="auto"/>
            <w:left w:val="none" w:sz="0" w:space="0" w:color="auto"/>
            <w:bottom w:val="none" w:sz="0" w:space="0" w:color="auto"/>
            <w:right w:val="none" w:sz="0" w:space="0" w:color="auto"/>
          </w:divBdr>
          <w:divsChild>
            <w:div w:id="129054464">
              <w:marLeft w:val="0"/>
              <w:marRight w:val="0"/>
              <w:marTop w:val="0"/>
              <w:marBottom w:val="0"/>
              <w:divBdr>
                <w:top w:val="none" w:sz="0" w:space="0" w:color="auto"/>
                <w:left w:val="none" w:sz="0" w:space="0" w:color="auto"/>
                <w:bottom w:val="none" w:sz="0" w:space="0" w:color="auto"/>
                <w:right w:val="none" w:sz="0" w:space="0" w:color="auto"/>
              </w:divBdr>
            </w:div>
            <w:div w:id="418335733">
              <w:marLeft w:val="0"/>
              <w:marRight w:val="0"/>
              <w:marTop w:val="0"/>
              <w:marBottom w:val="0"/>
              <w:divBdr>
                <w:top w:val="none" w:sz="0" w:space="0" w:color="auto"/>
                <w:left w:val="none" w:sz="0" w:space="0" w:color="auto"/>
                <w:bottom w:val="none" w:sz="0" w:space="0" w:color="auto"/>
                <w:right w:val="none" w:sz="0" w:space="0" w:color="auto"/>
              </w:divBdr>
            </w:div>
            <w:div w:id="141317703">
              <w:marLeft w:val="0"/>
              <w:marRight w:val="0"/>
              <w:marTop w:val="0"/>
              <w:marBottom w:val="0"/>
              <w:divBdr>
                <w:top w:val="none" w:sz="0" w:space="0" w:color="auto"/>
                <w:left w:val="none" w:sz="0" w:space="0" w:color="auto"/>
                <w:bottom w:val="none" w:sz="0" w:space="0" w:color="auto"/>
                <w:right w:val="none" w:sz="0" w:space="0" w:color="auto"/>
              </w:divBdr>
            </w:div>
          </w:divsChild>
        </w:div>
        <w:div w:id="717515992">
          <w:marLeft w:val="0"/>
          <w:marRight w:val="0"/>
          <w:marTop w:val="0"/>
          <w:marBottom w:val="0"/>
          <w:divBdr>
            <w:top w:val="none" w:sz="0" w:space="0" w:color="auto"/>
            <w:left w:val="none" w:sz="0" w:space="0" w:color="auto"/>
            <w:bottom w:val="none" w:sz="0" w:space="0" w:color="auto"/>
            <w:right w:val="none" w:sz="0" w:space="0" w:color="auto"/>
          </w:divBdr>
        </w:div>
      </w:divsChild>
    </w:div>
    <w:div w:id="1344285508">
      <w:bodyDiv w:val="1"/>
      <w:marLeft w:val="0"/>
      <w:marRight w:val="0"/>
      <w:marTop w:val="0"/>
      <w:marBottom w:val="0"/>
      <w:divBdr>
        <w:top w:val="none" w:sz="0" w:space="0" w:color="auto"/>
        <w:left w:val="none" w:sz="0" w:space="0" w:color="auto"/>
        <w:bottom w:val="none" w:sz="0" w:space="0" w:color="auto"/>
        <w:right w:val="none" w:sz="0" w:space="0" w:color="auto"/>
      </w:divBdr>
      <w:divsChild>
        <w:div w:id="340621489">
          <w:marLeft w:val="0"/>
          <w:marRight w:val="0"/>
          <w:marTop w:val="0"/>
          <w:marBottom w:val="0"/>
          <w:divBdr>
            <w:top w:val="none" w:sz="0" w:space="0" w:color="auto"/>
            <w:left w:val="none" w:sz="0" w:space="0" w:color="auto"/>
            <w:bottom w:val="none" w:sz="0" w:space="0" w:color="auto"/>
            <w:right w:val="none" w:sz="0" w:space="0" w:color="auto"/>
          </w:divBdr>
          <w:divsChild>
            <w:div w:id="11017293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523206">
      <w:bodyDiv w:val="1"/>
      <w:marLeft w:val="0"/>
      <w:marRight w:val="0"/>
      <w:marTop w:val="0"/>
      <w:marBottom w:val="0"/>
      <w:divBdr>
        <w:top w:val="none" w:sz="0" w:space="0" w:color="auto"/>
        <w:left w:val="none" w:sz="0" w:space="0" w:color="auto"/>
        <w:bottom w:val="none" w:sz="0" w:space="0" w:color="auto"/>
        <w:right w:val="none" w:sz="0" w:space="0" w:color="auto"/>
      </w:divBdr>
    </w:div>
    <w:div w:id="1568875707">
      <w:bodyDiv w:val="1"/>
      <w:marLeft w:val="0"/>
      <w:marRight w:val="0"/>
      <w:marTop w:val="0"/>
      <w:marBottom w:val="0"/>
      <w:divBdr>
        <w:top w:val="none" w:sz="0" w:space="0" w:color="auto"/>
        <w:left w:val="none" w:sz="0" w:space="0" w:color="auto"/>
        <w:bottom w:val="none" w:sz="0" w:space="0" w:color="auto"/>
        <w:right w:val="none" w:sz="0" w:space="0" w:color="auto"/>
      </w:divBdr>
    </w:div>
    <w:div w:id="1766923782">
      <w:bodyDiv w:val="1"/>
      <w:marLeft w:val="0"/>
      <w:marRight w:val="0"/>
      <w:marTop w:val="0"/>
      <w:marBottom w:val="0"/>
      <w:divBdr>
        <w:top w:val="none" w:sz="0" w:space="0" w:color="auto"/>
        <w:left w:val="none" w:sz="0" w:space="0" w:color="auto"/>
        <w:bottom w:val="none" w:sz="0" w:space="0" w:color="auto"/>
        <w:right w:val="none" w:sz="0" w:space="0" w:color="auto"/>
      </w:divBdr>
    </w:div>
    <w:div w:id="1774590808">
      <w:bodyDiv w:val="1"/>
      <w:marLeft w:val="0"/>
      <w:marRight w:val="0"/>
      <w:marTop w:val="0"/>
      <w:marBottom w:val="0"/>
      <w:divBdr>
        <w:top w:val="none" w:sz="0" w:space="0" w:color="auto"/>
        <w:left w:val="none" w:sz="0" w:space="0" w:color="auto"/>
        <w:bottom w:val="none" w:sz="0" w:space="0" w:color="auto"/>
        <w:right w:val="none" w:sz="0" w:space="0" w:color="auto"/>
      </w:divBdr>
    </w:div>
    <w:div w:id="1956406831">
      <w:bodyDiv w:val="1"/>
      <w:marLeft w:val="390"/>
      <w:marRight w:val="390"/>
      <w:marTop w:val="0"/>
      <w:marBottom w:val="0"/>
      <w:divBdr>
        <w:top w:val="none" w:sz="0" w:space="0" w:color="auto"/>
        <w:left w:val="none" w:sz="0" w:space="0" w:color="auto"/>
        <w:bottom w:val="none" w:sz="0" w:space="0" w:color="auto"/>
        <w:right w:val="none" w:sz="0" w:space="0" w:color="auto"/>
      </w:divBdr>
      <w:divsChild>
        <w:div w:id="815531775">
          <w:marLeft w:val="0"/>
          <w:marRight w:val="0"/>
          <w:marTop w:val="0"/>
          <w:marBottom w:val="0"/>
          <w:divBdr>
            <w:top w:val="none" w:sz="0" w:space="0" w:color="auto"/>
            <w:left w:val="none" w:sz="0" w:space="0" w:color="auto"/>
            <w:bottom w:val="none" w:sz="0" w:space="0" w:color="auto"/>
            <w:right w:val="none" w:sz="0" w:space="0" w:color="auto"/>
          </w:divBdr>
          <w:divsChild>
            <w:div w:id="8555809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388966">
      <w:bodyDiv w:val="1"/>
      <w:marLeft w:val="0"/>
      <w:marRight w:val="0"/>
      <w:marTop w:val="0"/>
      <w:marBottom w:val="0"/>
      <w:divBdr>
        <w:top w:val="none" w:sz="0" w:space="0" w:color="auto"/>
        <w:left w:val="none" w:sz="0" w:space="0" w:color="auto"/>
        <w:bottom w:val="none" w:sz="0" w:space="0" w:color="auto"/>
        <w:right w:val="none" w:sz="0" w:space="0" w:color="auto"/>
      </w:divBdr>
    </w:div>
    <w:div w:id="2060468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ur-lex.europa.eu/legal-content/LIT/TXT/?uri=CELEX:32006L0112&amp;locale=l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eur-lex.europa.eu/legal-content/LIT/TXT/?uri=CELEX:32006L0112&amp;locale=lt"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lentele" DocPartId="a7d7046f539947a8be7acd8b8cf95efe" PartId="fa3de0a839a24ee194880477d4ec6fb8"/>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FC5D96-D801-49D4-8641-5FDEEADEC33D}">
  <ds:schemaRefs>
    <ds:schemaRef ds:uri="http://lrs.lt/TAIS/DocParts"/>
  </ds:schemaRefs>
</ds:datastoreItem>
</file>

<file path=customXml/itemProps2.xml><?xml version="1.0" encoding="utf-8"?>
<ds:datastoreItem xmlns:ds="http://schemas.openxmlformats.org/officeDocument/2006/customXml" ds:itemID="{D5CF055D-6D58-4D95-BEFF-B3867D67AF5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1762</Words>
  <Characters>1005</Characters>
  <Application>Microsoft Office Word</Application>
  <DocSecurity>0</DocSecurity>
  <Lines>8</Lines>
  <Paragraphs>5</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2762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Giedrė Morkūnienė</dc:creator>
  <cp:lastModifiedBy>EITUTIENĖ Rasa</cp:lastModifiedBy>
  <cp:revision>2</cp:revision>
  <cp:lastPrinted>2019-02-25T07:40:00Z</cp:lastPrinted>
  <dcterms:created xsi:type="dcterms:W3CDTF">2023-06-21T13:51:00Z</dcterms:created>
  <dcterms:modified xsi:type="dcterms:W3CDTF">2023-06-21T13:51:00Z</dcterms:modified>
</cp:coreProperties>
</file>