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lentele"/>
        <w:tag w:val="part_3e0db33203f7493e988497704447c6e9"/>
        <w:id w:val="-1261291530"/>
        <w:lock w:val="sdtLocked"/>
      </w:sdtPr>
      <w:sdtEndPr/>
      <w:sdtContent>
        <w:p w:rsidR="0065648E" w:rsidRDefault="0065648E">
          <w:pPr>
            <w:rPr>
              <w:sz w:val="10"/>
              <w:szCs w:val="10"/>
            </w:rPr>
          </w:pPr>
        </w:p>
        <w:p w:rsidR="0065648E" w:rsidRDefault="006379C0">
          <w:pPr>
            <w:jc w:val="center"/>
            <w:rPr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2021 m. sausio 22 d. Tarybos įgyvendinimo sprendimo (ES) 2021/86, kuriuo Lietuvos Respublikai leidžiama taikyti specialią priemonę, kuria nukrypstama nuo Tarybos direktyvos </w:t>
          </w:r>
          <w:hyperlink r:id="rId5" w:tgtFrame="_blank" w:history="1">
            <w:r>
              <w:rPr>
                <w:b/>
                <w:bCs/>
                <w:color w:val="0000FF" w:themeColor="hyperlink"/>
                <w:szCs w:val="24"/>
                <w:u w:val="single"/>
                <w:lang w:eastAsia="lt-LT"/>
              </w:rPr>
              <w:t>2006/112/EB</w:t>
            </w:r>
          </w:hyperlink>
          <w:r>
            <w:rPr>
              <w:b/>
              <w:bCs/>
              <w:szCs w:val="24"/>
              <w:lang w:eastAsia="lt-LT"/>
            </w:rPr>
            <w:t xml:space="preserve"> dėl pridėtinės vertės mokesčio bendros sistemos 287 straipsnio,</w:t>
          </w:r>
          <w:r>
            <w:rPr>
              <w:rFonts w:eastAsia="Arial Unicode MS"/>
              <w:b/>
              <w:bCs/>
              <w:color w:val="000000"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>ir</w:t>
          </w:r>
          <w:r>
            <w:rPr>
              <w:bCs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  <w:lang w:eastAsia="lt-LT"/>
            </w:rPr>
            <w:t>Lietuvos Respublikos pridėtinės vertės mokesčio įstatymo Nr. IX-751 19, 21, 71</w:t>
          </w:r>
          <w:r>
            <w:rPr>
              <w:b/>
              <w:bCs/>
              <w:szCs w:val="24"/>
              <w:lang w:eastAsia="lt-LT"/>
            </w:rPr>
            <w:t>, 92 straipsnių ir 2 priedo pakeitimo įstatymo projekto atitikties lentelė</w:t>
          </w:r>
        </w:p>
        <w:p w:rsidR="0065648E" w:rsidRDefault="0065648E">
          <w:pPr>
            <w:jc w:val="center"/>
            <w:rPr>
              <w:b/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4441"/>
            <w:gridCol w:w="7783"/>
            <w:gridCol w:w="1769"/>
          </w:tblGrid>
          <w:tr w:rsidR="0065648E">
            <w:tc>
              <w:tcPr>
                <w:tcW w:w="4503" w:type="dxa"/>
              </w:tcPr>
              <w:p w:rsidR="0065648E" w:rsidRDefault="006379C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rFonts w:eastAsia="Arial Unicode MS"/>
                    <w:color w:val="000000"/>
                    <w:szCs w:val="24"/>
                  </w:rPr>
                  <w:t>2021 m. sausio 22 d. Tarybos įgyvendinimo sprendimas (ES) 2021/86</w:t>
                </w:r>
              </w:p>
            </w:tc>
            <w:tc>
              <w:tcPr>
                <w:tcW w:w="7945" w:type="dxa"/>
              </w:tcPr>
              <w:p w:rsidR="0065648E" w:rsidRDefault="006379C0">
                <w:pPr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Lietuvos Respublikos pridėtinės vertės mokesčio įstatymo Nr. IX-751 19, 21, 71, 92 straipsnių ir 2 priedo pakeitim</w:t>
                </w:r>
                <w:r>
                  <w:rPr>
                    <w:b/>
                    <w:szCs w:val="24"/>
                    <w:lang w:eastAsia="lt-LT"/>
                  </w:rPr>
                  <w:t>o</w:t>
                </w:r>
                <w:r>
                  <w:rPr>
                    <w:b/>
                    <w:bCs/>
                    <w:szCs w:val="24"/>
                    <w:lang w:eastAsia="lt-LT"/>
                  </w:rPr>
                  <w:t xml:space="preserve"> </w:t>
                </w:r>
                <w:r>
                  <w:rPr>
                    <w:b/>
                    <w:szCs w:val="24"/>
                    <w:lang w:eastAsia="lt-LT"/>
                  </w:rPr>
                  <w:t xml:space="preserve">įstatymo projektas (toliau – Įstatymo projektas) </w:t>
                </w:r>
              </w:p>
              <w:p w:rsidR="0065648E" w:rsidRDefault="0065648E">
                <w:pPr>
                  <w:jc w:val="both"/>
                  <w:rPr>
                    <w:b/>
                    <w:szCs w:val="24"/>
                    <w:lang w:eastAsia="lt-LT"/>
                  </w:rPr>
                </w:pPr>
              </w:p>
            </w:tc>
            <w:tc>
              <w:tcPr>
                <w:tcW w:w="1771" w:type="dxa"/>
              </w:tcPr>
              <w:p w:rsidR="0065648E" w:rsidRDefault="006379C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Direktyvos perkėlimo (įgyvendinimo) lygis (visiškas, dalinis)</w:t>
                </w:r>
              </w:p>
            </w:tc>
          </w:tr>
          <w:tr w:rsidR="0065648E">
            <w:tc>
              <w:tcPr>
                <w:tcW w:w="4503" w:type="dxa"/>
              </w:tcPr>
              <w:p w:rsidR="0065648E" w:rsidRDefault="006379C0">
                <w:pPr>
                  <w:jc w:val="both"/>
                  <w:rPr>
                    <w:rFonts w:eastAsia="Arial Unicode MS"/>
                    <w:iCs/>
                    <w:color w:val="000000"/>
                    <w:szCs w:val="24"/>
                  </w:rPr>
                </w:pPr>
                <w:r>
                  <w:rPr>
                    <w:rFonts w:eastAsia="Arial Unicode MS"/>
                    <w:iCs/>
                    <w:color w:val="000000"/>
                    <w:szCs w:val="24"/>
                  </w:rPr>
                  <w:t>1 straipsnis</w:t>
                </w:r>
              </w:p>
              <w:p w:rsidR="0065648E" w:rsidRDefault="0065648E">
                <w:pPr>
                  <w:rPr>
                    <w:sz w:val="10"/>
                    <w:szCs w:val="10"/>
                  </w:rPr>
                </w:pPr>
              </w:p>
              <w:p w:rsidR="0065648E" w:rsidRDefault="0065648E">
                <w:pPr>
                  <w:jc w:val="both"/>
                  <w:rPr>
                    <w:rFonts w:eastAsia="Arial Unicode MS"/>
                    <w:iCs/>
                    <w:color w:val="000000"/>
                    <w:szCs w:val="24"/>
                  </w:rPr>
                </w:pPr>
              </w:p>
              <w:p w:rsidR="0065648E" w:rsidRDefault="0065648E">
                <w:pPr>
                  <w:rPr>
                    <w:sz w:val="10"/>
                    <w:szCs w:val="10"/>
                  </w:rPr>
                </w:pPr>
              </w:p>
              <w:p w:rsidR="0065648E" w:rsidRDefault="006379C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rFonts w:eastAsia="Arial Unicode MS"/>
                    <w:iCs/>
                    <w:color w:val="000000"/>
                    <w:szCs w:val="24"/>
                  </w:rPr>
                  <w:t xml:space="preserve">Nukrypstant nuo Direktyvos </w:t>
                </w:r>
                <w:hyperlink r:id="rId6" w:tgtFrame="_blank" w:history="1">
                  <w:r>
                    <w:rPr>
                      <w:rFonts w:eastAsia="Arial Unicode MS"/>
                      <w:iCs/>
                      <w:color w:val="0000FF" w:themeColor="hyperlink"/>
                      <w:szCs w:val="24"/>
                      <w:u w:val="single"/>
                    </w:rPr>
                    <w:t>2006/112/EB</w:t>
                  </w:r>
                </w:hyperlink>
                <w:r>
                  <w:rPr>
                    <w:rFonts w:eastAsia="Arial Unicode MS"/>
                    <w:iCs/>
                    <w:color w:val="000000"/>
                    <w:szCs w:val="24"/>
                  </w:rPr>
                  <w:t xml:space="preserve"> 287 straipsnio, Lietuvos Respublikai leidžiama nuo pridėtinės vertės mokesčio atleisti apmokestinamuosius asmenis, kurių metinė apyvarta neviršija 55 000 EUR.</w:t>
                </w:r>
                <w:r>
                  <w:rPr>
                    <w:rFonts w:eastAsia="Arial Unicode MS"/>
                    <w:iCs/>
                    <w:color w:val="000000"/>
                    <w:szCs w:val="24"/>
                    <w:lang w:eastAsia="lt-LT"/>
                  </w:rPr>
                  <w:t xml:space="preserve"> </w:t>
                </w:r>
              </w:p>
            </w:tc>
            <w:tc>
              <w:tcPr>
                <w:tcW w:w="7945" w:type="dxa"/>
              </w:tcPr>
              <w:p w:rsidR="0065648E" w:rsidRDefault="006379C0">
                <w:pPr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Įstatymo projektas</w:t>
                </w:r>
              </w:p>
              <w:p w:rsidR="0065648E" w:rsidRDefault="006379C0">
                <w:pPr>
                  <w:tabs>
                    <w:tab w:val="left" w:pos="142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val="en-US" w:eastAsia="lt-LT"/>
                  </w:rPr>
                  <w:t>3</w:t>
                </w:r>
                <w:r>
                  <w:rPr>
                    <w:b/>
                    <w:szCs w:val="24"/>
                    <w:lang w:eastAsia="lt-LT"/>
                  </w:rPr>
                  <w:t xml:space="preserve"> straipsnis. 71 straipsnio pakeitimas</w:t>
                </w:r>
              </w:p>
              <w:p w:rsidR="0065648E" w:rsidRDefault="006379C0">
                <w:pPr>
                  <w:tabs>
                    <w:tab w:val="left" w:pos="142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Pakeisti 71 straipsnio</w:t>
                </w:r>
                <w:r>
                  <w:rPr>
                    <w:szCs w:val="24"/>
                    <w:lang w:eastAsia="lt-LT"/>
                  </w:rPr>
                  <w:t xml:space="preserve"> 2 dalies nuostatą iki dvitaškio ir ją išdėstyti taip:</w:t>
                </w:r>
              </w:p>
              <w:p w:rsidR="0065648E" w:rsidRDefault="006379C0">
                <w:pPr>
                  <w:tabs>
                    <w:tab w:val="left" w:pos="142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„2. Neatsižvelgiant į šio straipsnio 1 dalį, Lietuvos Respublikos apmokestinamasis asmuo neprivalo pateikti prašymo įregistruoti jį PVM mokėtoju bei už tiekiamas prekes (išskyrus į kitas valstybes nare</w:t>
                </w:r>
                <w:r>
                  <w:rPr>
                    <w:szCs w:val="24"/>
                  </w:rPr>
                  <w:t>s tiekiamas naujas transporto priemones) ir (arba) teikiamas paslaugas šio Įstatymo nustatyta tvarka skaičiuoti PVM ir mokėti jį į biudžetą, jeigu bendra atlygio už vykdant ekonominę veiklą šalies teritorijoje patiektas prekes ir (arba) suteiktas paslaugas</w:t>
                </w:r>
                <w:r>
                  <w:rPr>
                    <w:szCs w:val="24"/>
                  </w:rPr>
                  <w:t xml:space="preserve"> suma per metus (paskutinius 12 mėnesių) neviršijo 55 000</w:t>
                </w:r>
                <w:r>
                  <w:rPr>
                    <w:b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>eurų. PVM turi būti pradėtas skaičiuoti nuo to mėnesio, kurį minėta riba buvo viršyta. Už patiektas prekes ir suteiktas paslaugas, už kurias atlygis neviršijo nurodytos 55 000</w:t>
                </w:r>
                <w:r>
                  <w:rPr>
                    <w:b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>eurų sumos, PVM neskai</w:t>
                </w:r>
                <w:r>
                  <w:rPr>
                    <w:szCs w:val="24"/>
                  </w:rPr>
                  <w:t>čiuojamas. Skaičiuojant nurodytą 55 000</w:t>
                </w:r>
                <w:r>
                  <w:rPr>
                    <w:b/>
                    <w:szCs w:val="24"/>
                  </w:rPr>
                  <w:t xml:space="preserve"> </w:t>
                </w:r>
                <w:r>
                  <w:rPr>
                    <w:szCs w:val="24"/>
                  </w:rPr>
                  <w:t>eurų sumą, neatsižvelgiama į:“</w:t>
                </w:r>
              </w:p>
              <w:p w:rsidR="0065648E" w:rsidRDefault="0065648E">
                <w:pPr>
                  <w:tabs>
                    <w:tab w:val="left" w:pos="142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szCs w:val="24"/>
                  </w:rPr>
                </w:pPr>
              </w:p>
              <w:p w:rsidR="0065648E" w:rsidRDefault="0065648E">
                <w:pPr>
                  <w:tabs>
                    <w:tab w:val="left" w:pos="142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szCs w:val="24"/>
                  </w:rPr>
                </w:pPr>
              </w:p>
              <w:p w:rsidR="0065648E" w:rsidRDefault="006379C0">
                <w:pPr>
                  <w:tabs>
                    <w:tab w:val="left" w:pos="142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4 straipsnis. 92 straipsnio pakeitimas</w:t>
                </w:r>
              </w:p>
              <w:p w:rsidR="0065648E" w:rsidRDefault="006379C0">
                <w:pPr>
                  <w:tabs>
                    <w:tab w:val="left" w:pos="33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ind w:left="33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Pakeisti 92 straipsnio 1 dalį ir ją išdėstyti taip:</w:t>
                </w:r>
              </w:p>
              <w:p w:rsidR="0065648E" w:rsidRDefault="006379C0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„1. Apmokestinamasis asmuo, privalėjęs pateikti prašymą įregistruoti jį PVM mokėtoju pagal š</w:t>
                </w:r>
                <w:r>
                  <w:rPr>
                    <w:szCs w:val="24"/>
                    <w:lang w:eastAsia="lt-LT"/>
                  </w:rPr>
                  <w:t>io Įstatymo 71 straipsnį arba pagal 71</w:t>
                </w:r>
                <w:r>
                  <w:rPr>
                    <w:szCs w:val="24"/>
                    <w:vertAlign w:val="superscript"/>
                    <w:lang w:eastAsia="lt-LT"/>
                  </w:rPr>
                  <w:t>1</w:t>
                </w:r>
                <w:r>
                  <w:rPr>
                    <w:szCs w:val="24"/>
                    <w:lang w:eastAsia="lt-LT"/>
                  </w:rPr>
                  <w:t> straipsnį, tačiau to nepadaręs, privalo laikydamasis šiame straipsnyje nustatytos tvarkos skaičiuoti ir mokėti į biudžetą PVM už prekes ir paslaugas, už kurias jis pagal šio Įstatymo nuostatas privalėtų skaičiuoti ir</w:t>
                </w:r>
                <w:r>
                  <w:rPr>
                    <w:szCs w:val="24"/>
                    <w:lang w:eastAsia="lt-LT"/>
                  </w:rPr>
                  <w:t xml:space="preserve"> mokėti PVM būdamas PVM mokėtoju. Mokėtina už patiektas prekes ir (arba) suteiktas paslaugas PVM suma </w:t>
                </w:r>
                <w:r>
                  <w:rPr>
                    <w:szCs w:val="24"/>
                    <w:lang w:eastAsia="lt-LT"/>
                  </w:rPr>
                  <w:lastRenderedPageBreak/>
                  <w:t>apskaičiuojama pagal tokią formulę (kai taikoma šio Įstatymo 71 straipsnio 2 dalis, – už patiektas prekes ir suteiktas paslaugas, už kurias atlygis nevirš</w:t>
                </w:r>
                <w:r>
                  <w:rPr>
                    <w:szCs w:val="24"/>
                    <w:lang w:eastAsia="lt-LT"/>
                  </w:rPr>
                  <w:t xml:space="preserve">ijo šio Įstatymo 71 straipsnio 2 dalyje nurodytos </w:t>
                </w:r>
                <w:r>
                  <w:rPr>
                    <w:bCs/>
                    <w:szCs w:val="24"/>
                    <w:lang w:eastAsia="lt-LT"/>
                  </w:rPr>
                  <w:t>55 000 eurų</w:t>
                </w:r>
                <w:r>
                  <w:rPr>
                    <w:b/>
                    <w:bCs/>
                    <w:szCs w:val="24"/>
                    <w:lang w:eastAsia="lt-LT"/>
                  </w:rPr>
                  <w:t xml:space="preserve"> </w:t>
                </w:r>
                <w:r>
                  <w:rPr>
                    <w:szCs w:val="24"/>
                    <w:lang w:eastAsia="lt-LT"/>
                  </w:rPr>
                  <w:t xml:space="preserve">sumos, PVM neskaičiuojamas, tačiau tuo atveju, kai nurodyta riba viršijama, PVM privalo būti apskaičiuojamas už visas patiektas prekes ir (arba) suteiktas paslaugas, dėl kurių tiekimo (teikimo) </w:t>
                </w:r>
                <w:r>
                  <w:rPr>
                    <w:szCs w:val="24"/>
                    <w:lang w:eastAsia="lt-LT"/>
                  </w:rPr>
                  <w:t>nurodyta riba buvo viršyta):</w:t>
                </w:r>
              </w:p>
              <w:p w:rsidR="0065648E" w:rsidRDefault="006379C0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Mokėtina PVM suma = atlygis × T / (100 % + T)</w:t>
                </w:r>
                <w:r>
                  <w:rPr>
                    <w:szCs w:val="24"/>
                    <w:lang w:eastAsia="lt-LT"/>
                  </w:rPr>
                  <w:t>, kur</w:t>
                </w:r>
              </w:p>
              <w:p w:rsidR="0065648E" w:rsidRDefault="006379C0">
                <w:pPr>
                  <w:tabs>
                    <w:tab w:val="left" w:pos="0"/>
                    <w:tab w:val="left" w:pos="1832"/>
                    <w:tab w:val="left" w:pos="2748"/>
                    <w:tab w:val="left" w:pos="3664"/>
                    <w:tab w:val="left" w:pos="4580"/>
                    <w:tab w:val="left" w:pos="5496"/>
                    <w:tab w:val="left" w:pos="6412"/>
                    <w:tab w:val="left" w:pos="7328"/>
                    <w:tab w:val="left" w:pos="8244"/>
                    <w:tab w:val="left" w:pos="9160"/>
                    <w:tab w:val="left" w:pos="10076"/>
                    <w:tab w:val="left" w:pos="10992"/>
                    <w:tab w:val="left" w:pos="11908"/>
                    <w:tab w:val="left" w:pos="12824"/>
                    <w:tab w:val="left" w:pos="13740"/>
                    <w:tab w:val="left" w:pos="14656"/>
                  </w:tabs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 – šioms prekėms ir (arba) paslaugoms šiame Įstatyme nustatytas PVM tarifas (procentais); × – daugybos ženklas.“</w:t>
                </w:r>
              </w:p>
              <w:p w:rsidR="0065648E" w:rsidRDefault="0065648E">
                <w:pPr>
                  <w:jc w:val="both"/>
                  <w:rPr>
                    <w:b/>
                    <w:szCs w:val="24"/>
                    <w:lang w:eastAsia="lt-LT"/>
                  </w:rPr>
                </w:pPr>
              </w:p>
              <w:p w:rsidR="0065648E" w:rsidRDefault="0065648E">
                <w:pPr>
                  <w:jc w:val="both"/>
                  <w:rPr>
                    <w:b/>
                    <w:szCs w:val="24"/>
                    <w:lang w:eastAsia="lt-LT"/>
                  </w:rPr>
                </w:pPr>
              </w:p>
            </w:tc>
            <w:tc>
              <w:tcPr>
                <w:tcW w:w="1771" w:type="dxa"/>
              </w:tcPr>
              <w:p w:rsidR="0065648E" w:rsidRDefault="006379C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Visiškas</w:t>
                </w:r>
              </w:p>
              <w:p w:rsidR="0065648E" w:rsidRDefault="0065648E">
                <w:pPr>
                  <w:jc w:val="both"/>
                  <w:rPr>
                    <w:szCs w:val="24"/>
                    <w:lang w:eastAsia="lt-LT"/>
                  </w:rPr>
                </w:pPr>
              </w:p>
              <w:p w:rsidR="0065648E" w:rsidRDefault="0065648E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</w:tr>
          <w:tr w:rsidR="0065648E">
            <w:tc>
              <w:tcPr>
                <w:tcW w:w="4503" w:type="dxa"/>
              </w:tcPr>
              <w:p w:rsidR="0065648E" w:rsidRDefault="006379C0">
                <w:pPr>
                  <w:jc w:val="both"/>
                  <w:rPr>
                    <w:rFonts w:eastAsia="Arial Unicode MS"/>
                    <w:b/>
                    <w:iCs/>
                    <w:color w:val="000000"/>
                    <w:szCs w:val="24"/>
                  </w:rPr>
                </w:pPr>
                <w:r>
                  <w:rPr>
                    <w:rFonts w:eastAsia="Arial Unicode MS"/>
                    <w:b/>
                    <w:iCs/>
                    <w:color w:val="000000"/>
                    <w:szCs w:val="24"/>
                  </w:rPr>
                  <w:t>2 straipsnis</w:t>
                </w:r>
              </w:p>
              <w:p w:rsidR="0065648E" w:rsidRDefault="0065648E">
                <w:pPr>
                  <w:jc w:val="both"/>
                  <w:rPr>
                    <w:rFonts w:eastAsia="Arial Unicode MS"/>
                    <w:b/>
                    <w:iCs/>
                    <w:color w:val="000000"/>
                    <w:szCs w:val="24"/>
                  </w:rPr>
                </w:pPr>
              </w:p>
              <w:p w:rsidR="0065648E" w:rsidRDefault="006379C0">
                <w:pPr>
                  <w:jc w:val="both"/>
                  <w:rPr>
                    <w:rFonts w:eastAsia="Arial Unicode MS"/>
                    <w:iCs/>
                    <w:color w:val="000000"/>
                    <w:szCs w:val="24"/>
                  </w:rPr>
                </w:pPr>
                <w:r>
                  <w:rPr>
                    <w:rFonts w:eastAsia="Arial Unicode MS"/>
                    <w:iCs/>
                    <w:color w:val="000000"/>
                    <w:szCs w:val="24"/>
                  </w:rPr>
                  <w:t xml:space="preserve">Šis sprendimas įsigalioja </w:t>
                </w:r>
                <w:r>
                  <w:rPr>
                    <w:rFonts w:eastAsia="Arial Unicode MS"/>
                    <w:iCs/>
                    <w:color w:val="000000"/>
                    <w:szCs w:val="24"/>
                  </w:rPr>
                  <w:t>pranešimo apie jį dieną.</w:t>
                </w:r>
              </w:p>
              <w:p w:rsidR="0065648E" w:rsidRDefault="0065648E">
                <w:pPr>
                  <w:jc w:val="both"/>
                  <w:rPr>
                    <w:rFonts w:eastAsia="Arial Unicode MS"/>
                    <w:iCs/>
                    <w:color w:val="000000"/>
                    <w:szCs w:val="24"/>
                  </w:rPr>
                </w:pPr>
              </w:p>
              <w:p w:rsidR="0065648E" w:rsidRDefault="006379C0">
                <w:pPr>
                  <w:jc w:val="both"/>
                  <w:rPr>
                    <w:rFonts w:eastAsia="Arial Unicode MS"/>
                    <w:iCs/>
                    <w:color w:val="000000"/>
                    <w:szCs w:val="24"/>
                  </w:rPr>
                </w:pPr>
                <w:r>
                  <w:rPr>
                    <w:rFonts w:eastAsia="Arial Unicode MS"/>
                    <w:iCs/>
                    <w:color w:val="000000"/>
                    <w:szCs w:val="24"/>
                  </w:rPr>
                  <w:t>Jis taikomas nuo 2021 m. sausio 1 d. iki 2024 m. gruodžio 31 d.</w:t>
                </w:r>
                <w:r>
                  <w:rPr>
                    <w:rFonts w:eastAsia="Arial Unicode MS"/>
                    <w:b/>
                    <w:iCs/>
                    <w:color w:val="000000"/>
                    <w:szCs w:val="24"/>
                  </w:rPr>
                  <w:t xml:space="preserve"> </w:t>
                </w:r>
              </w:p>
            </w:tc>
            <w:tc>
              <w:tcPr>
                <w:tcW w:w="7945" w:type="dxa"/>
              </w:tcPr>
              <w:p w:rsidR="0065648E" w:rsidRDefault="006379C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Direktyvos straipsnio perkelti ir įgyvendinti nereikia, nes nuo 2025 m. sausio 1 d. įsigalioja 2020 m. vasario 18 d. Tarybos Direktyva (ES) 2020/285, kuria iš dalies</w:t>
                </w:r>
                <w:r>
                  <w:rPr>
                    <w:szCs w:val="24"/>
                    <w:lang w:eastAsia="lt-LT"/>
                  </w:rPr>
                  <w:t xml:space="preserve"> keičiami Direktyva </w:t>
                </w:r>
                <w:hyperlink r:id="rId7" w:tgtFrame="_blank" w:history="1">
                  <w:r>
                    <w:rPr>
                      <w:color w:val="0000FF" w:themeColor="hyperlink"/>
                      <w:szCs w:val="24"/>
                      <w:u w:val="single"/>
                      <w:lang w:eastAsia="lt-LT"/>
                    </w:rPr>
                    <w:t>2006/112/EB</w:t>
                  </w:r>
                </w:hyperlink>
                <w:r>
                  <w:rPr>
                    <w:szCs w:val="24"/>
                    <w:lang w:eastAsia="lt-LT"/>
                  </w:rPr>
                  <w:t xml:space="preserve"> dėl pridėtinės vertės mokesčio bendros sistemos, kiek tai susiję su specialia mažosioms įmonėms skirta schema, ir Reglamentas </w:t>
                </w:r>
                <w:hyperlink r:id="rId8" w:tgtFrame="_blank" w:history="1">
                  <w:r>
                    <w:rPr>
                      <w:color w:val="0000FF" w:themeColor="hyperlink"/>
                      <w:szCs w:val="24"/>
                      <w:u w:val="single"/>
                      <w:lang w:eastAsia="lt-LT"/>
                    </w:rPr>
                    <w:t>(ES) Nr. 904/2010</w:t>
                  </w:r>
                </w:hyperlink>
                <w:r>
                  <w:rPr>
                    <w:szCs w:val="24"/>
                    <w:lang w:eastAsia="lt-LT"/>
                  </w:rPr>
                  <w:t xml:space="preserve">, kiek tai </w:t>
                </w:r>
                <w:r>
                  <w:rPr>
                    <w:szCs w:val="24"/>
                    <w:lang w:eastAsia="lt-LT"/>
                  </w:rPr>
                  <w:t xml:space="preserve">susiję su administraciniu bendradarbiavimu ir keitimusi informacija tinkamo specialios mažosioms įmonėms skirtos schemos taikymo stebėsenos tikslais, pagal kurios nuostatas nebeliks reikalavimo gauti leidimą taikyti nuo Direktyvos </w:t>
                </w:r>
                <w:hyperlink r:id="rId9" w:tgtFrame="_blank" w:history="1">
                  <w:r>
                    <w:rPr>
                      <w:color w:val="0000FF" w:themeColor="hyperlink"/>
                      <w:szCs w:val="24"/>
                      <w:u w:val="single"/>
                      <w:lang w:eastAsia="lt-LT"/>
                    </w:rPr>
                    <w:t>2006/112/EB</w:t>
                  </w:r>
                </w:hyperlink>
                <w:r>
                  <w:rPr>
                    <w:szCs w:val="24"/>
                    <w:lang w:eastAsia="lt-LT"/>
                  </w:rPr>
                  <w:t xml:space="preserve"> nukrypstančią nuostatą, ir valstybės narės galės taikyti pasirinkto dydžio </w:t>
                </w:r>
                <w:proofErr w:type="spellStart"/>
                <w:r>
                  <w:rPr>
                    <w:szCs w:val="24"/>
                    <w:lang w:eastAsia="lt-LT"/>
                  </w:rPr>
                  <w:t>registravimosi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PVM mokėtojais ribą, tačiau ne didesnę nei 85 tūkst. eurų. </w:t>
                </w:r>
              </w:p>
              <w:p w:rsidR="0065648E" w:rsidRDefault="0065648E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771" w:type="dxa"/>
              </w:tcPr>
              <w:p w:rsidR="0065648E" w:rsidRDefault="0065648E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</w:tr>
          <w:tr w:rsidR="0065648E">
            <w:tc>
              <w:tcPr>
                <w:tcW w:w="4503" w:type="dxa"/>
              </w:tcPr>
              <w:p w:rsidR="0065648E" w:rsidRDefault="006379C0">
                <w:pPr>
                  <w:jc w:val="both"/>
                  <w:rPr>
                    <w:rFonts w:eastAsia="Arial Unicode MS"/>
                    <w:b/>
                    <w:iCs/>
                    <w:color w:val="000000"/>
                    <w:szCs w:val="24"/>
                  </w:rPr>
                </w:pPr>
                <w:r>
                  <w:rPr>
                    <w:rFonts w:eastAsia="Arial Unicode MS"/>
                    <w:b/>
                    <w:iCs/>
                    <w:color w:val="000000"/>
                    <w:szCs w:val="24"/>
                  </w:rPr>
                  <w:t>3 straipsnis</w:t>
                </w:r>
              </w:p>
              <w:p w:rsidR="0065648E" w:rsidRDefault="006379C0">
                <w:pPr>
                  <w:jc w:val="both"/>
                  <w:rPr>
                    <w:rFonts w:eastAsia="Arial Unicode MS"/>
                    <w:iCs/>
                    <w:color w:val="000000"/>
                    <w:szCs w:val="24"/>
                  </w:rPr>
                </w:pPr>
                <w:r>
                  <w:rPr>
                    <w:rFonts w:eastAsia="Arial Unicode MS"/>
                    <w:iCs/>
                    <w:color w:val="000000"/>
                    <w:szCs w:val="24"/>
                  </w:rPr>
                  <w:t>Ši</w:t>
                </w:r>
                <w:r>
                  <w:rPr>
                    <w:rFonts w:eastAsia="Arial Unicode MS"/>
                    <w:iCs/>
                    <w:color w:val="000000"/>
                    <w:szCs w:val="24"/>
                  </w:rPr>
                  <w:t>s sprendimas skirtas Lietuvos Respublikai.</w:t>
                </w:r>
              </w:p>
              <w:p w:rsidR="0065648E" w:rsidRDefault="0065648E">
                <w:pPr>
                  <w:ind w:firstLine="62"/>
                  <w:jc w:val="both"/>
                  <w:rPr>
                    <w:rFonts w:eastAsia="Arial Unicode MS"/>
                    <w:iCs/>
                    <w:color w:val="000000"/>
                    <w:szCs w:val="24"/>
                  </w:rPr>
                </w:pPr>
              </w:p>
            </w:tc>
            <w:tc>
              <w:tcPr>
                <w:tcW w:w="7945" w:type="dxa"/>
              </w:tcPr>
              <w:p w:rsidR="0065648E" w:rsidRDefault="006379C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Direktyvos straipsnio perkelti ir įgyvendinti nereikia </w:t>
                </w:r>
              </w:p>
            </w:tc>
            <w:tc>
              <w:tcPr>
                <w:tcW w:w="1771" w:type="dxa"/>
              </w:tcPr>
              <w:p w:rsidR="0065648E" w:rsidRDefault="0065648E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</w:tr>
        </w:tbl>
        <w:p w:rsidR="0065648E" w:rsidRDefault="006379C0"/>
      </w:sdtContent>
    </w:sdt>
    <w:sectPr w:rsidR="0065648E">
      <w:pgSz w:w="16838" w:h="11906" w:orient="landscape"/>
      <w:pgMar w:top="1701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7F4B"/>
    <w:rsid w:val="006379C0"/>
    <w:rsid w:val="0065648E"/>
    <w:rsid w:val="00BB7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D8FDF93-6688-4E72-8438-8A5DA2606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85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5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95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08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49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9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1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9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831">
      <w:bodyDiv w:val="1"/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53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580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38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ur-lex.europa.eu/legal-content/LIT/TXT/?uri=CELEX:32010R0904&amp;locale=l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eur-lex.europa.eu/legal-content/LIT/TXT/?uri=CELEX:32006L0112&amp;locale=l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eur-lex.europa.eu/legal-content/LIT/TXT/?uri=CELEX:32006L0112&amp;locale=l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eur-lex.europa.eu/legal-content/LIT/TXT/?uri=CELEX:32006L0112&amp;locale=lt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eur-lex.europa.eu/legal-content/LIT/TXT/?uri=CELEX:32006L0112&amp;locale=l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lentele" DocPartId="27084ae7c3e44bf48e4701edf1d0d11d" PartId="3e0db33203f7493e988497704447c6e9"/>
</Parts>
</file>

<file path=customXml/itemProps1.xml><?xml version="1.0" encoding="utf-8"?>
<ds:datastoreItem xmlns:ds="http://schemas.openxmlformats.org/officeDocument/2006/customXml" ds:itemID="{3A2F4756-5D9C-4EA7-929E-1F7F584DBF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2866</Words>
  <Characters>1635</Characters>
  <Application>Microsoft Office Word</Application>
  <DocSecurity>0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Giedrė Morkūnienė</dc:creator>
  <cp:lastModifiedBy>EITUTIENĖ Rasa</cp:lastModifiedBy>
  <cp:revision>2</cp:revision>
  <cp:lastPrinted>2019-02-25T07:40:00Z</cp:lastPrinted>
  <dcterms:created xsi:type="dcterms:W3CDTF">2023-06-21T13:50:00Z</dcterms:created>
  <dcterms:modified xsi:type="dcterms:W3CDTF">2023-06-21T13:50:00Z</dcterms:modified>
</cp:coreProperties>
</file>