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F4" w:rsidRPr="009041F4" w:rsidRDefault="009041F4" w:rsidP="009041F4">
      <w:pPr>
        <w:pStyle w:val="Antrat1"/>
        <w:spacing w:line="360" w:lineRule="auto"/>
        <w:jc w:val="center"/>
        <w:rPr>
          <w:rFonts w:ascii="Times New Roman" w:hAnsi="Times New Roman" w:cs="Times New Roman"/>
          <w:sz w:val="24"/>
          <w:szCs w:val="24"/>
        </w:rPr>
      </w:pPr>
      <w:r w:rsidRPr="009041F4">
        <w:rPr>
          <w:rFonts w:ascii="Times New Roman" w:hAnsi="Times New Roman" w:cs="Times New Roman"/>
          <w:sz w:val="24"/>
          <w:szCs w:val="24"/>
        </w:rPr>
        <w:t>RASEINIŲ RAJONO SAVIVALDYBĖS ADMINISTRACIJOS</w:t>
      </w:r>
    </w:p>
    <w:p w:rsidR="009041F4" w:rsidRPr="009041F4" w:rsidRDefault="009041F4" w:rsidP="009041F4">
      <w:pPr>
        <w:tabs>
          <w:tab w:val="left" w:pos="567"/>
        </w:tabs>
        <w:spacing w:after="240" w:line="360" w:lineRule="auto"/>
        <w:jc w:val="center"/>
        <w:rPr>
          <w:rFonts w:ascii="Times New Roman" w:eastAsia="Times New Roman" w:hAnsi="Times New Roman"/>
          <w:b/>
          <w:bCs/>
          <w:sz w:val="24"/>
          <w:szCs w:val="24"/>
        </w:rPr>
      </w:pPr>
      <w:r w:rsidRPr="009041F4">
        <w:rPr>
          <w:rFonts w:ascii="Times New Roman" w:hAnsi="Times New Roman"/>
          <w:b/>
        </w:rPr>
        <w:t>BIUDŽETO IR FINANSŲ ANALIZĖS SKYRIUS</w:t>
      </w:r>
      <w:r w:rsidRPr="009041F4">
        <w:rPr>
          <w:rFonts w:ascii="Times New Roman" w:eastAsia="Times New Roman" w:hAnsi="Times New Roman"/>
          <w:b/>
          <w:bCs/>
          <w:sz w:val="24"/>
          <w:szCs w:val="24"/>
        </w:rPr>
        <w:t xml:space="preserve"> </w:t>
      </w:r>
    </w:p>
    <w:p w:rsidR="00A01BE7" w:rsidRPr="008549A8" w:rsidRDefault="00A01BE7" w:rsidP="009041F4">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rsidR="00A01BE7" w:rsidRPr="001A11DB" w:rsidRDefault="00A01BE7" w:rsidP="00A01BE7">
      <w:pPr>
        <w:spacing w:after="240" w:line="360" w:lineRule="auto"/>
        <w:jc w:val="center"/>
        <w:rPr>
          <w:rFonts w:ascii="Times New Roman" w:eastAsia="Times New Roman" w:hAnsi="Times New Roman"/>
          <w:b/>
          <w:bCs/>
          <w:caps/>
          <w:sz w:val="24"/>
          <w:szCs w:val="24"/>
          <w:lang w:eastAsia="lt-LT"/>
        </w:rPr>
      </w:pPr>
      <w:r w:rsidRPr="001A11DB">
        <w:rPr>
          <w:rFonts w:ascii="Times New Roman" w:eastAsia="Times New Roman" w:hAnsi="Times New Roman"/>
          <w:b/>
          <w:bCs/>
          <w:caps/>
          <w:sz w:val="24"/>
          <w:szCs w:val="24"/>
          <w:lang w:eastAsia="lt-LT"/>
        </w:rPr>
        <w:t>Dėl TARYBOS sprendimo „</w:t>
      </w:r>
      <w:r w:rsidR="001A11DB" w:rsidRPr="001A11DB">
        <w:rPr>
          <w:rFonts w:ascii="Times New Roman" w:hAnsi="Times New Roman"/>
          <w:b/>
          <w:bCs/>
          <w:caps/>
          <w:sz w:val="26"/>
        </w:rPr>
        <w:t>DĖL 20</w:t>
      </w:r>
      <w:r w:rsidR="00566B39">
        <w:rPr>
          <w:rFonts w:ascii="Times New Roman" w:hAnsi="Times New Roman"/>
          <w:b/>
          <w:bCs/>
          <w:caps/>
          <w:sz w:val="26"/>
        </w:rPr>
        <w:t>20</w:t>
      </w:r>
      <w:r w:rsidR="001A11DB" w:rsidRPr="001A11DB">
        <w:rPr>
          <w:rFonts w:ascii="Times New Roman" w:hAnsi="Times New Roman"/>
          <w:b/>
          <w:bCs/>
          <w:caps/>
          <w:sz w:val="26"/>
        </w:rPr>
        <w:t xml:space="preserve"> METŲ RASEINIŲ RAJONO SAVIVALDYBĖS BIUDŽETO PA</w:t>
      </w:r>
      <w:r w:rsidR="00D260E6">
        <w:rPr>
          <w:rFonts w:ascii="Times New Roman" w:hAnsi="Times New Roman"/>
          <w:b/>
          <w:bCs/>
          <w:caps/>
          <w:sz w:val="26"/>
        </w:rPr>
        <w:t>KEITIMO</w:t>
      </w:r>
      <w:r w:rsidRPr="001A11DB">
        <w:rPr>
          <w:rFonts w:ascii="Times New Roman" w:eastAsia="Times New Roman" w:hAnsi="Times New Roman"/>
          <w:b/>
          <w:bCs/>
          <w:caps/>
          <w:sz w:val="24"/>
          <w:szCs w:val="24"/>
          <w:lang w:eastAsia="lt-LT"/>
        </w:rPr>
        <w:t>“ projekto</w:t>
      </w:r>
    </w:p>
    <w:p w:rsidR="00A01BE7" w:rsidRPr="000518E5"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566B39">
        <w:rPr>
          <w:rFonts w:ascii="Times New Roman" w:eastAsia="Times New Roman" w:hAnsi="Times New Roman"/>
          <w:sz w:val="24"/>
          <w:szCs w:val="24"/>
          <w:lang w:eastAsia="lt-LT"/>
        </w:rPr>
        <w:t>20</w:t>
      </w:r>
      <w:r w:rsidR="009041F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m. </w:t>
      </w:r>
      <w:r w:rsidR="000F0BD2">
        <w:rPr>
          <w:rFonts w:ascii="Times New Roman" w:eastAsia="Times New Roman" w:hAnsi="Times New Roman"/>
          <w:sz w:val="24"/>
          <w:szCs w:val="24"/>
          <w:lang w:eastAsia="lt-LT"/>
        </w:rPr>
        <w:t>rugpjūčio</w:t>
      </w:r>
      <w:r w:rsidR="00272EA4">
        <w:rPr>
          <w:rFonts w:ascii="Times New Roman" w:eastAsia="Times New Roman" w:hAnsi="Times New Roman"/>
          <w:sz w:val="24"/>
          <w:szCs w:val="24"/>
          <w:lang w:eastAsia="lt-LT"/>
        </w:rPr>
        <w:t xml:space="preserve"> </w:t>
      </w:r>
      <w:r w:rsidR="000F0BD2">
        <w:rPr>
          <w:rFonts w:ascii="Times New Roman" w:eastAsia="Times New Roman" w:hAnsi="Times New Roman"/>
          <w:sz w:val="24"/>
          <w:szCs w:val="24"/>
          <w:lang w:eastAsia="lt-LT"/>
        </w:rPr>
        <w:t>7</w:t>
      </w:r>
      <w:r w:rsidR="00D37A38">
        <w:rPr>
          <w:rFonts w:ascii="Times New Roman" w:eastAsia="Times New Roman" w:hAnsi="Times New Roman"/>
          <w:sz w:val="24"/>
          <w:szCs w:val="24"/>
          <w:lang w:eastAsia="lt-LT"/>
        </w:rPr>
        <w:t xml:space="preserve"> </w:t>
      </w:r>
      <w:r w:rsidR="009041F4">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0"/>
      </w:tblGrid>
      <w:tr w:rsidR="00A01BE7" w:rsidRPr="00461700" w:rsidTr="006E46C4">
        <w:trPr>
          <w:trHeight w:hRule="exact" w:val="397"/>
        </w:trPr>
        <w:tc>
          <w:tcPr>
            <w:tcW w:w="9740" w:type="dxa"/>
            <w:vAlign w:val="center"/>
          </w:tcPr>
          <w:p w:rsidR="00A01BE7" w:rsidRPr="008549A8" w:rsidRDefault="00A01BE7" w:rsidP="006E46C4">
            <w:pPr>
              <w:spacing w:after="24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461700" w:rsidTr="006E46C4">
        <w:tc>
          <w:tcPr>
            <w:tcW w:w="9740" w:type="dxa"/>
          </w:tcPr>
          <w:p w:rsidR="0064736B" w:rsidRPr="00223830" w:rsidRDefault="00FB056C" w:rsidP="00354E64">
            <w:pPr>
              <w:pStyle w:val="Default"/>
              <w:jc w:val="both"/>
              <w:rPr>
                <w:bCs/>
                <w:iCs/>
              </w:rPr>
            </w:pPr>
            <w:r w:rsidRPr="007C4B9C">
              <w:rPr>
                <w:bCs/>
                <w:iCs/>
              </w:rPr>
              <w:t>Patikslinti rajono Savi</w:t>
            </w:r>
            <w:r>
              <w:rPr>
                <w:bCs/>
                <w:iCs/>
              </w:rPr>
              <w:t xml:space="preserve">valdybės biudžetą, patikslinant asignavimus, </w:t>
            </w:r>
            <w:r w:rsidR="005651DB">
              <w:rPr>
                <w:bCs/>
                <w:iCs/>
              </w:rPr>
              <w:t>atsižvelgiant į</w:t>
            </w:r>
            <w:r w:rsidR="005A131C">
              <w:rPr>
                <w:bCs/>
                <w:iCs/>
              </w:rPr>
              <w:t>:</w:t>
            </w:r>
          </w:p>
          <w:p w:rsidR="00EC3EDB" w:rsidRDefault="00EC3EDB" w:rsidP="00354E64">
            <w:pPr>
              <w:pStyle w:val="Default"/>
              <w:jc w:val="both"/>
            </w:pPr>
            <w:r>
              <w:t xml:space="preserve">- </w:t>
            </w:r>
            <w:r w:rsidR="001A6669">
              <w:t xml:space="preserve">Lietuvos Respublikos švietimo, mokslo ir sporto ministro 2020 m. liepos 7 d. įsakymą Nr. V-1022 „Dėl švietimo, mokslo ir sporto ministro 2020 m. birželio 2 d. įsakymo Nr. V-823 „Dėl vasaros stovyklų ir kitų neformaliojo vaikų švietimo veiklų finansavimo tvarkos aprašo patvirtinimo ir lėšų skyrimo savivaldybėms“ pakeitimo“, 2020 m. liepos 13 d. įsakymą Nr. V-1043 „Dėl Valstybės vardu pasiskolintų lėšų, skirtų ilgalaikių neigiamų COVID-19 pandemijos pasekmių visuomenės psichikos sveikatai mažinimo veiksmų plane numatytoms veikloms finansuoti, paskirstymo savivaldybėms ir valstybės vardu pasiskolintų lėšų, skirtų ilgalaikių neigiamų COVID-19 pandemijos pasekmių visuomenės psichikos sveikatai mažinimo veiksmų plane numatytoms veikloms finansuoti, paskirstymo valstybinėms švietimo įstaigoms patvirtinimo“, 2020 m. liepos 31 d. įsakymą Nr. V-1118 „Dėl Švietimo, mokslo ir sporto ministro 2020 m. kovo 3 d. įsakymo Nr. V-317 „Dėl Lietuvos Respublikos valstybės biudžeto lėšų, skirtų išlaidoms, susijusioms su valstybinių ir savivaldybių mokyklų mokytojų, dirbančių pagal ikimokyklinio, priešmokyklinio, bendrojo ugdymo ir profesinio mokymo programas, skaičiaus optimizavimu, apmokėti, paskirstymo tvarkos aprašo patvirtinimo“ pakeitimo“,  Lietuvos Respublikos socialinės apsaugos ir darbo  ministro 2020 m. birželio 17 d. įsakymą Nr. A1-568 „Dėl lėšų paskirstymo savivaldybių administracijoms priemonei „Skiriant piniginę, socialinę paramą nepasiturintiems gyventojams, laikinai nevertinti turimo turto ir padidinti valstybės remiamų pajamų (VRP) dydį nuo 1 VRP iki 1,1 VRP teisei į socialinę pašalpą nustatyti“ įgyvendinti patvirtinimo, Lietuvos Respublikos sveikatos apsaugos ministro 2020 m. liepos 17 d. įsakymą Nr. V-1684 „Dėl Lietuvos Respublikos valstybės biudžeto tikslinių asignavimų psichikos sveikatai stiprinti 2020 metais paskirstymo savivaldybėms patvirtinimo, Lietuvos Respublikos susisiekimo ministro 2020 m. rugpjūčio 3 d. įsakymą Nr. 3-454 „Dėl Lietuvos Respublikos susisiekimo ministro 2020 m. gegužės 19 d. įsakymo Nr. 3-333 „Dėl ekonomikos skatinimo ir </w:t>
            </w:r>
            <w:proofErr w:type="spellStart"/>
            <w:r w:rsidR="001A6669">
              <w:t>koronaviruso</w:t>
            </w:r>
            <w:proofErr w:type="spellEnd"/>
            <w:r w:rsidR="001A6669">
              <w:t xml:space="preserve"> (COVID-19) plitimo sukeltų pasekmių mažinimo priemonių plano lėšų paskirstymo keliams, jungiantiems lankytinas ir rekreacines vietoves bei kurortines teritorijas“ pakeitimo, 2020 m. rugpjūčio 3 d. įsakymą Nr. 3-456 „Dėl Lietuvos Respublikos susisiekimo ministro 2020 m. gegužės 19 d. įsakymo Nr. 3-332 „Dėl ekonomikos skatinimo ir </w:t>
            </w:r>
            <w:proofErr w:type="spellStart"/>
            <w:r w:rsidR="001A6669">
              <w:t>koronaviruso</w:t>
            </w:r>
            <w:proofErr w:type="spellEnd"/>
            <w:r w:rsidR="001A6669">
              <w:t xml:space="preserve"> (COVID-19) plitimo sukeltų pasekmių mažinimo priemonių plano lėšų paskirstymo keliams, vedantiems į teritorijas, kuriose kuriamos darbo vietos, remontuoti ir rekonstruoti“ pakeitimo“, 2020 m. rugpjūčio 3 d. įsakymą Nr. 3-451 „Dėl Lietuvos Respublikos susisiekimo ministro 2020 m. gegužės 25 d. įsakymo Nr. 3-347 „Dėl ekonomikos skatinimo ir </w:t>
            </w:r>
            <w:proofErr w:type="spellStart"/>
            <w:r w:rsidR="001A6669">
              <w:t>koronaviruso</w:t>
            </w:r>
            <w:proofErr w:type="spellEnd"/>
            <w:r w:rsidR="001A6669">
              <w:t xml:space="preserve"> (COVID-19) plitimo sukeltų pasekmių mažinimo priemonių plano lėšų paskirstymo keliams taisyti (remontuoti)“ pakeitimo“</w:t>
            </w:r>
            <w:r w:rsidR="00223830">
              <w:t xml:space="preserve">, kuriais Raseinių rajonui </w:t>
            </w:r>
            <w:r w:rsidR="001A6669">
              <w:t xml:space="preserve">papildomai skiriamos arba mažinamos </w:t>
            </w:r>
            <w:r w:rsidR="00223830">
              <w:t>valstybės biudžeto lėš</w:t>
            </w:r>
            <w:r w:rsidR="001A6669">
              <w:t>os</w:t>
            </w:r>
            <w:r w:rsidR="00272EA4">
              <w:t xml:space="preserve">; </w:t>
            </w:r>
          </w:p>
          <w:p w:rsidR="00705DC1" w:rsidRDefault="0064736B" w:rsidP="00354E64">
            <w:pPr>
              <w:pStyle w:val="Default"/>
              <w:jc w:val="both"/>
            </w:pPr>
            <w:r>
              <w:t xml:space="preserve">- </w:t>
            </w:r>
            <w:r w:rsidR="00566B39">
              <w:t xml:space="preserve">gavus </w:t>
            </w:r>
            <w:r w:rsidR="00705DC1">
              <w:t xml:space="preserve">Administracijos direktoriaus </w:t>
            </w:r>
            <w:r w:rsidR="00FC4577">
              <w:t xml:space="preserve">2 </w:t>
            </w:r>
            <w:r w:rsidR="00705DC1">
              <w:t>įsakym</w:t>
            </w:r>
            <w:r w:rsidR="00FC4577">
              <w:t>us</w:t>
            </w:r>
            <w:r w:rsidR="00705DC1">
              <w:t xml:space="preserve">, kuriuo paskirstomos </w:t>
            </w:r>
            <w:r w:rsidR="00FC4577">
              <w:t>vaikų vasaros stovykloms</w:t>
            </w:r>
            <w:r w:rsidR="00223830">
              <w:t xml:space="preserve"> skirtos lėšos</w:t>
            </w:r>
            <w:r w:rsidR="00705DC1">
              <w:t>;</w:t>
            </w:r>
          </w:p>
          <w:p w:rsidR="00FC4577" w:rsidRDefault="00D758FE" w:rsidP="00705DC1">
            <w:pPr>
              <w:pStyle w:val="Default"/>
              <w:jc w:val="both"/>
            </w:pPr>
            <w:r>
              <w:lastRenderedPageBreak/>
              <w:t xml:space="preserve">- gavus </w:t>
            </w:r>
            <w:r w:rsidR="00FC4577">
              <w:t>Raseinių r. Šiluvos gimnazijos prašy</w:t>
            </w:r>
            <w:r w:rsidR="00705DC1">
              <w:t>mą per</w:t>
            </w:r>
            <w:r w:rsidR="00FC4577">
              <w:t>kelti 1500 eurų Ilgalaikiam turtui įsigyti;</w:t>
            </w:r>
          </w:p>
          <w:p w:rsidR="00DA2CF3" w:rsidRDefault="00FC4577" w:rsidP="00705DC1">
            <w:pPr>
              <w:pStyle w:val="Default"/>
              <w:jc w:val="both"/>
            </w:pPr>
            <w:r>
              <w:t xml:space="preserve">- gavus Švietimo ir sporto skyriaus prašymą skirti 27 951 eurą ir paskirstyti Raseinių rajono švietimo įstaigoms elektroninėms pratyboms įsigyti;  </w:t>
            </w:r>
          </w:p>
          <w:p w:rsidR="00DB4D3A" w:rsidRDefault="00DB4D3A" w:rsidP="00705DC1">
            <w:pPr>
              <w:pStyle w:val="Default"/>
              <w:jc w:val="both"/>
            </w:pPr>
            <w:r>
              <w:t>- gavus Raseinių r. Šiluvos gimnazijos, Raseinių r Ariogalos gimnazijos ir Raseinių specialiosios mokyklos prašymus perkelti SF ir KK lėšas iš darbo užmokesčio straipsnio  į Darbdavių socialinės paramos straipsnį išeitinėms išmokoms mokėti;</w:t>
            </w:r>
          </w:p>
          <w:p w:rsidR="00DB4D3A" w:rsidRDefault="00DB4D3A" w:rsidP="00705DC1">
            <w:pPr>
              <w:pStyle w:val="Default"/>
              <w:jc w:val="both"/>
            </w:pPr>
            <w:r>
              <w:t xml:space="preserve">- gavus Komunikacijos, kultūros ir turizmo skyriaus prašymą skirti 25 000 eurų Savivaldybės veiklos viešinimui ir 4471 eurą </w:t>
            </w:r>
            <w:r w:rsidR="00105BDE">
              <w:t>„</w:t>
            </w:r>
            <w:r>
              <w:t>VšĮ Atrask Raseinius</w:t>
            </w:r>
            <w:r w:rsidR="00105BDE">
              <w:t xml:space="preserve"> veiklos skatinimui“ Raseinių krašto fotonuotraukų albumui išleisti; taip pat iš sumažinti lėšas priemonei „Kultūros projektų bendrasis finansavimas“ ir skirti: 6000 eurų  Raseinių rajono kultūros centrui ir 3900 eurų Raseinių krašto istorijos muziejui, taip prisidedant prie renginių finansavimo, nes įstaigos dar gauna papildomai lėšų iš Lietuvos kultūros tarybos; </w:t>
            </w:r>
          </w:p>
          <w:p w:rsidR="00705DC1" w:rsidRDefault="00705DC1" w:rsidP="00705DC1">
            <w:pPr>
              <w:pStyle w:val="Default"/>
              <w:jc w:val="both"/>
            </w:pPr>
            <w:r>
              <w:t xml:space="preserve">- </w:t>
            </w:r>
            <w:r w:rsidR="00105BDE">
              <w:t xml:space="preserve">Ariogalos miesto, Ariogalos, Girkalnio, </w:t>
            </w:r>
            <w:proofErr w:type="spellStart"/>
            <w:r w:rsidR="00105BDE">
              <w:t>Kalnujų</w:t>
            </w:r>
            <w:proofErr w:type="spellEnd"/>
            <w:r w:rsidR="00105BDE">
              <w:t xml:space="preserve">, </w:t>
            </w:r>
            <w:r w:rsidR="00223830">
              <w:t>Paliepių, Raseinių miesto</w:t>
            </w:r>
            <w:r w:rsidR="00105BDE">
              <w:t xml:space="preserve"> ir</w:t>
            </w:r>
            <w:r w:rsidR="00223830">
              <w:t xml:space="preserve"> Nemakščių </w:t>
            </w:r>
            <w:r w:rsidR="00105BDE">
              <w:t>seniūnijų</w:t>
            </w:r>
            <w:r>
              <w:t xml:space="preserve"> prašym</w:t>
            </w:r>
            <w:r w:rsidR="00223830">
              <w:t>us</w:t>
            </w:r>
            <w:r>
              <w:t xml:space="preserve"> perkelti lėšas </w:t>
            </w:r>
            <w:r w:rsidR="00223830">
              <w:t>tarp atitinkamų priemonių</w:t>
            </w:r>
            <w:r>
              <w:t>;</w:t>
            </w:r>
          </w:p>
          <w:p w:rsidR="00705DC1" w:rsidRDefault="00705DC1" w:rsidP="00705DC1">
            <w:pPr>
              <w:pStyle w:val="Default"/>
              <w:jc w:val="both"/>
            </w:pPr>
            <w:r>
              <w:t>- gavus Strateginio planavimo ir projektų valdymo skyriaus prašymus perskirstyti lėšas tarp projektų;</w:t>
            </w:r>
          </w:p>
          <w:p w:rsidR="00705DC1" w:rsidRDefault="00705DC1" w:rsidP="00705DC1">
            <w:pPr>
              <w:pStyle w:val="Default"/>
              <w:jc w:val="both"/>
            </w:pPr>
            <w:r>
              <w:t xml:space="preserve"> - </w:t>
            </w:r>
            <w:r>
              <w:rPr>
                <w:bCs/>
                <w:iCs/>
              </w:rPr>
              <w:t>Savivaldybės gautas ES ir Valstybės biudžeto finansinės paramos lėšas.</w:t>
            </w:r>
          </w:p>
          <w:p w:rsidR="00705DC1" w:rsidRDefault="00705DC1" w:rsidP="00705DC1">
            <w:pPr>
              <w:pStyle w:val="Default"/>
              <w:jc w:val="both"/>
            </w:pPr>
          </w:p>
          <w:p w:rsidR="00705DC1" w:rsidRPr="000518E5" w:rsidRDefault="00705DC1" w:rsidP="00705DC1">
            <w:pPr>
              <w:pStyle w:val="Default"/>
              <w:jc w:val="both"/>
            </w:pPr>
            <w:r>
              <w:t xml:space="preserve"> </w:t>
            </w:r>
          </w:p>
        </w:tc>
      </w:tr>
      <w:tr w:rsidR="00A01BE7" w:rsidRPr="00461700" w:rsidTr="006E46C4">
        <w:trPr>
          <w:trHeight w:hRule="exact" w:val="397"/>
        </w:trPr>
        <w:tc>
          <w:tcPr>
            <w:tcW w:w="9740" w:type="dxa"/>
            <w:vAlign w:val="center"/>
          </w:tcPr>
          <w:p w:rsidR="00A01BE7" w:rsidRPr="008549A8" w:rsidRDefault="00A01BE7" w:rsidP="006E46C4">
            <w:pPr>
              <w:spacing w:after="240" w:line="360" w:lineRule="auto"/>
              <w:ind w:firstLine="540"/>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lastRenderedPageBreak/>
              <w:t>2. Kokių pozityvių rezultatų laukiama.</w:t>
            </w:r>
          </w:p>
        </w:tc>
      </w:tr>
      <w:tr w:rsidR="00A01BE7" w:rsidRPr="00461700" w:rsidTr="006E46C4">
        <w:tc>
          <w:tcPr>
            <w:tcW w:w="9740" w:type="dxa"/>
          </w:tcPr>
          <w:p w:rsidR="00A01BE7" w:rsidRPr="0085491F" w:rsidRDefault="00FB056C" w:rsidP="005651DB">
            <w:pPr>
              <w:tabs>
                <w:tab w:val="left" w:pos="1083"/>
              </w:tabs>
              <w:jc w:val="both"/>
              <w:rPr>
                <w:rFonts w:ascii="Times New Roman" w:hAnsi="Times New Roman"/>
                <w:bCs/>
                <w:iCs/>
              </w:rPr>
            </w:pPr>
            <w:r w:rsidRPr="0085491F">
              <w:rPr>
                <w:rFonts w:ascii="Times New Roman" w:hAnsi="Times New Roman"/>
                <w:bCs/>
                <w:iCs/>
              </w:rPr>
              <w:t xml:space="preserve"> </w:t>
            </w:r>
            <w:r w:rsidR="009E5A1B" w:rsidRPr="0085491F">
              <w:rPr>
                <w:rFonts w:ascii="Times New Roman" w:hAnsi="Times New Roman"/>
                <w:bCs/>
                <w:iCs/>
              </w:rPr>
              <w:t>Patikslinus planuotas biudžeto pajamas bei</w:t>
            </w:r>
            <w:r w:rsidR="009E5A1B" w:rsidRPr="0085491F">
              <w:rPr>
                <w:rFonts w:ascii="Times New Roman" w:hAnsi="Times New Roman"/>
                <w:bCs/>
                <w:i/>
                <w:iCs/>
              </w:rPr>
              <w:t xml:space="preserve"> </w:t>
            </w:r>
            <w:r w:rsidR="009E5A1B" w:rsidRPr="0085491F">
              <w:rPr>
                <w:rFonts w:ascii="Times New Roman" w:hAnsi="Times New Roman"/>
                <w:bCs/>
                <w:iCs/>
              </w:rPr>
              <w:t>asignavimu</w:t>
            </w:r>
            <w:r w:rsidR="009E5A1B" w:rsidRPr="0085491F">
              <w:rPr>
                <w:rFonts w:ascii="Times New Roman" w:hAnsi="Times New Roman"/>
                <w:bCs/>
                <w:i/>
                <w:iCs/>
              </w:rPr>
              <w:t>s –</w:t>
            </w:r>
            <w:r w:rsidR="009E5A1B" w:rsidRPr="0085491F">
              <w:rPr>
                <w:rFonts w:ascii="Times New Roman" w:hAnsi="Times New Roman"/>
                <w:bCs/>
                <w:iCs/>
              </w:rPr>
              <w:t xml:space="preserve"> būtų racionalesnis biudžeto lėšų panaudojimas, geriau vykdomas patvirtintų programų priemonių finansavimas.</w:t>
            </w:r>
          </w:p>
        </w:tc>
      </w:tr>
      <w:tr w:rsidR="00A01BE7" w:rsidRPr="00461700" w:rsidTr="006E46C4">
        <w:trPr>
          <w:trHeight w:hRule="exact" w:val="567"/>
        </w:trPr>
        <w:tc>
          <w:tcPr>
            <w:tcW w:w="9740" w:type="dxa"/>
            <w:vAlign w:val="center"/>
          </w:tcPr>
          <w:p w:rsidR="00A01BE7" w:rsidRPr="008549A8" w:rsidRDefault="00A01BE7" w:rsidP="006E46C4">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A01BE7" w:rsidRPr="00461700" w:rsidTr="004D1FE2">
        <w:trPr>
          <w:trHeight w:val="349"/>
        </w:trPr>
        <w:tc>
          <w:tcPr>
            <w:tcW w:w="9740" w:type="dxa"/>
          </w:tcPr>
          <w:p w:rsidR="00A01BE7" w:rsidRPr="00F000BE" w:rsidRDefault="009041F4" w:rsidP="006E46C4">
            <w:pPr>
              <w:spacing w:after="240" w:line="360" w:lineRule="auto"/>
              <w:ind w:firstLine="540"/>
              <w:rPr>
                <w:rFonts w:ascii="Times New Roman" w:eastAsia="Times New Roman" w:hAnsi="Times New Roman"/>
                <w:sz w:val="24"/>
                <w:szCs w:val="24"/>
                <w:lang w:eastAsia="lt-LT"/>
              </w:rPr>
            </w:pPr>
            <w:r w:rsidRPr="00F000BE">
              <w:rPr>
                <w:rFonts w:ascii="Times New Roman" w:hAnsi="Times New Roman"/>
                <w:sz w:val="24"/>
                <w:szCs w:val="24"/>
              </w:rPr>
              <w:t>Galimų neigiamų pasekmių nenumatoma.</w:t>
            </w:r>
          </w:p>
        </w:tc>
      </w:tr>
      <w:tr w:rsidR="00A01BE7" w:rsidRPr="00461700" w:rsidTr="006E46C4">
        <w:trPr>
          <w:trHeight w:hRule="exact" w:val="567"/>
        </w:trPr>
        <w:tc>
          <w:tcPr>
            <w:tcW w:w="9740" w:type="dxa"/>
            <w:vAlign w:val="center"/>
          </w:tcPr>
          <w:p w:rsidR="00A01BE7" w:rsidRPr="008549A8" w:rsidRDefault="00A01BE7" w:rsidP="006E46C4">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A01BE7" w:rsidRPr="00461700" w:rsidTr="004D1FE2">
        <w:trPr>
          <w:trHeight w:val="395"/>
        </w:trPr>
        <w:tc>
          <w:tcPr>
            <w:tcW w:w="9740" w:type="dxa"/>
          </w:tcPr>
          <w:p w:rsidR="00A01BE7" w:rsidRPr="00F000BE" w:rsidRDefault="009041F4" w:rsidP="006E46C4">
            <w:pPr>
              <w:spacing w:after="240" w:line="360" w:lineRule="auto"/>
              <w:ind w:firstLine="540"/>
              <w:rPr>
                <w:rFonts w:ascii="Times New Roman" w:eastAsia="Times New Roman" w:hAnsi="Times New Roman"/>
                <w:sz w:val="24"/>
                <w:szCs w:val="24"/>
                <w:lang w:eastAsia="lt-LT"/>
              </w:rPr>
            </w:pPr>
            <w:r>
              <w:t xml:space="preserve"> </w:t>
            </w:r>
            <w:r w:rsidRPr="00F000BE">
              <w:rPr>
                <w:rFonts w:ascii="Times New Roman" w:hAnsi="Times New Roman"/>
                <w:sz w:val="24"/>
                <w:szCs w:val="24"/>
              </w:rPr>
              <w:t>Pridedama antikorupcinio vertinimo pažyma.</w:t>
            </w:r>
          </w:p>
        </w:tc>
      </w:tr>
      <w:tr w:rsidR="00A01BE7" w:rsidRPr="00461700" w:rsidTr="006E46C4">
        <w:trPr>
          <w:trHeight w:hRule="exact" w:val="567"/>
        </w:trPr>
        <w:tc>
          <w:tcPr>
            <w:tcW w:w="9740" w:type="dxa"/>
          </w:tcPr>
          <w:p w:rsidR="00A01BE7" w:rsidRPr="008549A8" w:rsidRDefault="00A01BE7" w:rsidP="006E46C4">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A01BE7" w:rsidRPr="00461700" w:rsidTr="006E46C4">
        <w:tc>
          <w:tcPr>
            <w:tcW w:w="9740" w:type="dxa"/>
          </w:tcPr>
          <w:p w:rsidR="00A01BE7" w:rsidRPr="0085491F" w:rsidRDefault="00FB056C" w:rsidP="00272EA4">
            <w:pPr>
              <w:jc w:val="both"/>
              <w:rPr>
                <w:rFonts w:ascii="Times New Roman" w:hAnsi="Times New Roman"/>
              </w:rPr>
            </w:pPr>
            <w:r w:rsidRPr="0085491F">
              <w:rPr>
                <w:rFonts w:ascii="Times New Roman" w:hAnsi="Times New Roman"/>
              </w:rPr>
              <w:t>Gaut</w:t>
            </w:r>
            <w:r w:rsidR="0025578E">
              <w:rPr>
                <w:rFonts w:ascii="Times New Roman" w:hAnsi="Times New Roman"/>
              </w:rPr>
              <w:t>i</w:t>
            </w:r>
            <w:r w:rsidR="005651DB">
              <w:rPr>
                <w:rFonts w:ascii="Times New Roman" w:hAnsi="Times New Roman"/>
              </w:rPr>
              <w:t xml:space="preserve"> </w:t>
            </w:r>
            <w:r w:rsidR="004603DC">
              <w:rPr>
                <w:rFonts w:ascii="Times New Roman" w:hAnsi="Times New Roman"/>
              </w:rPr>
              <w:t>a</w:t>
            </w:r>
            <w:r w:rsidR="003B1276">
              <w:rPr>
                <w:rFonts w:ascii="Times New Roman" w:hAnsi="Times New Roman"/>
              </w:rPr>
              <w:t>dministracijos skyrių</w:t>
            </w:r>
            <w:r w:rsidR="00272EA4">
              <w:rPr>
                <w:rFonts w:ascii="Times New Roman" w:hAnsi="Times New Roman"/>
              </w:rPr>
              <w:t xml:space="preserve"> </w:t>
            </w:r>
            <w:r w:rsidR="003B1276">
              <w:rPr>
                <w:rFonts w:ascii="Times New Roman" w:hAnsi="Times New Roman"/>
              </w:rPr>
              <w:t xml:space="preserve"> prašymai perkelti lėšas.</w:t>
            </w:r>
          </w:p>
        </w:tc>
      </w:tr>
      <w:tr w:rsidR="00A01BE7" w:rsidRPr="00461700" w:rsidTr="006E46C4">
        <w:trPr>
          <w:trHeight w:hRule="exact" w:val="397"/>
        </w:trPr>
        <w:tc>
          <w:tcPr>
            <w:tcW w:w="9740" w:type="dxa"/>
            <w:vAlign w:val="center"/>
          </w:tcPr>
          <w:p w:rsidR="009041F4" w:rsidRDefault="00A01BE7" w:rsidP="006E46C4">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 xml:space="preserve">6. Numatomo teisinio reguliavimo poveikio vertinimas (norminio pobūdžio teisės </w:t>
            </w:r>
          </w:p>
          <w:p w:rsidR="00A01BE7" w:rsidRPr="008549A8" w:rsidRDefault="00A01BE7" w:rsidP="006E46C4">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aktams)</w:t>
            </w:r>
          </w:p>
        </w:tc>
      </w:tr>
      <w:tr w:rsidR="00A01BE7" w:rsidRPr="00461700" w:rsidTr="006E46C4">
        <w:trPr>
          <w:trHeight w:hRule="exact" w:val="397"/>
        </w:trPr>
        <w:tc>
          <w:tcPr>
            <w:tcW w:w="9740" w:type="dxa"/>
            <w:vAlign w:val="center"/>
          </w:tcPr>
          <w:p w:rsidR="00A01BE7" w:rsidRPr="008549A8" w:rsidRDefault="00A01BE7" w:rsidP="006E46C4">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A01BE7" w:rsidRPr="00461700" w:rsidTr="006E46C4">
        <w:tc>
          <w:tcPr>
            <w:tcW w:w="9740" w:type="dxa"/>
          </w:tcPr>
          <w:p w:rsidR="00A01BE7" w:rsidRPr="000518E5" w:rsidRDefault="009041F4" w:rsidP="004D1FE2">
            <w:pPr>
              <w:spacing w:after="240" w:line="360" w:lineRule="auto"/>
              <w:ind w:firstLine="540"/>
              <w:rPr>
                <w:rFonts w:ascii="Times New Roman" w:eastAsia="Times New Roman" w:hAnsi="Times New Roman"/>
                <w:sz w:val="24"/>
                <w:szCs w:val="24"/>
                <w:lang w:eastAsia="lt-LT"/>
              </w:rPr>
            </w:pPr>
            <w:r w:rsidRPr="00F000BE">
              <w:rPr>
                <w:rFonts w:ascii="Times New Roman" w:hAnsi="Times New Roman"/>
                <w:sz w:val="24"/>
                <w:szCs w:val="24"/>
              </w:rPr>
              <w:t>Raseinių rajono savivaldybės administracijos Biudžeto ir finansų analizės skyrius.</w:t>
            </w:r>
          </w:p>
        </w:tc>
      </w:tr>
    </w:tbl>
    <w:p w:rsidR="00A01BE7" w:rsidRDefault="00A01BE7" w:rsidP="00A01BE7">
      <w:pPr>
        <w:spacing w:after="240" w:line="360" w:lineRule="auto"/>
        <w:rPr>
          <w:rFonts w:ascii="Times New Roman" w:eastAsia="Times New Roman" w:hAnsi="Times New Roman"/>
          <w:bCs/>
          <w:sz w:val="24"/>
          <w:szCs w:val="24"/>
        </w:rPr>
      </w:pPr>
    </w:p>
    <w:p w:rsidR="00334771" w:rsidRPr="000518E5" w:rsidRDefault="00334771" w:rsidP="00A01BE7">
      <w:pPr>
        <w:spacing w:after="240" w:line="360" w:lineRule="auto"/>
        <w:rPr>
          <w:rFonts w:ascii="Times New Roman" w:eastAsia="Times New Roman" w:hAnsi="Times New Roman"/>
          <w:bCs/>
          <w:sz w:val="24"/>
          <w:szCs w:val="24"/>
        </w:rPr>
      </w:pPr>
      <w:r>
        <w:rPr>
          <w:rFonts w:ascii="Times New Roman" w:eastAsia="Times New Roman" w:hAnsi="Times New Roman"/>
          <w:bCs/>
          <w:sz w:val="24"/>
          <w:szCs w:val="24"/>
        </w:rPr>
        <w:t>Biudžeto ir finansų analizės skyriaus vedėja</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Dalia Andriulienė</w:t>
      </w:r>
    </w:p>
    <w:p w:rsidR="002C3668" w:rsidRDefault="00A01BE7" w:rsidP="00A01BE7">
      <w:pPr>
        <w:spacing w:after="240" w:line="360" w:lineRule="auto"/>
      </w:pPr>
      <w:r w:rsidRPr="000518E5">
        <w:rPr>
          <w:rFonts w:ascii="Times New Roman" w:eastAsia="Times New Roman" w:hAnsi="Times New Roman"/>
          <w:sz w:val="24"/>
          <w:szCs w:val="24"/>
        </w:rPr>
        <w:t>(Autorius, pareigos)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(parašas)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(vardas, pavardė)</w:t>
      </w:r>
    </w:p>
    <w:sectPr w:rsidR="002C3668" w:rsidSect="006E46C4">
      <w:pgSz w:w="11906" w:h="16838" w:code="9"/>
      <w:pgMar w:top="1134" w:right="567" w:bottom="1134" w:left="1701" w:header="567" w:footer="0"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BE7"/>
    <w:rsid w:val="000034CC"/>
    <w:rsid w:val="0008751F"/>
    <w:rsid w:val="000F0BD2"/>
    <w:rsid w:val="00105BDE"/>
    <w:rsid w:val="00110F87"/>
    <w:rsid w:val="00134F26"/>
    <w:rsid w:val="001637D2"/>
    <w:rsid w:val="00170E3C"/>
    <w:rsid w:val="001877F1"/>
    <w:rsid w:val="001A11DB"/>
    <w:rsid w:val="001A6669"/>
    <w:rsid w:val="001B1BFE"/>
    <w:rsid w:val="001B4B40"/>
    <w:rsid w:val="001E6951"/>
    <w:rsid w:val="001E7470"/>
    <w:rsid w:val="00207023"/>
    <w:rsid w:val="00207258"/>
    <w:rsid w:val="00223830"/>
    <w:rsid w:val="00226D2E"/>
    <w:rsid w:val="00237728"/>
    <w:rsid w:val="0025578E"/>
    <w:rsid w:val="0026369B"/>
    <w:rsid w:val="0027022A"/>
    <w:rsid w:val="00272EA4"/>
    <w:rsid w:val="002C3668"/>
    <w:rsid w:val="002C716D"/>
    <w:rsid w:val="002D21A4"/>
    <w:rsid w:val="002E5FF7"/>
    <w:rsid w:val="00323839"/>
    <w:rsid w:val="0033350B"/>
    <w:rsid w:val="00334771"/>
    <w:rsid w:val="0034362F"/>
    <w:rsid w:val="00354E64"/>
    <w:rsid w:val="00361D0A"/>
    <w:rsid w:val="003A3C7D"/>
    <w:rsid w:val="003B1276"/>
    <w:rsid w:val="003B388B"/>
    <w:rsid w:val="004225EF"/>
    <w:rsid w:val="004603DC"/>
    <w:rsid w:val="00462C02"/>
    <w:rsid w:val="004953CA"/>
    <w:rsid w:val="004D1FE2"/>
    <w:rsid w:val="00506E44"/>
    <w:rsid w:val="005345F2"/>
    <w:rsid w:val="0053668C"/>
    <w:rsid w:val="0055319E"/>
    <w:rsid w:val="005651DB"/>
    <w:rsid w:val="00566B39"/>
    <w:rsid w:val="005814D3"/>
    <w:rsid w:val="005A131C"/>
    <w:rsid w:val="005B5246"/>
    <w:rsid w:val="0063340F"/>
    <w:rsid w:val="00633646"/>
    <w:rsid w:val="00634F86"/>
    <w:rsid w:val="0064736B"/>
    <w:rsid w:val="006846DB"/>
    <w:rsid w:val="00692B4A"/>
    <w:rsid w:val="006A45C6"/>
    <w:rsid w:val="006C03D0"/>
    <w:rsid w:val="006E46C4"/>
    <w:rsid w:val="00705DC1"/>
    <w:rsid w:val="0073499A"/>
    <w:rsid w:val="00771A1E"/>
    <w:rsid w:val="007D760C"/>
    <w:rsid w:val="007E7B77"/>
    <w:rsid w:val="007F318E"/>
    <w:rsid w:val="0085491F"/>
    <w:rsid w:val="008610C9"/>
    <w:rsid w:val="008B28D2"/>
    <w:rsid w:val="009041F4"/>
    <w:rsid w:val="00921E30"/>
    <w:rsid w:val="009402C2"/>
    <w:rsid w:val="00956000"/>
    <w:rsid w:val="009578A2"/>
    <w:rsid w:val="00981305"/>
    <w:rsid w:val="009825AE"/>
    <w:rsid w:val="009E5A1B"/>
    <w:rsid w:val="00A01BE7"/>
    <w:rsid w:val="00A348B4"/>
    <w:rsid w:val="00A61497"/>
    <w:rsid w:val="00A849AB"/>
    <w:rsid w:val="00A8544D"/>
    <w:rsid w:val="00A94C79"/>
    <w:rsid w:val="00AD3C17"/>
    <w:rsid w:val="00B15E33"/>
    <w:rsid w:val="00B16282"/>
    <w:rsid w:val="00B21156"/>
    <w:rsid w:val="00B57D34"/>
    <w:rsid w:val="00B86C93"/>
    <w:rsid w:val="00B97EC8"/>
    <w:rsid w:val="00BC31ED"/>
    <w:rsid w:val="00BE20E5"/>
    <w:rsid w:val="00C142A2"/>
    <w:rsid w:val="00C410A4"/>
    <w:rsid w:val="00C74EEB"/>
    <w:rsid w:val="00C918BE"/>
    <w:rsid w:val="00CA2940"/>
    <w:rsid w:val="00CC42E6"/>
    <w:rsid w:val="00CC4F80"/>
    <w:rsid w:val="00CF014D"/>
    <w:rsid w:val="00D1560E"/>
    <w:rsid w:val="00D208A3"/>
    <w:rsid w:val="00D260E6"/>
    <w:rsid w:val="00D31FF5"/>
    <w:rsid w:val="00D37A38"/>
    <w:rsid w:val="00D758FE"/>
    <w:rsid w:val="00D7660A"/>
    <w:rsid w:val="00DA2171"/>
    <w:rsid w:val="00DA2CF3"/>
    <w:rsid w:val="00DB4D3A"/>
    <w:rsid w:val="00DD75BE"/>
    <w:rsid w:val="00E17F17"/>
    <w:rsid w:val="00E81A4E"/>
    <w:rsid w:val="00E8330A"/>
    <w:rsid w:val="00EC3EDB"/>
    <w:rsid w:val="00ED5703"/>
    <w:rsid w:val="00ED5FB1"/>
    <w:rsid w:val="00F000BE"/>
    <w:rsid w:val="00F1766E"/>
    <w:rsid w:val="00FA279D"/>
    <w:rsid w:val="00FB056C"/>
    <w:rsid w:val="00FC45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1BE7"/>
    <w:pPr>
      <w:spacing w:after="200" w:line="276" w:lineRule="auto"/>
    </w:pPr>
    <w:rPr>
      <w:rFonts w:ascii="Calibri" w:hAnsi="Calibri"/>
      <w:sz w:val="22"/>
      <w:szCs w:val="22"/>
      <w:lang w:eastAsia="en-US"/>
    </w:rPr>
  </w:style>
  <w:style w:type="paragraph" w:styleId="Antrat1">
    <w:name w:val="heading 1"/>
    <w:basedOn w:val="prastasis"/>
    <w:next w:val="prastasis"/>
    <w:link w:val="Antrat1Diagrama"/>
    <w:qFormat/>
    <w:rsid w:val="009041F4"/>
    <w:pPr>
      <w:keepNext/>
      <w:spacing w:before="240" w:after="60" w:line="240" w:lineRule="auto"/>
      <w:outlineLvl w:val="0"/>
    </w:pPr>
    <w:rPr>
      <w:rFonts w:ascii="Arial" w:hAnsi="Arial" w:cs="Arial"/>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 w:type="character" w:customStyle="1" w:styleId="Antrat1Diagrama">
    <w:name w:val="Antraštė 1 Diagrama"/>
    <w:basedOn w:val="Numatytasispastraiposriftas"/>
    <w:link w:val="Antrat1"/>
    <w:rsid w:val="009041F4"/>
    <w:rPr>
      <w:rFonts w:ascii="Arial" w:hAnsi="Arial" w:cs="Arial"/>
      <w:b/>
      <w:bCs/>
      <w:kern w:val="32"/>
      <w:sz w:val="32"/>
      <w:szCs w:val="32"/>
      <w:lang w:val="en-GB" w:eastAsia="en-US"/>
    </w:rPr>
  </w:style>
  <w:style w:type="paragraph" w:customStyle="1" w:styleId="Default">
    <w:name w:val="Default"/>
    <w:rsid w:val="00FB056C"/>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3760</Words>
  <Characters>2144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DaliaA</cp:lastModifiedBy>
  <cp:revision>56</cp:revision>
  <dcterms:created xsi:type="dcterms:W3CDTF">2018-05-14T08:37:00Z</dcterms:created>
  <dcterms:modified xsi:type="dcterms:W3CDTF">2020-08-07T11:56:00Z</dcterms:modified>
</cp:coreProperties>
</file>