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b7665e1a935411da4c83f377a54bcf7"/>
        <w:lock w:val="sdtLocked"/>
        <w:richText/>
      </w:sdtPr>
      <w:sdtContent>
        <w:p w14:paraId="4DAC2E32" w14:textId="601D58A9">
          <w:pPr>
            <w:jc w:val="center"/>
            <w:rPr>
              <w:b/>
              <w:bCs/>
              <w:sz w:val="20"/>
            </w:rPr>
          </w:pPr>
          <w:r>
            <w:rPr>
              <w:b/>
              <w:bCs/>
              <w:szCs w:val="24"/>
            </w:rPr>
            <w:t>EUROPOS PARLAMENTO IR TARYBOS DIREKTYVOS (ES) 2023/970 IR NACIONALINIŲ TEISĖS AKTŲ ATITIKTIES LENTELĖ</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1"/>
            <w:gridCol w:w="5347"/>
            <w:gridCol w:w="1572"/>
          </w:tblGrid>
          <w:tr w14:paraId="51D5314E" w14:textId="77777777">
            <w:tc>
              <w:tcPr>
                <w:tcW w:w="8391" w:type="dxa"/>
              </w:tcPr>
              <w:p w14:paraId="5FA40C4A" w14:textId="0826DC90">
                <w:pPr>
                  <w:jc w:val="both"/>
                  <w:rPr>
                    <w:b/>
                    <w:bCs/>
                    <w:color w:val="000000"/>
                    <w:sz w:val="20"/>
                  </w:rPr>
                </w:pPr>
                <w:r>
                  <w:rPr>
                    <w:b/>
                    <w:bCs/>
                    <w:color w:val="000000"/>
                    <w:sz w:val="20"/>
                  </w:rPr>
                  <w:t xml:space="preserve">2023 m. gegužės 10 d. Europos Parlamento ir Tarybos direktyva </w:t>
                </w:r>
                <w:fldSimple w:instr="HYPERLINK http://eur-lex.europa.eu/legal-content/LIT/TXT/?uri=CELEX:32023L0970&amp;locale=lt \t _blank">
                  <w:r>
                    <w:rPr>
                      <w:b/>
                      <w:bCs/>
                      <w:color w:val="0000FF" w:themeColor="hyperlink"/>
                      <w:sz w:val="20"/>
                      <w:u w:val="single"/>
                    </w:rPr>
                    <w:t>(ES) 2023/970</w:t>
                  </w:r>
                </w:fldSimple>
                <w:r>
                  <w:rPr>
                    <w:b/>
                    <w:bCs/>
                    <w:color w:val="000000"/>
                    <w:sz w:val="20"/>
                  </w:rPr>
                  <w:t xml:space="preserve"> kuria, nustatant darbo užmokesčio skaidrumo ir vykdymo užtikrinimo mechanizmus, griežčiau taikomas vienodo vyrų ir moterų darbo užmokesčio už vienodą arba vienodos vertės darbą principas</w:t>
                </w:r>
              </w:p>
            </w:tc>
            <w:tc>
              <w:tcPr>
                <w:tcW w:w="5347" w:type="dxa"/>
              </w:tcPr>
              <w:p w14:paraId="277EB4FF" w14:textId="329B7A11">
                <w:pPr>
                  <w:jc w:val="both"/>
                  <w:rPr>
                    <w:b/>
                    <w:bCs/>
                    <w:color w:val="000000"/>
                    <w:sz w:val="20"/>
                  </w:rPr>
                </w:pPr>
                <w:r>
                  <w:rPr>
                    <w:b/>
                    <w:bCs/>
                    <w:color w:val="000000"/>
                    <w:sz w:val="20"/>
                  </w:rPr>
                  <w:t xml:space="preserve">1. Lietuvos Respublikos darbo kodekso 23, 26, 39, 40, 41, 42, 48, 51, 52, 65, 71, 79, 140, 147, 148, 196, 217, 219, 226 straipsnių ir priedo pakeitimo įstatymo projektas (toliau – DK projektas); </w:t>
                </w:r>
              </w:p>
              <w:p w14:paraId="33062905" w14:textId="13D90EE3">
                <w:pPr>
                  <w:jc w:val="both"/>
                  <w:rPr>
                    <w:b/>
                    <w:bCs/>
                    <w:color w:val="000000"/>
                    <w:sz w:val="20"/>
                  </w:rPr>
                </w:pPr>
                <w:r>
                  <w:rPr>
                    <w:b/>
                    <w:bCs/>
                    <w:color w:val="000000"/>
                    <w:sz w:val="20"/>
                  </w:rPr>
                  <w:t>2. Lietuvos Respublikos administracinių nusižengimų kodekso 99, 589 straipsnių ir priedo pakeitimo įstatymo projektas (toliau – ANK projektas);</w:t>
                </w:r>
              </w:p>
              <w:p w14:paraId="732DC8B8" w14:textId="4BBADD8E">
                <w:pPr>
                  <w:jc w:val="both"/>
                  <w:rPr>
                    <w:b/>
                    <w:bCs/>
                    <w:color w:val="000000"/>
                    <w:sz w:val="20"/>
                  </w:rPr>
                </w:pPr>
                <w:r>
                  <w:rPr>
                    <w:b/>
                    <w:bCs/>
                    <w:color w:val="000000"/>
                    <w:sz w:val="20"/>
                  </w:rPr>
                  <w:t>3. Lietuvos Respublikos biudžetinių įstaigų darbuotojų darbo apmokėjimo ir komisijų narių atlygio už darbą įstatymo Nr. XIII-198 1, 5 straipsnių pakeitimo ir įstatymo papildymo 3 priedu įstatymo projektas (toliau – BIDU projektas);</w:t>
                </w:r>
              </w:p>
              <w:p w14:paraId="6323EC09" w14:textId="27E84D5D">
                <w:pPr>
                  <w:jc w:val="both"/>
                  <w:rPr>
                    <w:b/>
                    <w:bCs/>
                    <w:color w:val="000000"/>
                    <w:sz w:val="20"/>
                  </w:rPr>
                </w:pPr>
                <w:r>
                  <w:rPr>
                    <w:b/>
                    <w:bCs/>
                    <w:color w:val="000000"/>
                    <w:sz w:val="20"/>
                  </w:rPr>
                  <w:t>4. Lietuvos Respublikos valstybės tarnybos įstatymo Nr. VIII-1316 1, 19, 20 straipsnių pakeitimo ir įstatymo papildymo 3 priedu projektas (toliau – VTĮ projektas);</w:t>
                </w:r>
              </w:p>
              <w:p w14:paraId="09B1F3C1" w14:textId="0443B4D7">
                <w:pPr>
                  <w:jc w:val="both"/>
                  <w:rPr>
                    <w:b/>
                    <w:bCs/>
                    <w:color w:val="000000"/>
                    <w:sz w:val="20"/>
                  </w:rPr>
                </w:pPr>
                <w:r>
                  <w:rPr>
                    <w:b/>
                    <w:bCs/>
                    <w:color w:val="000000"/>
                    <w:sz w:val="20"/>
                  </w:rPr>
                  <w:t>5. Lietuvos Respublikos viešųjų įstaigų, kurių savininkė ar dalininkė, turinti daugiau negu pusę balsų visuotiniame dalininkų susirinkime, yra valstybė ar savivaldybė, vadovų ir darbuotojų darbo apmokėjimo įstatymo Nr. XIV-2349 1, 2, 3 straipsnių ir priedo pakeitimo bei įstatymo papildymo 2 priedu įstatymo projektas (toliau – VĮVDDAĮ projektas);</w:t>
                </w:r>
              </w:p>
              <w:p w14:paraId="30F05DAB" w14:textId="6609183D">
                <w:pPr>
                  <w:jc w:val="both"/>
                  <w:rPr>
                    <w:b/>
                    <w:bCs/>
                    <w:color w:val="000000"/>
                    <w:sz w:val="20"/>
                  </w:rPr>
                </w:pPr>
                <w:r>
                  <w:rPr>
                    <w:b/>
                    <w:bCs/>
                    <w:color w:val="000000"/>
                    <w:sz w:val="20"/>
                  </w:rPr>
                  <w:t>6. Lietuvos Respublikos lygių galimybių įstatymo Nr. IX-1826 pakeitimo įstatymo projektas (toliau – LGĮ projektas);</w:t>
                </w:r>
              </w:p>
              <w:p w14:paraId="581401BB" w14:textId="752C068B">
                <w:pPr>
                  <w:jc w:val="both"/>
                  <w:rPr>
                    <w:color w:val="000000"/>
                    <w:sz w:val="20"/>
                  </w:rPr>
                </w:pPr>
                <w:r>
                  <w:rPr>
                    <w:color w:val="000000"/>
                    <w:sz w:val="20"/>
                  </w:rPr>
                  <w:t>7. Lietuvos Respublikos darbo kodekso patvirtinimo, įsigaliojimo ir įgyvendinimo įstatymas Nr. XII-2603</w:t>
                </w:r>
                <w:r>
                  <w:rPr>
                    <w:rFonts w:ascii="Segoe UI" w:hAnsi="Segoe UI" w:cs="Segoe UI"/>
                    <w:sz w:val="18"/>
                    <w:szCs w:val="18"/>
                  </w:rPr>
                  <w:t xml:space="preserve"> </w:t>
                </w:r>
                <w:r>
                  <w:rPr>
                    <w:color w:val="000000"/>
                    <w:sz w:val="20"/>
                  </w:rPr>
                  <w:t>(suvestinė redakcija nuo 2023-01-01 iki 2023-05-31) (toliau – DK);</w:t>
                </w:r>
              </w:p>
              <w:p w14:paraId="46EC6AF9" w14:textId="74EB6A27">
                <w:pPr>
                  <w:jc w:val="both"/>
                  <w:rPr>
                    <w:color w:val="000000"/>
                    <w:sz w:val="20"/>
                  </w:rPr>
                </w:pPr>
                <w:r>
                  <w:rPr>
                    <w:color w:val="000000"/>
                    <w:sz w:val="20"/>
                  </w:rPr>
                  <w:t>8. Lietuvos Respublikos moterų ir vyrų lygių galimybių įstatymas Nr. VIII-947 (suvestinė redakcija nuo 2017-07-01) (toliau – MVLGĮ);</w:t>
                </w:r>
              </w:p>
              <w:p w14:paraId="54D174DE" w14:textId="39988F4F">
                <w:pPr>
                  <w:jc w:val="both"/>
                  <w:rPr>
                    <w:color w:val="000000"/>
                    <w:sz w:val="20"/>
                  </w:rPr>
                </w:pPr>
                <w:r>
                  <w:rPr>
                    <w:color w:val="000000"/>
                    <w:sz w:val="20"/>
                  </w:rPr>
                  <w:t>9. Lietuvos Respublikos lygių galimybių įstatymas Nr. IX-1826 (suvestinė redakcija nuo 2022-08-01) (toliau – LGĮ);</w:t>
                </w:r>
              </w:p>
              <w:p w14:paraId="4525AEC1" w14:textId="0C197489">
                <w:pPr>
                  <w:jc w:val="both"/>
                  <w:rPr>
                    <w:color w:val="000000"/>
                    <w:sz w:val="20"/>
                  </w:rPr>
                </w:pPr>
                <w:r>
                  <w:rPr>
                    <w:color w:val="000000"/>
                    <w:sz w:val="20"/>
                  </w:rPr>
                  <w:t>10. Lietuvos Respublikos valstybinės darbo inspekcijos įstatymas Nr. IX-1768 (suvestinė redakcija nuo 2022-05-01) (toliau – VDI įstatymas);</w:t>
                </w:r>
              </w:p>
              <w:p w14:paraId="142D3BC4" w14:textId="497A0136">
                <w:pPr>
                  <w:jc w:val="both"/>
                  <w:rPr>
                    <w:color w:val="000000"/>
                    <w:sz w:val="20"/>
                  </w:rPr>
                </w:pPr>
                <w:r>
                  <w:rPr>
                    <w:color w:val="000000"/>
                    <w:sz w:val="20"/>
                  </w:rPr>
                  <w:t>11. Lietuvos Respublikos administracinių nusižengimų kodekso patvirtinimo, įsigaliojimo ir įgyvendinimo tvarkos įstatymas Nr. XII-1869 (suvestinė redakcija nuo 2025-08-01 (toliau – ANK);</w:t>
                </w:r>
              </w:p>
              <w:p w14:paraId="45F456A1" w14:textId="77777777">
                <w:pPr>
                  <w:jc w:val="both"/>
                  <w:textAlignment w:val="baseline"/>
                  <w:rPr>
                    <w:sz w:val="20"/>
                  </w:rPr>
                </w:pPr>
                <w:r>
                  <w:rPr>
                    <w:sz w:val="20"/>
                  </w:rPr>
                  <w:t>Lietuvos Respublikos administracinių nusižengimų kodekso 72 ir 589 straipsnių pakeitimo įstatymas Nr. XIV-2916</w:t>
                </w:r>
              </w:p>
              <w:p w14:paraId="189D7A8B" w14:textId="400E983A">
                <w:pPr>
                  <w:jc w:val="both"/>
                  <w:rPr>
                    <w:color w:val="000000"/>
                    <w:sz w:val="20"/>
                  </w:rPr>
                </w:pPr>
                <w:r>
                  <w:rPr>
                    <w:color w:val="000000"/>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 Nr. XIV-1947</w:t>
                </w:r>
              </w:p>
              <w:p w14:paraId="0277C4BB" w14:textId="12DEEF76">
                <w:pPr>
                  <w:jc w:val="both"/>
                  <w:rPr>
                    <w:color w:val="000000"/>
                    <w:sz w:val="20"/>
                  </w:rPr>
                </w:pPr>
                <w:r>
                  <w:rPr>
                    <w:color w:val="000000"/>
                    <w:sz w:val="20"/>
                  </w:rPr>
                  <w:t>12. Lietuvos Respublikos civilinio kodekso patvirtinimo, įsigaliojimo ir įgyvendinimo įstatymas Nr. VIII-1864 (suvestinė redakcija nuo 2023-04-30 ) (toliau – CK);</w:t>
                </w:r>
              </w:p>
              <w:p w14:paraId="02300A56" w14:textId="2F156F30">
                <w:pPr>
                  <w:jc w:val="both"/>
                  <w:rPr>
                    <w:color w:val="000000"/>
                    <w:sz w:val="20"/>
                  </w:rPr>
                </w:pPr>
                <w:r>
                  <w:rPr>
                    <w:color w:val="000000"/>
                    <w:sz w:val="20"/>
                  </w:rPr>
                  <w:t>13. Lietuvos Respublikos civilinio proceso kodekso patvirtinimo, įsigaliojimo ir įgyvendinimo įstatymas Nr. IX-743 (suvestinė redakcija nuo 2022-12-31) (toliau – CPK);</w:t>
                </w:r>
              </w:p>
              <w:p w14:paraId="26DC9204" w14:textId="0361A2A8">
                <w:pPr>
                  <w:jc w:val="both"/>
                  <w:rPr>
                    <w:color w:val="000000"/>
                    <w:sz w:val="20"/>
                  </w:rPr>
                </w:pPr>
                <w:r>
                  <w:rPr>
                    <w:color w:val="000000"/>
                    <w:sz w:val="20"/>
                  </w:rPr>
                  <w:t>14. Lietuvos Respublikos viešųjų pirkimų įstatymas Nr. I-1491 (suvestinė redakcija nuo 2023-01-01) (toliau – VPĮ);</w:t>
                </w:r>
              </w:p>
              <w:p w14:paraId="7A468D54" w14:textId="2EBB9D8D">
                <w:pPr>
                  <w:jc w:val="both"/>
                  <w:rPr>
                    <w:color w:val="000000"/>
                    <w:sz w:val="20"/>
                  </w:rPr>
                </w:pPr>
                <w:r>
                  <w:rPr>
                    <w:color w:val="000000"/>
                    <w:sz w:val="20"/>
                  </w:rPr>
                  <w:t>15. Lietuvos Respublikos asociacijų įstatymas Nr. IX-1969 (suvestinė redakcija nuo 2025-06-21) (toliau – AĮ);</w:t>
                </w:r>
              </w:p>
              <w:p w14:paraId="3D374786" w14:textId="55B33015">
                <w:pPr>
                  <w:jc w:val="both"/>
                  <w:rPr>
                    <w:color w:val="000000"/>
                    <w:sz w:val="20"/>
                  </w:rPr>
                </w:pPr>
                <w:r>
                  <w:rPr>
                    <w:color w:val="000000"/>
                    <w:sz w:val="20"/>
                  </w:rPr>
                  <w:t>16. Lietuvos Respublikos asmens duomenų teisinės apsaugos įstatymas Nr. I-1374 (suvestinė redakcija nuo 2025-01-01) (toliau – ADTAĮ);</w:t>
                </w:r>
              </w:p>
              <w:p w14:paraId="6045C3A8" w14:textId="36280667">
                <w:pPr>
                  <w:jc w:val="both"/>
                  <w:rPr>
                    <w:color w:val="000000"/>
                    <w:sz w:val="20"/>
                  </w:rPr>
                </w:pPr>
                <w:r>
                  <w:rPr>
                    <w:color w:val="000000"/>
                    <w:sz w:val="20"/>
                  </w:rPr>
                  <w:t>17. Lietuvos Respublikos profesinių sąjungų įstatymas Nr. I-2018 (suvestinė redakcija nuo 2013-06-28) (toliau – PSĮ);</w:t>
                </w:r>
              </w:p>
              <w:p w14:paraId="7B7F2C4C" w14:textId="3033D180">
                <w:pPr>
                  <w:jc w:val="both"/>
                  <w:rPr>
                    <w:color w:val="000000"/>
                    <w:sz w:val="20"/>
                  </w:rPr>
                </w:pPr>
                <w:r>
                  <w:rPr>
                    <w:color w:val="000000"/>
                    <w:sz w:val="20"/>
                  </w:rPr>
                  <w:t>18. Lietuvos Respublikos Vyriausybės 2024 m. spalio 9 d. nutarimas Nr. 848 Dėl darbo statistikos (toliau – Darbo statistikos nutarimas);</w:t>
                </w:r>
              </w:p>
              <w:p w14:paraId="67FD13C7" w14:textId="3BBB8C63">
                <w:pPr>
                  <w:jc w:val="both"/>
                  <w:rPr>
                    <w:color w:val="000000"/>
                    <w:sz w:val="20"/>
                  </w:rPr>
                </w:pPr>
                <w:r>
                  <w:rPr>
                    <w:color w:val="000000"/>
                    <w:sz w:val="20"/>
                  </w:rPr>
                  <w:t>19. Lietuvos Respublikos Seimo 2003 m. lapkričio 18 d. nutarimu Nr. IX-1827 (Lietuvos Respublikos Seimo 2024 m. balandžio 11 d. nutarimo Nr. XIV-2539 redakcija) patvirtinti Lygių galimybių kontrolieriaus tarnybos nuostatai (toliau – LGKT nuostatai);</w:t>
                </w:r>
              </w:p>
              <w:p w14:paraId="7B285640" w14:textId="718BC159">
                <w:pPr>
                  <w:jc w:val="both"/>
                  <w:rPr>
                    <w:color w:val="000000"/>
                    <w:sz w:val="20"/>
                  </w:rPr>
                </w:pPr>
                <w:r>
                  <w:rPr>
                    <w:color w:val="000000"/>
                    <w:sz w:val="20"/>
                  </w:rPr>
                  <w:t>20. Lietuvos Respublikos socialinės apsaugos ir darbo ministro 2009 m. gegužės 12 d. įsakymu Nr. A1-316 (Lietuvos Respublikos socialinės apsaugos ir darbo ministro 2010 m. gruodžio 10 d. įsakymo Nr. A1-595 redakcija) patvirtinti Lietuvos Respublikos valstybinės darbo inspekcijos prie Socialinės apsaugos ir darbo ministerijos nuostatai (toliau – VDI nuostatai);</w:t>
                </w:r>
              </w:p>
              <w:p w14:paraId="1E18E43C" w14:textId="2FCADF39">
                <w:pPr>
                  <w:jc w:val="both"/>
                  <w:rPr>
                    <w:color w:val="000000"/>
                    <w:sz w:val="20"/>
                  </w:rPr>
                </w:pPr>
                <w:r>
                  <w:rPr>
                    <w:color w:val="000000"/>
                    <w:sz w:val="20"/>
                  </w:rPr>
                  <w:t xml:space="preserve">21. Lietuvos Respublikos trišalės tarybos 2018 m. sausio 9 d. protokolu Nr. TTP-1  (Lietuvos Respublikos trišalės tarybos 2018 m. gruodžio 19  d. protokolu Nr. TTP-14 pavirtintų nuostatų redakcija) patvirtinti Lietuvos Respublikos trišalės tarybos nuostatai (toliau – TT nuostatai);</w:t>
                </w:r>
              </w:p>
              <w:p w14:paraId="7137F834" w14:textId="4D381132">
                <w:pPr>
                  <w:jc w:val="both"/>
                  <w:rPr>
                    <w:sz w:val="20"/>
                  </w:rPr>
                </w:pPr>
                <w:r>
                  <w:rPr>
                    <w:sz w:val="20"/>
                  </w:rPr>
                  <w:t>22. Lietuvos Respublikos socialinės apsaugos ir darbo ministerijos (toliau – SADM), Trišalės tarybos, bei darbo ir socialinių tyrimų instituto parengta ir 2004 m. patvirtinta Darbų ir pareigybių vertinimo metodika (toliau – Darbų ir pareigybių vertinimo metodika);</w:t>
                </w:r>
              </w:p>
              <w:p w14:paraId="0B39DCF4" w14:textId="297DFB46">
                <w:pPr>
                  <w:jc w:val="both"/>
                  <w:rPr>
                    <w:sz w:val="20"/>
                  </w:rPr>
                </w:pPr>
                <w:r>
                  <w:rPr>
                    <w:sz w:val="20"/>
                  </w:rPr>
                  <w:t>23. MB Pratura bendradarbiaujant su SADM parengtos ir 2023 m. paskelbtos Darbo apmokėjimo sistemos kūrimo metodinės rekomendacijos (toliau – Darbo apmokėjimo sistemos kūrimo rekomendacijos);</w:t>
                </w:r>
              </w:p>
              <w:p w14:paraId="45DE2C12" w14:textId="3FBE4FE7">
                <w:pPr>
                  <w:jc w:val="both"/>
                  <w:rPr>
                    <w:sz w:val="20"/>
                  </w:rPr>
                </w:pPr>
                <w:r>
                  <w:rPr>
                    <w:sz w:val="20"/>
                  </w:rPr>
                  <w:t>24. Lietuvos Respublikos Vyriausybės 2023 m. lapkričio 8 d. nutarimas Nr. 857 „Dėl darbo apmokėjimo sistemos nustatymo rekomendacijų patvirtinimo (suvestinė redakcija nuo 2024-01-30) (toliau – Nutarimas Nr. 857);</w:t>
                </w:r>
              </w:p>
              <w:p w14:paraId="40AAB78C" w14:textId="01C34954">
                <w:pPr>
                  <w:jc w:val="both"/>
                  <w:rPr>
                    <w:b/>
                    <w:bCs/>
                    <w:color w:val="000000"/>
                    <w:sz w:val="20"/>
                  </w:rPr>
                </w:pPr>
                <w:r>
                  <w:rPr>
                    <w:color w:val="000000"/>
                    <w:sz w:val="20"/>
                  </w:rPr>
                  <w:t>25. Lietuvos Respublikos socialinės apsaugos ir darbo ministro 2024 m. spalio 26 d. įsakymu Nr. A1-709 „Dėl socialinio dialogo ir kolektyvinių derybų skatinimo 2024-2028 metų veiksmų plano patvirtinimo“ patvirtintas „Socialinio dialogo ir kolektyvinių derybų skatinimo 2024-2028 metų veiksmų planas“ (toliau – Socialinio dialogo planas)</w:t>
                </w:r>
              </w:p>
            </w:tc>
            <w:tc>
              <w:tcPr>
                <w:tcW w:w="1572" w:type="dxa"/>
              </w:tcPr>
              <w:p w14:paraId="705040DC" w14:textId="3B00430F">
                <w:pPr>
                  <w:jc w:val="both"/>
                  <w:rPr>
                    <w:color w:val="000000"/>
                    <w:sz w:val="20"/>
                  </w:rPr>
                </w:pPr>
                <w:r>
                  <w:rPr>
                    <w:b/>
                    <w:bCs/>
                    <w:color w:val="000000"/>
                    <w:sz w:val="20"/>
                  </w:rPr>
                  <w:t>Europos Sąjungos teisės akto perkėlimo (įgyvendinimo) lygis</w:t>
                </w:r>
              </w:p>
            </w:tc>
          </w:tr>
          <w:tr w14:paraId="085CD8FC" w14:textId="77777777">
            <w:tc>
              <w:tcPr>
                <w:tcW w:w="15310" w:type="dxa"/>
                <w:gridSpan w:val="3"/>
                <w:shd w:val="clear" w:color="auto" w:fill="D6E3BC" w:themeFill="accent3" w:themeFillTint="66"/>
              </w:tcPr>
              <w:p w14:paraId="2874152B" w14:textId="1525FDD6">
                <w:pPr>
                  <w:jc w:val="both"/>
                  <w:rPr>
                    <w:color w:val="000000"/>
                    <w:sz w:val="20"/>
                  </w:rPr>
                </w:pPr>
                <w:r>
                  <w:rPr>
                    <w:b/>
                    <w:bCs/>
                    <w:color w:val="000000"/>
                    <w:sz w:val="20"/>
                  </w:rPr>
                  <w:t>1 straipsnis. Dalykas</w:t>
                </w:r>
              </w:p>
            </w:tc>
          </w:tr>
          <w:tr w14:paraId="7EB5C21B" w14:textId="77777777">
            <w:tc>
              <w:tcPr>
                <w:tcW w:w="8391" w:type="dxa"/>
              </w:tcPr>
              <w:p w14:paraId="5617D5CB" w14:textId="39A0D368">
                <w:pPr>
                  <w:jc w:val="both"/>
                  <w:rPr>
                    <w:sz w:val="20"/>
                  </w:rPr>
                </w:pPr>
                <w:r>
                  <w:rPr>
                    <w:sz w:val="20"/>
                  </w:rPr>
                  <w:t xml:space="preserve">Šia direktyva nustatomi minimalieji reikalavimai, kuriais siekiama sugriežtinti SESV 157 straipsnyje įtvirtinto vienodo vyrų ir moterų darbo užmokesčio už vienodą arba vienodos vertės darbą principo (toliau - vienodo darbo užmokesčio principas) taikymą ir diskriminacijos draudimą, kaip nustatyta Direktyvos </w:t>
                </w:r>
                <w:fldSimple w:instr="HYPERLINK http://eur-lex.europa.eu/legal-content/LIT/TXT/?uri=CELEX:32006L0054&amp;locale=lt \t _blank">
                  <w:r>
                    <w:rPr>
                      <w:sz w:val="20"/>
                      <w:u w:val="single"/>
                      <w:color w:val="0000FF" w:themeColor="hyperlink"/>
                    </w:rPr>
                    <w:t>2006/54/EB</w:t>
                  </w:r>
                </w:fldSimple>
                <w:r>
                  <w:rPr>
                    <w:sz w:val="20"/>
                  </w:rPr>
                  <w:t xml:space="preserve"> 4 straipsnyje, visų pirma užtikrinant darbo užmokesčio skaidrumą ir sustiprinant vykdymo užtikrinimo mechanizmus.</w:t>
                </w:r>
              </w:p>
            </w:tc>
            <w:tc>
              <w:tcPr>
                <w:tcW w:w="5347" w:type="dxa"/>
              </w:tcPr>
              <w:p w14:paraId="60288D43" w14:textId="3F9BF342">
                <w:pPr>
                  <w:jc w:val="both"/>
                  <w:rPr>
                    <w:color w:val="000000"/>
                    <w:sz w:val="20"/>
                  </w:rPr>
                </w:pPr>
                <w:r>
                  <w:rPr>
                    <w:i/>
                    <w:iCs/>
                    <w:color w:val="000000"/>
                    <w:sz w:val="20"/>
                  </w:rPr>
                  <w:t>Perkelti nereikia (dėl direktyvos tikslo).</w:t>
                </w:r>
              </w:p>
            </w:tc>
            <w:tc>
              <w:tcPr>
                <w:tcW w:w="1572" w:type="dxa"/>
              </w:tcPr>
              <w:p w14:paraId="0EC034C9" w14:textId="794BD717">
                <w:pPr>
                  <w:jc w:val="both"/>
                  <w:rPr>
                    <w:color w:val="000000"/>
                    <w:sz w:val="20"/>
                  </w:rPr>
                </w:pPr>
              </w:p>
            </w:tc>
          </w:tr>
          <w:tr w14:paraId="59D7CCDC" w14:textId="77777777">
            <w:tc>
              <w:tcPr>
                <w:tcW w:w="15310" w:type="dxa"/>
                <w:gridSpan w:val="3"/>
                <w:tcBorders>
                  <w:bottom w:val="single" w:sz="4" w:space="0" w:color="auto"/>
                </w:tcBorders>
                <w:shd w:val="clear" w:color="auto" w:fill="D6E3BC" w:themeFill="accent3" w:themeFillTint="66"/>
              </w:tcPr>
              <w:p w14:paraId="14674BE8" w14:textId="098BCA15">
                <w:pPr>
                  <w:jc w:val="both"/>
                  <w:rPr>
                    <w:b/>
                    <w:bCs/>
                    <w:color w:val="000000"/>
                    <w:sz w:val="20"/>
                  </w:rPr>
                </w:pPr>
                <w:r>
                  <w:rPr>
                    <w:b/>
                    <w:bCs/>
                    <w:color w:val="000000"/>
                    <w:sz w:val="20"/>
                  </w:rPr>
                  <w:t>2 straipsnis. Taikymo sritis</w:t>
                </w:r>
              </w:p>
            </w:tc>
          </w:tr>
          <w:tr w14:paraId="0A4B93F8" w14:textId="77777777">
            <w:tc>
              <w:tcPr>
                <w:tcW w:w="8391" w:type="dxa"/>
                <w:tcBorders>
                  <w:bottom w:val="single" w:sz="4" w:space="0" w:color="auto"/>
                </w:tcBorders>
              </w:tcPr>
              <w:p w14:paraId="3484E3BD" w14:textId="1CF14FA5">
                <w:pPr>
                  <w:jc w:val="both"/>
                  <w:rPr>
                    <w:bCs/>
                    <w:sz w:val="20"/>
                  </w:rPr>
                </w:pPr>
                <w:r>
                  <w:rPr>
                    <w:bCs/>
                    <w:sz w:val="20"/>
                  </w:rPr>
                  <w:t>1. Ši direktyva taikoma viešojo ir privačiojo sektorių darbdaviams.</w:t>
                </w:r>
              </w:p>
            </w:tc>
            <w:tc>
              <w:tcPr>
                <w:tcW w:w="5347" w:type="dxa"/>
                <w:tcBorders>
                  <w:bottom w:val="single" w:sz="4" w:space="0" w:color="auto"/>
                </w:tcBorders>
              </w:tcPr>
              <w:p w14:paraId="5286C40D" w14:textId="536FB0F1">
                <w:pPr>
                  <w:jc w:val="both"/>
                  <w:rPr>
                    <w:b/>
                    <w:color w:val="000000"/>
                    <w:sz w:val="20"/>
                  </w:rPr>
                </w:pPr>
                <w:r>
                  <w:rPr>
                    <w:b/>
                    <w:color w:val="000000"/>
                    <w:sz w:val="20"/>
                  </w:rPr>
                  <w:t>DK</w:t>
                </w:r>
              </w:p>
              <w:p w14:paraId="171C0DAD" w14:textId="77777777">
                <w:pPr>
                  <w:jc w:val="both"/>
                  <w:rPr>
                    <w:b/>
                    <w:color w:val="000000"/>
                    <w:sz w:val="20"/>
                  </w:rPr>
                </w:pPr>
                <w:r>
                  <w:rPr>
                    <w:b/>
                    <w:color w:val="000000"/>
                    <w:sz w:val="20"/>
                  </w:rPr>
                  <w:t>1 straipsnis.</w:t>
                </w:r>
                <w:r>
                  <w:rPr>
                    <w:color w:val="000000"/>
                    <w:sz w:val="20"/>
                  </w:rPr>
                  <w:t xml:space="preserve"> </w:t>
                </w:r>
                <w:r>
                  <w:rPr>
                    <w:b/>
                    <w:color w:val="000000"/>
                    <w:sz w:val="20"/>
                  </w:rPr>
                  <w:t>Lietuvos Respublikos darbo kodekso paskirtis ir reglamentuojami visuomeniniai santykiai</w:t>
                </w:r>
              </w:p>
              <w:p w14:paraId="2A456F5B" w14:textId="77777777">
                <w:pPr>
                  <w:jc w:val="both"/>
                  <w:rPr>
                    <w:color w:val="000000"/>
                    <w:sz w:val="20"/>
                  </w:rPr>
                </w:pPr>
                <w:r>
                  <w:rPr>
                    <w:color w:val="000000"/>
                    <w:sz w:val="20"/>
                  </w:rPr>
                  <w:t>1. Lietuvos Respublikos darbo kodeksas (toliau – Kodeksas) reglamentuoja individualiuosius darbo santykius, kurie atsiranda sudarius darbo sutartį šio kodekso nustatyta tvarka.</w:t>
                </w:r>
              </w:p>
              <w:p w14:paraId="7B4347EA" w14:textId="77777777">
                <w:pPr>
                  <w:jc w:val="both"/>
                  <w:rPr>
                    <w:color w:val="000000"/>
                    <w:sz w:val="20"/>
                  </w:rPr>
                </w:pPr>
                <w:r>
                  <w:rPr>
                    <w:i/>
                    <w:iCs/>
                    <w:color w:val="000000"/>
                    <w:sz w:val="20"/>
                  </w:rPr>
                  <w:t>Straipsnio dalies pakeitimai:</w:t>
                </w:r>
              </w:p>
              <w:p w14:paraId="5F2ACFEC" w14:textId="77777777">
                <w:pPr>
                  <w:jc w:val="both"/>
                  <w:rPr>
                    <w:color w:val="000000"/>
                    <w:sz w:val="20"/>
                  </w:rPr>
                </w:pPr>
                <w:r>
                  <w:rPr>
                    <w:i/>
                    <w:iCs/>
                    <w:color w:val="000000"/>
                    <w:sz w:val="20"/>
                  </w:rPr>
                  <w:t>Nr. </w:t>
                </w:r>
                <w:hyperlink r:id="rId7" w:tgtFrame="_parent" w:history="1">
                  <w:r>
                    <w:rPr>
                      <w:i/>
                      <w:iCs/>
                      <w:color w:val="0000FF"/>
                      <w:sz w:val="20"/>
                      <w:u w:val="single"/>
                    </w:rPr>
                    <w:t>XIV-1189</w:t>
                  </w:r>
                </w:hyperlink>
                <w:r>
                  <w:rPr>
                    <w:i/>
                    <w:iCs/>
                    <w:color w:val="000000"/>
                    <w:sz w:val="20"/>
                  </w:rPr>
                  <w:t>, 2022-06-28, paskelbta TAR 2022-07-11, i. k. 2022-15178</w:t>
                </w:r>
              </w:p>
              <w:p w14:paraId="397EBDF0" w14:textId="77777777">
                <w:pPr>
                  <w:jc w:val="both"/>
                  <w:rPr>
                    <w:color w:val="000000"/>
                    <w:sz w:val="20"/>
                  </w:rPr>
                </w:pPr>
              </w:p>
              <w:p w14:paraId="5E600002" w14:textId="173AB5F5">
                <w:pPr>
                  <w:jc w:val="both"/>
                  <w:rPr>
                    <w:color w:val="000000"/>
                    <w:sz w:val="20"/>
                  </w:rPr>
                </w:pPr>
                <w:r>
                  <w:rPr>
                    <w:color w:val="000000"/>
                    <w:sz w:val="20"/>
                  </w:rPr>
                  <w:t>&lt;...&gt;</w:t>
                </w:r>
              </w:p>
              <w:p w14:paraId="69219B8E" w14:textId="526B5D30">
                <w:pPr>
                  <w:jc w:val="both"/>
                  <w:rPr>
                    <w:color w:val="000000"/>
                    <w:sz w:val="20"/>
                  </w:rPr>
                </w:pPr>
                <w:r>
                  <w:rPr>
                    <w:color w:val="000000"/>
                    <w:sz w:val="20"/>
                  </w:rPr>
                  <w:t>3. Šio kodekso ir kitų Lietuvos Respublikos įstatymų nustatytais atvejais šis kodeksas reglamentuoja ir kitų įstatymų reglamentuojamus visuomeninius santykius, atsirandančius asmenims įgyvendinant profesinę, tarnybinę, kūrybinę ar kitokią veiklą.</w:t>
                </w:r>
              </w:p>
            </w:tc>
            <w:tc>
              <w:tcPr>
                <w:tcW w:w="1572" w:type="dxa"/>
                <w:tcBorders>
                  <w:bottom w:val="single" w:sz="4" w:space="0" w:color="auto"/>
                </w:tcBorders>
              </w:tcPr>
              <w:p w14:paraId="495984E1" w14:textId="3FB798B3">
                <w:pPr>
                  <w:jc w:val="both"/>
                  <w:rPr>
                    <w:color w:val="000000"/>
                    <w:sz w:val="20"/>
                  </w:rPr>
                </w:pPr>
                <w:r>
                  <w:rPr>
                    <w:color w:val="000000"/>
                    <w:sz w:val="20"/>
                  </w:rPr>
                  <w:t>Visiškas</w:t>
                </w:r>
              </w:p>
            </w:tc>
          </w:tr>
          <w:tr w14:paraId="1CD041DA" w14:textId="77777777">
            <w:tc>
              <w:tcPr>
                <w:tcW w:w="8391" w:type="dxa"/>
                <w:tcBorders>
                  <w:bottom w:val="single" w:sz="4" w:space="0" w:color="auto"/>
                </w:tcBorders>
              </w:tcPr>
              <w:p w14:paraId="400539F5" w14:textId="5A464366">
                <w:pPr>
                  <w:jc w:val="both"/>
                  <w:rPr>
                    <w:sz w:val="20"/>
                  </w:rPr>
                </w:pPr>
                <w:r>
                  <w:rPr>
                    <w:sz w:val="20"/>
                  </w:rPr>
                  <w:t>2. Ši direktyva taikoma visiems darbuotojams, dirbantiems pagal darbo sutartį ar palaikantiems darbo santykius, apibrėžtus pagal kiekvienos valstybės narės galiojančią teisę, kolektyvines sutartis ir (arba) taikomą praktiką, atsižvelgiant į Teisingumo Teismo praktiką.</w:t>
                </w:r>
              </w:p>
            </w:tc>
            <w:tc>
              <w:tcPr>
                <w:tcW w:w="5347" w:type="dxa"/>
                <w:tcBorders>
                  <w:bottom w:val="single" w:sz="4" w:space="0" w:color="auto"/>
                </w:tcBorders>
              </w:tcPr>
              <w:p w14:paraId="1D7A1FE8" w14:textId="1730E7FD">
                <w:pPr>
                  <w:jc w:val="both"/>
                  <w:rPr>
                    <w:b/>
                    <w:color w:val="000000"/>
                    <w:sz w:val="20"/>
                  </w:rPr>
                </w:pPr>
                <w:r>
                  <w:rPr>
                    <w:b/>
                    <w:color w:val="000000"/>
                    <w:sz w:val="20"/>
                  </w:rPr>
                  <w:t>DK</w:t>
                </w:r>
              </w:p>
              <w:p w14:paraId="7EC8951C" w14:textId="5E92DFE4">
                <w:pPr>
                  <w:jc w:val="both"/>
                  <w:rPr>
                    <w:b/>
                    <w:color w:val="000000"/>
                    <w:sz w:val="20"/>
                  </w:rPr>
                </w:pPr>
                <w:r>
                  <w:rPr>
                    <w:b/>
                    <w:color w:val="000000"/>
                    <w:sz w:val="20"/>
                  </w:rPr>
                  <w:t>1 straipsnis.</w:t>
                </w:r>
                <w:r>
                  <w:rPr>
                    <w:color w:val="000000"/>
                    <w:sz w:val="20"/>
                  </w:rPr>
                  <w:t xml:space="preserve"> </w:t>
                </w:r>
                <w:r>
                  <w:rPr>
                    <w:b/>
                    <w:color w:val="000000"/>
                    <w:sz w:val="20"/>
                  </w:rPr>
                  <w:t>Lietuvos Respublikos darbo kodekso paskirtis ir reglamentuojami visuomeniniai santykiai</w:t>
                </w:r>
              </w:p>
              <w:p w14:paraId="700D534C" w14:textId="77777777">
                <w:pPr>
                  <w:jc w:val="both"/>
                  <w:rPr>
                    <w:color w:val="000000"/>
                    <w:sz w:val="20"/>
                  </w:rPr>
                </w:pPr>
                <w:r>
                  <w:rPr>
                    <w:color w:val="000000"/>
                    <w:sz w:val="20"/>
                  </w:rPr>
                  <w:t>1. Lietuvos Respublikos darbo kodeksas (toliau – Kodeksas) reglamentuoja individualiuosius darbo santykius, kurie atsiranda sudarius darbo sutartį šio kodekso nustatyta tvarka.</w:t>
                </w:r>
              </w:p>
              <w:p w14:paraId="1BA1A758" w14:textId="77777777">
                <w:pPr>
                  <w:jc w:val="both"/>
                  <w:rPr>
                    <w:color w:val="000000"/>
                    <w:sz w:val="20"/>
                  </w:rPr>
                </w:pPr>
                <w:r>
                  <w:rPr>
                    <w:i/>
                    <w:iCs/>
                    <w:color w:val="000000"/>
                    <w:sz w:val="20"/>
                  </w:rPr>
                  <w:t>Straipsnio dalies pakeitimai:</w:t>
                </w:r>
              </w:p>
              <w:p w14:paraId="239DA513" w14:textId="77777777">
                <w:pPr>
                  <w:jc w:val="both"/>
                  <w:rPr>
                    <w:color w:val="000000"/>
                    <w:sz w:val="20"/>
                  </w:rPr>
                </w:pPr>
                <w:r>
                  <w:rPr>
                    <w:i/>
                    <w:iCs/>
                    <w:color w:val="000000"/>
                    <w:sz w:val="20"/>
                  </w:rPr>
                  <w:t>Nr. </w:t>
                </w:r>
                <w:hyperlink r:id="rId8" w:tgtFrame="_parent" w:history="1">
                  <w:r>
                    <w:rPr>
                      <w:i/>
                      <w:iCs/>
                      <w:color w:val="0000FF"/>
                      <w:sz w:val="20"/>
                      <w:u w:val="single"/>
                    </w:rPr>
                    <w:t>XIV-1189</w:t>
                  </w:r>
                </w:hyperlink>
                <w:r>
                  <w:rPr>
                    <w:i/>
                    <w:iCs/>
                    <w:color w:val="000000"/>
                    <w:sz w:val="20"/>
                  </w:rPr>
                  <w:t>, 2022-06-28, paskelbta TAR 2022-07-11, i. k. 2022-15178</w:t>
                </w:r>
              </w:p>
              <w:p w14:paraId="4A417BD3" w14:textId="77777777">
                <w:pPr>
                  <w:jc w:val="both"/>
                  <w:rPr>
                    <w:color w:val="000000"/>
                    <w:sz w:val="20"/>
                  </w:rPr>
                </w:pPr>
                <w:r>
                  <w:rPr>
                    <w:color w:val="000000"/>
                    <w:sz w:val="20"/>
                  </w:rPr>
                  <w:t>2.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p w14:paraId="18B2DFF3" w14:textId="3D63A27D">
                <w:pPr>
                  <w:jc w:val="both"/>
                  <w:rPr>
                    <w:color w:val="000000"/>
                    <w:sz w:val="20"/>
                  </w:rPr>
                </w:pPr>
                <w:r>
                  <w:rPr>
                    <w:color w:val="000000"/>
                    <w:sz w:val="20"/>
                  </w:rPr>
                  <w:t>3. Šio kodekso ir kitų Lietuvos Respublikos įstatymų nustatytais atvejais šis kodeksas reglamentuoja ir kitų įstatymų reglamentuojamus visuomeninius santykius, atsirandančius asmenims įgyvendinant profesinę, tarnybinę, kūrybinę ar kitokią veiklą.</w:t>
                </w:r>
              </w:p>
            </w:tc>
            <w:tc>
              <w:tcPr>
                <w:tcW w:w="1572" w:type="dxa"/>
                <w:tcBorders>
                  <w:bottom w:val="single" w:sz="4" w:space="0" w:color="auto"/>
                </w:tcBorders>
              </w:tcPr>
              <w:p w14:paraId="214630F1" w14:textId="77777777">
                <w:pPr>
                  <w:jc w:val="both"/>
                  <w:rPr>
                    <w:color w:val="000000"/>
                    <w:sz w:val="20"/>
                  </w:rPr>
                </w:pPr>
                <w:r>
                  <w:rPr>
                    <w:color w:val="000000"/>
                    <w:sz w:val="20"/>
                  </w:rPr>
                  <w:t>Visiškas</w:t>
                </w:r>
              </w:p>
            </w:tc>
          </w:tr>
          <w:tr w14:paraId="2B52BDC7" w14:textId="77777777">
            <w:tc>
              <w:tcPr>
                <w:tcW w:w="8391" w:type="dxa"/>
                <w:tcBorders>
                  <w:bottom w:val="single" w:sz="4" w:space="0" w:color="auto"/>
                </w:tcBorders>
              </w:tcPr>
              <w:p w14:paraId="713398BE" w14:textId="4A20ADB8">
                <w:pPr>
                  <w:jc w:val="both"/>
                  <w:rPr>
                    <w:sz w:val="20"/>
                  </w:rPr>
                </w:pPr>
                <w:r>
                  <w:rPr>
                    <w:sz w:val="20"/>
                  </w:rPr>
                  <w:t>3. 5 straipsnio tikslais ši direktyva taikoma įsidarbinti norintiems asmenims.</w:t>
                </w:r>
              </w:p>
            </w:tc>
            <w:tc>
              <w:tcPr>
                <w:tcW w:w="5347" w:type="dxa"/>
                <w:tcBorders>
                  <w:bottom w:val="single" w:sz="4" w:space="0" w:color="auto"/>
                </w:tcBorders>
              </w:tcPr>
              <w:p w14:paraId="462605E9" w14:textId="52BE8960">
                <w:pPr>
                  <w:jc w:val="both"/>
                  <w:rPr>
                    <w:b/>
                    <w:color w:val="000000"/>
                    <w:sz w:val="20"/>
                  </w:rPr>
                </w:pPr>
                <w:r>
                  <w:rPr>
                    <w:b/>
                    <w:sz w:val="20"/>
                  </w:rPr>
                  <w:t>DK</w:t>
                </w:r>
              </w:p>
              <w:p w14:paraId="3BBD9110" w14:textId="77777777">
                <w:pPr>
                  <w:jc w:val="both"/>
                  <w:rPr>
                    <w:b/>
                    <w:color w:val="000000"/>
                    <w:sz w:val="20"/>
                  </w:rPr>
                </w:pPr>
                <w:r>
                  <w:rPr>
                    <w:b/>
                    <w:color w:val="000000"/>
                    <w:sz w:val="20"/>
                  </w:rPr>
                  <w:t>1 straipsnis.</w:t>
                </w:r>
                <w:r>
                  <w:rPr>
                    <w:color w:val="000000"/>
                    <w:sz w:val="20"/>
                  </w:rPr>
                  <w:t xml:space="preserve"> </w:t>
                </w:r>
                <w:r>
                  <w:rPr>
                    <w:b/>
                    <w:color w:val="000000"/>
                    <w:sz w:val="20"/>
                  </w:rPr>
                  <w:t>Lietuvos Respublikos darbo kodekso paskirtis ir reglamentuojami visuomeniniai santykiai</w:t>
                </w:r>
              </w:p>
              <w:p w14:paraId="7272EF59" w14:textId="3EA9A53C">
                <w:pPr>
                  <w:jc w:val="both"/>
                  <w:rPr>
                    <w:color w:val="000000"/>
                    <w:sz w:val="20"/>
                  </w:rPr>
                </w:pPr>
                <w:r>
                  <w:rPr>
                    <w:color w:val="000000"/>
                    <w:sz w:val="20"/>
                  </w:rPr>
                  <w:t>&lt;...&gt;</w:t>
                </w:r>
              </w:p>
              <w:p w14:paraId="56DEBAD9" w14:textId="77777777">
                <w:pPr>
                  <w:jc w:val="both"/>
                  <w:rPr>
                    <w:color w:val="000000"/>
                    <w:sz w:val="20"/>
                  </w:rPr>
                </w:pPr>
                <w:r>
                  <w:rPr>
                    <w:color w:val="000000"/>
                    <w:sz w:val="20"/>
                  </w:rPr>
                  <w:t>2.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p w14:paraId="7D3208B6" w14:textId="111033BE">
                <w:pPr>
                  <w:jc w:val="both"/>
                  <w:rPr>
                    <w:b/>
                    <w:bCs/>
                    <w:color w:val="000000"/>
                    <w:sz w:val="20"/>
                  </w:rPr>
                </w:pPr>
                <w:r>
                  <w:rPr>
                    <w:b/>
                    <w:bCs/>
                    <w:color w:val="000000"/>
                    <w:sz w:val="20"/>
                  </w:rPr>
                  <w:t>41. straipsnis. Darbo sutarties šalių ikisutartiniai santykiai</w:t>
                </w:r>
              </w:p>
              <w:p w14:paraId="443ABB45" w14:textId="613749FF">
                <w:pPr>
                  <w:jc w:val="both"/>
                  <w:rPr>
                    <w:color w:val="000000"/>
                    <w:sz w:val="20"/>
                  </w:rPr>
                </w:pPr>
                <w:r>
                  <w:rPr>
                    <w:color w:val="000000"/>
                    <w:sz w:val="20"/>
                  </w:rPr>
                  <w:t>1.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Draudžiama iš darbuotojo reikalauti informacijos, kuri nėra susijusi su jo sveikatos būkle, kvalifikacija ar kitomis aplinkybėmis, nesusijusiomis su tiesioginiu darbo funkcijos atlikimu.</w:t>
                </w:r>
              </w:p>
              <w:p w14:paraId="6377A071" w14:textId="5A097558">
                <w:pPr>
                  <w:jc w:val="both"/>
                  <w:rPr>
                    <w:color w:val="000000"/>
                    <w:sz w:val="20"/>
                  </w:rPr>
                </w:pPr>
                <w:r>
                  <w:rPr>
                    <w:color w:val="000000"/>
                    <w:sz w:val="20"/>
                  </w:rPr>
                  <w:t>&lt;...&gt;</w:t>
                </w:r>
              </w:p>
            </w:tc>
            <w:tc>
              <w:tcPr>
                <w:tcW w:w="1572" w:type="dxa"/>
                <w:tcBorders>
                  <w:bottom w:val="single" w:sz="4" w:space="0" w:color="auto"/>
                </w:tcBorders>
              </w:tcPr>
              <w:p w14:paraId="7F52ECC8" w14:textId="7C833025">
                <w:pPr>
                  <w:jc w:val="both"/>
                  <w:rPr>
                    <w:color w:val="000000"/>
                    <w:sz w:val="20"/>
                  </w:rPr>
                </w:pPr>
                <w:r>
                  <w:rPr>
                    <w:color w:val="000000"/>
                    <w:sz w:val="20"/>
                  </w:rPr>
                  <w:t>Visiškas</w:t>
                </w:r>
              </w:p>
            </w:tc>
          </w:tr>
          <w:tr w14:paraId="14AD2C12" w14:textId="77777777">
            <w:tc>
              <w:tcPr>
                <w:tcW w:w="15310" w:type="dxa"/>
                <w:gridSpan w:val="3"/>
                <w:tcBorders>
                  <w:bottom w:val="single" w:sz="4" w:space="0" w:color="auto"/>
                </w:tcBorders>
                <w:shd w:val="clear" w:color="auto" w:fill="D6E3BC" w:themeFill="accent3" w:themeFillTint="66"/>
              </w:tcPr>
              <w:p w14:paraId="04BAFDF4" w14:textId="46CD21C5">
                <w:pPr>
                  <w:jc w:val="both"/>
                  <w:rPr>
                    <w:b/>
                    <w:bCs/>
                    <w:color w:val="000000"/>
                    <w:sz w:val="20"/>
                  </w:rPr>
                </w:pPr>
                <w:r>
                  <w:rPr>
                    <w:b/>
                    <w:bCs/>
                    <w:color w:val="000000"/>
                    <w:sz w:val="20"/>
                  </w:rPr>
                  <w:t>3 straipsnis. Terminų apibrėžtys</w:t>
                </w:r>
              </w:p>
            </w:tc>
          </w:tr>
          <w:tr w14:paraId="55AACF5C" w14:textId="77777777">
            <w:tc>
              <w:tcPr>
                <w:tcW w:w="8391" w:type="dxa"/>
                <w:tcBorders>
                  <w:bottom w:val="nil"/>
                </w:tcBorders>
              </w:tcPr>
              <w:p w14:paraId="18CDEC16" w14:textId="77777777">
                <w:pPr>
                  <w:jc w:val="both"/>
                  <w:textAlignment w:val="baseline"/>
                  <w:rPr>
                    <w:b/>
                    <w:bCs/>
                    <w:sz w:val="20"/>
                  </w:rPr>
                </w:pPr>
                <w:r>
                  <w:rPr>
                    <w:b/>
                    <w:bCs/>
                    <w:sz w:val="20"/>
                  </w:rPr>
                  <w:t>1. Šioje direktyvoje vartojamų terminų apibrėžtys:</w:t>
                </w:r>
              </w:p>
              <w:p w14:paraId="77056366" w14:textId="158E2685">
                <w:pPr>
                  <w:jc w:val="both"/>
                  <w:textAlignment w:val="baseline"/>
                  <w:rPr>
                    <w:sz w:val="20"/>
                  </w:rPr>
                </w:pPr>
                <w:r>
                  <w:rPr>
                    <w:sz w:val="20"/>
                  </w:rPr>
                  <w:t>(a) darbo užmokestis – pagrindinis bazinis arba minimalusis darbo užmokestis arba atlyginimas ir bet koks kitas atlygis grynaisiais arba natūra, kurį darbuotojas tiesiogiai arba netiesiogiai (papildomi arba kintamieji komponentai) gauna iš darbdavio už savo darbą;</w:t>
                </w:r>
              </w:p>
            </w:tc>
            <w:tc>
              <w:tcPr>
                <w:tcW w:w="5347" w:type="dxa"/>
                <w:tcBorders>
                  <w:bottom w:val="nil"/>
                </w:tcBorders>
              </w:tcPr>
              <w:p w14:paraId="5A6E8A0B" w14:textId="4BC03F58">
                <w:pPr>
                  <w:jc w:val="both"/>
                  <w:rPr>
                    <w:b/>
                    <w:color w:val="000000"/>
                    <w:sz w:val="20"/>
                  </w:rPr>
                </w:pPr>
                <w:r>
                  <w:rPr>
                    <w:b/>
                    <w:color w:val="000000"/>
                    <w:sz w:val="20"/>
                  </w:rPr>
                  <w:t>DK</w:t>
                </w:r>
              </w:p>
              <w:p w14:paraId="713DE620" w14:textId="1DD48BFC">
                <w:pPr>
                  <w:jc w:val="both"/>
                  <w:rPr>
                    <w:b/>
                    <w:color w:val="000000"/>
                    <w:sz w:val="20"/>
                  </w:rPr>
                </w:pPr>
                <w:r>
                  <w:rPr>
                    <w:b/>
                    <w:color w:val="000000"/>
                    <w:sz w:val="20"/>
                  </w:rPr>
                  <w:t xml:space="preserve">26 straipsnis. </w:t>
                </w:r>
                <w:r>
                  <w:rPr>
                    <w:b/>
                    <w:bCs/>
                    <w:color w:val="000000"/>
                    <w:sz w:val="20"/>
                  </w:rPr>
                  <w:t>Darbuotojų lyčių lygybė ir nediskriminavimas kitais pagrindais</w:t>
                </w:r>
              </w:p>
              <w:p w14:paraId="65925B6C" w14:textId="795EAD62">
                <w:pPr>
                  <w:jc w:val="both"/>
                  <w:rPr>
                    <w:bCs/>
                    <w:color w:val="000000"/>
                    <w:sz w:val="20"/>
                  </w:rPr>
                </w:pPr>
                <w:r>
                  <w:rPr>
                    <w:bCs/>
                    <w:color w:val="000000"/>
                    <w:sz w:val="20"/>
                  </w:rPr>
                  <w:t>&lt;...&gt;</w:t>
                </w:r>
              </w:p>
              <w:p w14:paraId="617FDD55" w14:textId="2FE454B4">
                <w:pPr>
                  <w:jc w:val="both"/>
                  <w:rPr>
                    <w:color w:val="000000"/>
                    <w:sz w:val="20"/>
                    <w:lang w:eastAsia="lt-LT"/>
                  </w:rPr>
                </w:pPr>
                <w:r>
                  <w:rPr>
                    <w:bCs/>
                    <w:color w:val="000000"/>
                    <w:sz w:val="20"/>
                  </w:rPr>
                  <w:t xml:space="preserve">4. </w:t>
                </w:r>
                <w:r>
                  <w:rPr>
                    <w:bCs/>
                    <w:color w:val="000000"/>
                    <w:sz w:val="20"/>
                    <w:lang w:eastAsia="lt-LT"/>
                  </w:rPr>
                  <w:t>Nagrinėjant diskriminacijos dėl darbo užmokesčio bylas, atlyginimu</w:t>
                </w:r>
                <w:r>
                  <w:rPr>
                    <w:color w:val="000000"/>
                    <w:sz w:val="20"/>
                    <w:lang w:eastAsia="lt-LT"/>
                  </w:rPr>
                  <w:t xml:space="preserve"> už darbą laikomas darbo užmokestis ar bet koks kitas atlygis, įskaitant atlygį grynaisiais pinigais arba natūra, kurį darbuotojas tiesiogiai ar netiesiogiai gauna iš darbdavio už savo darbą.</w:t>
                </w:r>
              </w:p>
              <w:p w14:paraId="5D074506" w14:textId="77777777">
                <w:pPr>
                  <w:jc w:val="both"/>
                  <w:rPr>
                    <w:b/>
                    <w:sz w:val="20"/>
                    <w:lang w:eastAsia="lt-LT"/>
                  </w:rPr>
                </w:pPr>
                <w:r>
                  <w:rPr>
                    <w:b/>
                    <w:sz w:val="20"/>
                    <w:lang w:eastAsia="lt-LT"/>
                  </w:rPr>
                  <w:t>139 straipsnis. Darbo užmokesčio sąvoka</w:t>
                </w:r>
              </w:p>
              <w:p w14:paraId="45106D02" w14:textId="77777777">
                <w:pPr>
                  <w:jc w:val="both"/>
                  <w:rPr>
                    <w:bCs/>
                    <w:sz w:val="20"/>
                    <w:lang w:eastAsia="lt-LT"/>
                  </w:rPr>
                </w:pPr>
                <w:r>
                  <w:rPr>
                    <w:bCs/>
                    <w:sz w:val="20"/>
                    <w:lang w:eastAsia="lt-LT"/>
                  </w:rPr>
                  <w:t>1. Darbo užmokestis – atlyginimas už darbą, darbuotojo atliekamą pagal darbo sutartį.</w:t>
                </w:r>
              </w:p>
              <w:p w14:paraId="2232C9AF" w14:textId="77777777">
                <w:pPr>
                  <w:jc w:val="both"/>
                  <w:rPr>
                    <w:bCs/>
                    <w:sz w:val="20"/>
                    <w:lang w:eastAsia="lt-LT"/>
                  </w:rPr>
                </w:pPr>
                <w:r>
                  <w:rPr>
                    <w:bCs/>
                    <w:sz w:val="20"/>
                    <w:lang w:eastAsia="lt-LT"/>
                  </w:rPr>
                  <w:t>2. Darbuotojo darbo užmokestį sudaro:</w:t>
                </w:r>
              </w:p>
              <w:p w14:paraId="48479DE4" w14:textId="57B5025B">
                <w:pPr>
                  <w:jc w:val="both"/>
                  <w:rPr>
                    <w:bCs/>
                    <w:sz w:val="20"/>
                    <w:lang w:eastAsia="lt-LT"/>
                  </w:rPr>
                </w:pPr>
                <w:r>
                  <w:rPr>
                    <w:bCs/>
                    <w:sz w:val="20"/>
                    <w:lang w:eastAsia="lt-LT"/>
                  </w:rPr>
                  <w:t>1) bazinis (tarifinis) darbo užmokestis (valandinis atlygis arba mėnesinė alga, arba pareiginės algos pastovioji dalis);</w:t>
                </w:r>
              </w:p>
              <w:p w14:paraId="126E7C95" w14:textId="77777777">
                <w:pPr>
                  <w:jc w:val="both"/>
                  <w:rPr>
                    <w:bCs/>
                    <w:sz w:val="20"/>
                    <w:lang w:eastAsia="lt-LT"/>
                  </w:rPr>
                </w:pPr>
                <w:r>
                  <w:rPr>
                    <w:bCs/>
                    <w:i/>
                    <w:iCs/>
                    <w:sz w:val="20"/>
                    <w:lang w:eastAsia="lt-LT"/>
                  </w:rPr>
                  <w:t>Straipsnio punkto pakeitimai:</w:t>
                </w:r>
              </w:p>
              <w:p w14:paraId="43D1F00A" w14:textId="58F560E1">
                <w:pPr>
                  <w:jc w:val="both"/>
                  <w:rPr>
                    <w:bCs/>
                    <w:sz w:val="20"/>
                    <w:lang w:eastAsia="lt-LT"/>
                  </w:rPr>
                </w:pPr>
                <w:r>
                  <w:rPr>
                    <w:bCs/>
                    <w:i/>
                    <w:iCs/>
                    <w:sz w:val="20"/>
                    <w:lang w:eastAsia="lt-LT"/>
                  </w:rPr>
                  <w:t>Nr. </w:t>
                </w:r>
                <w:hyperlink r:id="rId9" w:tgtFrame="_parent" w:history="1">
                  <w:r>
                    <w:rPr>
                      <w:bCs/>
                      <w:i/>
                      <w:iCs/>
                      <w:color w:val="0000FF"/>
                      <w:sz w:val="20"/>
                      <w:u w:val="single"/>
                      <w:lang w:eastAsia="lt-LT"/>
                    </w:rPr>
                    <w:t>XIII-2327</w:t>
                  </w:r>
                </w:hyperlink>
                <w:r>
                  <w:rPr>
                    <w:bCs/>
                    <w:i/>
                    <w:iCs/>
                    <w:sz w:val="20"/>
                    <w:lang w:eastAsia="lt-LT"/>
                  </w:rPr>
                  <w:t>, 2019-07-11, paskelbta TAR 2019-07-26, i. k. 2019-12397</w:t>
                </w:r>
              </w:p>
              <w:p w14:paraId="7E81129C" w14:textId="77777777">
                <w:pPr>
                  <w:jc w:val="both"/>
                  <w:rPr>
                    <w:bCs/>
                    <w:sz w:val="20"/>
                    <w:lang w:eastAsia="lt-LT"/>
                  </w:rPr>
                </w:pPr>
                <w:r>
                  <w:rPr>
                    <w:bCs/>
                    <w:sz w:val="20"/>
                    <w:lang w:eastAsia="lt-LT"/>
                  </w:rPr>
                  <w:t>2) papildoma darbo užmokesčio dalis, nustatyta šalių susitarimu ar mokama pagal darbo teisės normas ar darbovietėje taikomą darbo apmokėjimo sistemą;</w:t>
                </w:r>
              </w:p>
              <w:p w14:paraId="38B3E242" w14:textId="77777777">
                <w:pPr>
                  <w:jc w:val="both"/>
                  <w:rPr>
                    <w:bCs/>
                    <w:sz w:val="20"/>
                    <w:lang w:eastAsia="lt-LT"/>
                  </w:rPr>
                </w:pPr>
                <w:r>
                  <w:rPr>
                    <w:bCs/>
                    <w:sz w:val="20"/>
                    <w:lang w:eastAsia="lt-LT"/>
                  </w:rPr>
                  <w:t>3) priedai už įgytą kvalifikaciją;</w:t>
                </w:r>
              </w:p>
              <w:p w14:paraId="67FBD3EB" w14:textId="77777777">
                <w:pPr>
                  <w:jc w:val="both"/>
                  <w:rPr>
                    <w:bCs/>
                    <w:sz w:val="20"/>
                    <w:lang w:eastAsia="lt-LT"/>
                  </w:rPr>
                </w:pPr>
                <w:r>
                  <w:rPr>
                    <w:bCs/>
                    <w:sz w:val="20"/>
                    <w:lang w:eastAsia="lt-LT"/>
                  </w:rPr>
                  <w:t>4) priemokos už papildomą darbą ar papildomų pareigų ar užduočių vykdymą;</w:t>
                </w:r>
              </w:p>
              <w:p w14:paraId="42FDC553" w14:textId="77777777">
                <w:pPr>
                  <w:jc w:val="both"/>
                  <w:rPr>
                    <w:bCs/>
                    <w:sz w:val="20"/>
                    <w:lang w:eastAsia="lt-LT"/>
                  </w:rPr>
                </w:pPr>
                <w:r>
                  <w:rPr>
                    <w:bCs/>
                    <w:sz w:val="20"/>
                    <w:lang w:eastAsia="lt-LT"/>
                  </w:rPr>
                  <w:t>5) premijos už atliktą darbą, nustatytos šalių susitarimu ar mokamos pagal darbo teisės normas ar darbovietėje taikomą darbo apmokėjimo sistemą;</w:t>
                </w:r>
              </w:p>
              <w:p w14:paraId="1C87CAA9" w14:textId="77777777">
                <w:pPr>
                  <w:jc w:val="both"/>
                  <w:rPr>
                    <w:bCs/>
                    <w:sz w:val="20"/>
                    <w:lang w:eastAsia="lt-LT"/>
                  </w:rPr>
                </w:pPr>
                <w:r>
                  <w:rPr>
                    <w:bCs/>
                    <w:sz w:val="20"/>
                    <w:lang w:eastAsia="lt-LT"/>
                  </w:rPr>
                  <w:t>6) premijos, darbdavio iniciatyva skiriamos paskatinti darbuotoją už gerai atliktą darbą, jo ar įmonės, padalinio ar darbuotojų grupės veiklą ar veiklos rezultatus.</w:t>
                </w:r>
              </w:p>
              <w:p w14:paraId="20767024" w14:textId="77777777">
                <w:pPr>
                  <w:jc w:val="both"/>
                  <w:rPr>
                    <w:bCs/>
                    <w:sz w:val="20"/>
                    <w:lang w:eastAsia="lt-LT"/>
                  </w:rPr>
                </w:pPr>
                <w:r>
                  <w:rPr>
                    <w:bCs/>
                    <w:sz w:val="20"/>
                    <w:lang w:eastAsia="lt-LT"/>
                  </w:rPr>
                  <w:t>3.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bCs/>
                    <w:sz w:val="20"/>
                    <w:vertAlign w:val="superscript"/>
                    <w:lang w:eastAsia="lt-LT"/>
                  </w:rPr>
                  <w:t>8 </w:t>
                </w:r>
                <w:r>
                  <w:rPr>
                    <w:bCs/>
                    <w:sz w:val="20"/>
                    <w:lang w:eastAsia="lt-LT"/>
                  </w:rPr>
                  <w:t> straipsniuose nurodytus prieglobsčio prašytojus ir užsieniečius, kurie turi teisę dirbti.</w:t>
                </w:r>
              </w:p>
              <w:p w14:paraId="32ADF79D" w14:textId="77777777">
                <w:pPr>
                  <w:jc w:val="both"/>
                  <w:rPr>
                    <w:bCs/>
                    <w:sz w:val="20"/>
                    <w:lang w:eastAsia="lt-LT"/>
                  </w:rPr>
                </w:pPr>
                <w:r>
                  <w:rPr>
                    <w:bCs/>
                    <w:i/>
                    <w:iCs/>
                    <w:sz w:val="20"/>
                    <w:lang w:eastAsia="lt-LT"/>
                  </w:rPr>
                  <w:t>Straipsnio dalies pakeitimai:</w:t>
                </w:r>
              </w:p>
              <w:p w14:paraId="57011009" w14:textId="77777777">
                <w:pPr>
                  <w:jc w:val="both"/>
                  <w:rPr>
                    <w:bCs/>
                    <w:sz w:val="20"/>
                    <w:lang w:eastAsia="lt-LT"/>
                  </w:rPr>
                </w:pPr>
                <w:r>
                  <w:rPr>
                    <w:bCs/>
                    <w:i/>
                    <w:iCs/>
                    <w:sz w:val="20"/>
                    <w:lang w:eastAsia="lt-LT"/>
                  </w:rPr>
                  <w:t>Nr. </w:t>
                </w:r>
                <w:hyperlink r:id="rId10" w:tgtFrame="_parent" w:history="1">
                  <w:r>
                    <w:rPr>
                      <w:bCs/>
                      <w:i/>
                      <w:iCs/>
                      <w:color w:val="0000FF"/>
                      <w:sz w:val="20"/>
                      <w:u w:val="single"/>
                      <w:lang w:eastAsia="lt-LT"/>
                    </w:rPr>
                    <w:t>XIV-435</w:t>
                  </w:r>
                </w:hyperlink>
                <w:r>
                  <w:rPr>
                    <w:bCs/>
                    <w:i/>
                    <w:iCs/>
                    <w:sz w:val="20"/>
                    <w:lang w:eastAsia="lt-LT"/>
                  </w:rPr>
                  <w:t>, 2021-06-22, paskelbta TAR 2021-07-08, i. k. 2021-15520</w:t>
                </w:r>
              </w:p>
              <w:p w14:paraId="7E9DE6DF" w14:textId="170B0328">
                <w:pPr>
                  <w:jc w:val="both"/>
                  <w:rPr>
                    <w:bCs/>
                    <w:sz w:val="20"/>
                    <w:lang w:eastAsia="lt-LT"/>
                  </w:rPr>
                </w:pPr>
                <w:r>
                  <w:rPr>
                    <w:bCs/>
                    <w:i/>
                    <w:iCs/>
                    <w:sz w:val="20"/>
                    <w:lang w:eastAsia="lt-LT"/>
                  </w:rPr>
                  <w:t>Nr. </w:t>
                </w:r>
                <w:hyperlink r:id="rId11" w:tgtFrame="_parent" w:history="1">
                  <w:r>
                    <w:rPr>
                      <w:bCs/>
                      <w:i/>
                      <w:iCs/>
                      <w:color w:val="0000FF"/>
                      <w:sz w:val="20"/>
                      <w:u w:val="single"/>
                      <w:lang w:eastAsia="lt-LT"/>
                    </w:rPr>
                    <w:t>XIV-1187</w:t>
                  </w:r>
                </w:hyperlink>
                <w:r>
                  <w:rPr>
                    <w:bCs/>
                    <w:i/>
                    <w:iCs/>
                    <w:sz w:val="20"/>
                    <w:lang w:eastAsia="lt-LT"/>
                  </w:rPr>
                  <w:t>, 2022-06-28, paskelbta TAR 2022-07-11, i. k. 2022-15174</w:t>
                </w:r>
              </w:p>
              <w:p w14:paraId="304E22E1" w14:textId="1F39106D">
                <w:pPr>
                  <w:jc w:val="both"/>
                  <w:rPr>
                    <w:sz w:val="22"/>
                    <w:szCs w:val="22"/>
                    <w:lang w:eastAsia="lt-LT"/>
                  </w:rPr>
                </w:pPr>
                <w:r>
                  <w:rPr>
                    <w:sz w:val="20"/>
                    <w:lang w:eastAsia="lt-LT"/>
                  </w:rPr>
                  <w:t>&lt;...&gt;</w:t>
                </w:r>
              </w:p>
              <w:p w14:paraId="21243462" w14:textId="6BABF95C">
                <w:pPr>
                  <w:jc w:val="both"/>
                  <w:rPr>
                    <w:b/>
                    <w:bCs/>
                    <w:color w:val="000000"/>
                    <w:sz w:val="20"/>
                  </w:rPr>
                </w:pPr>
                <w:r>
                  <w:rPr>
                    <w:b/>
                    <w:color w:val="000000"/>
                    <w:sz w:val="20"/>
                  </w:rPr>
                  <w:t xml:space="preserve">140 straipsnis. </w:t>
                </w:r>
                <w:r>
                  <w:rPr>
                    <w:b/>
                    <w:bCs/>
                    <w:color w:val="000000"/>
                    <w:sz w:val="20"/>
                  </w:rPr>
                  <w:t>Darbo užmokesčio nustatymas</w:t>
                </w:r>
              </w:p>
              <w:p w14:paraId="34E0866C" w14:textId="3D47B85C">
                <w:pPr>
                  <w:jc w:val="both"/>
                  <w:rPr>
                    <w:color w:val="000000"/>
                    <w:sz w:val="20"/>
                  </w:rPr>
                </w:pPr>
                <w:r>
                  <w:rPr>
                    <w:color w:val="000000"/>
                    <w:sz w:val="20"/>
                  </w:rPr>
                  <w:t>&lt;...&gt;</w:t>
                </w:r>
              </w:p>
              <w:p w14:paraId="38653E77" w14:textId="1CBA44FF">
                <w:pPr>
                  <w:jc w:val="both"/>
                  <w:rPr>
                    <w:bCs/>
                    <w:color w:val="000000"/>
                    <w:sz w:val="20"/>
                  </w:rPr>
                </w:pPr>
                <w:r>
                  <w:rPr>
                    <w:bCs/>
                    <w:color w:val="000000"/>
                    <w:sz w:val="20"/>
                  </w:rPr>
                  <w:t>6.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w:t>
                </w:r>
              </w:p>
              <w:p w14:paraId="41C2B42C" w14:textId="77777777">
                <w:pPr>
                  <w:rPr>
                    <w:b/>
                    <w:color w:val="000000"/>
                    <w:sz w:val="20"/>
                  </w:rPr>
                </w:pPr>
                <w:r>
                  <w:rPr>
                    <w:b/>
                    <w:bCs/>
                    <w:color w:val="000000"/>
                    <w:sz w:val="20"/>
                  </w:rPr>
                  <w:t>41 straipsnis. Minimalusis darbo užmokestis</w:t>
                </w:r>
              </w:p>
              <w:p w14:paraId="6586DA18" w14:textId="77777777">
                <w:pPr>
                  <w:jc w:val="both"/>
                  <w:rPr>
                    <w:bCs/>
                    <w:color w:val="000000"/>
                    <w:sz w:val="20"/>
                  </w:rPr>
                </w:pPr>
                <w:r>
                  <w:rPr>
                    <w:bCs/>
                    <w:color w:val="000000"/>
                    <w:sz w:val="20"/>
                  </w:rPr>
                  <w:t>1. Darbuotojo darbo užmokestis per mėnesį negali būti mažesnis, negu šio straipsnio nustatyta tvarka nustatytas minimalusis darbo užmokestis.</w:t>
                </w:r>
              </w:p>
              <w:p w14:paraId="24C3467A" w14:textId="13B6CC38">
                <w:pPr>
                  <w:jc w:val="both"/>
                  <w:rPr>
                    <w:b/>
                    <w:color w:val="000000"/>
                    <w:sz w:val="20"/>
                  </w:rPr>
                </w:pPr>
                <w:r>
                  <w:rPr>
                    <w:bCs/>
                    <w:color w:val="000000"/>
                    <w:sz w:val="20"/>
                  </w:rPr>
                  <w:t>2.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kvalifikacinių įgūdžių ar profesinių gebėjimų reikalavimai.</w:t>
                </w:r>
              </w:p>
            </w:tc>
            <w:tc>
              <w:tcPr>
                <w:tcW w:w="1572" w:type="dxa"/>
                <w:tcBorders>
                  <w:bottom w:val="nil"/>
                </w:tcBorders>
              </w:tcPr>
              <w:p w14:paraId="72738B10" w14:textId="012C92C6">
                <w:pPr>
                  <w:jc w:val="both"/>
                  <w:rPr>
                    <w:color w:val="000000"/>
                    <w:sz w:val="20"/>
                  </w:rPr>
                </w:pPr>
                <w:r>
                  <w:rPr>
                    <w:color w:val="000000"/>
                    <w:sz w:val="20"/>
                  </w:rPr>
                  <w:t>Visiškas</w:t>
                </w:r>
              </w:p>
            </w:tc>
          </w:tr>
          <w:tr w14:paraId="5FD0C947" w14:textId="77777777">
            <w:tc>
              <w:tcPr>
                <w:tcW w:w="8391" w:type="dxa"/>
                <w:tcBorders>
                  <w:bottom w:val="nil"/>
                </w:tcBorders>
              </w:tcPr>
              <w:p w14:paraId="5BA20728" w14:textId="35BA1B39">
                <w:pPr>
                  <w:jc w:val="both"/>
                  <w:textAlignment w:val="baseline"/>
                  <w:rPr>
                    <w:sz w:val="20"/>
                  </w:rPr>
                </w:pPr>
                <w:r>
                  <w:rPr>
                    <w:sz w:val="20"/>
                  </w:rPr>
                  <w:t>(b) darbo užmokesčio dydis – metinis užmokestis ir atitinkamas valandinis atlyginimas neatskaičius mokesčių;</w:t>
                </w:r>
              </w:p>
            </w:tc>
            <w:tc>
              <w:tcPr>
                <w:tcW w:w="5347" w:type="dxa"/>
                <w:tcBorders>
                  <w:bottom w:val="nil"/>
                </w:tcBorders>
              </w:tcPr>
              <w:p w14:paraId="4F0AFDB0" w14:textId="2D9DD4CA">
                <w:pPr>
                  <w:jc w:val="both"/>
                  <w:rPr>
                    <w:b/>
                    <w:color w:val="000000"/>
                    <w:sz w:val="20"/>
                  </w:rPr>
                </w:pPr>
                <w:r>
                  <w:rPr>
                    <w:b/>
                    <w:color w:val="000000"/>
                    <w:sz w:val="20"/>
                  </w:rPr>
                  <w:t>DK projektas</w:t>
                </w:r>
              </w:p>
              <w:p w14:paraId="0827B558" w14:textId="3E19E4F5">
                <w:pPr>
                  <w:jc w:val="both"/>
                  <w:rPr>
                    <w:b/>
                    <w:color w:val="000000"/>
                    <w:sz w:val="20"/>
                  </w:rPr>
                </w:pPr>
                <w:r>
                  <w:rPr>
                    <w:b/>
                    <w:color w:val="000000"/>
                    <w:sz w:val="20"/>
                  </w:rPr>
                  <w:t>16 straipsnis. 148 straipsnio pakeitimas</w:t>
                </w:r>
              </w:p>
              <w:p w14:paraId="3D5F9CAC" w14:textId="77777777">
                <w:pPr>
                  <w:jc w:val="both"/>
                  <w:rPr>
                    <w:b/>
                    <w:color w:val="000000"/>
                    <w:sz w:val="20"/>
                  </w:rPr>
                </w:pPr>
                <w:r>
                  <w:rPr>
                    <w:b/>
                    <w:color w:val="000000"/>
                    <w:sz w:val="20"/>
                  </w:rPr>
                  <w:t>Papildyti 148 straipsnį 4-9 dalimis:</w:t>
                </w:r>
              </w:p>
              <w:p w14:paraId="58DADF1E" w14:textId="77777777">
                <w:pPr>
                  <w:jc w:val="both"/>
                  <w:rPr>
                    <w:b/>
                    <w:color w:val="000000"/>
                    <w:sz w:val="20"/>
                  </w:rPr>
                </w:pPr>
                <w:r>
                  <w:rPr>
                    <w:b/>
                    <w:color w:val="000000"/>
                    <w:sz w:val="20"/>
                  </w:rPr>
                  <w:t>„4. Darbuotojas turi teisę raštu iš darbdavio gauti duomenis apie šiuos rodiklius: savo metinį darbo užmokestį, mėnesio vidutinį valandinį ir metų vidutinį valandinį darbo užmokestį, taip pat darbdavio darbuotojų vidutinį metinį darbo užmokestį, mėnesio vidutinį valandinį ir metų vidutinį valandinį darbo užmokestį pagal lytį toje pačioje pareigybių grupėje, kuriai priskirta jo pareigybė. Darbdaviai privalo kasmet informuoti darbuotojus apie jų teisę gauti šiuos duomenis apie rodiklius ir apie jų teikimo tvarką.</w:t>
                </w:r>
              </w:p>
              <w:p w14:paraId="722C5A7B" w14:textId="7A3DCC10">
                <w:pPr>
                  <w:jc w:val="both"/>
                  <w:rPr>
                    <w:b/>
                    <w:color w:val="000000"/>
                    <w:sz w:val="20"/>
                  </w:rPr>
                </w:pPr>
                <w:r>
                  <w:rPr>
                    <w:b/>
                    <w:color w:val="000000"/>
                    <w:sz w:val="20"/>
                  </w:rPr>
                  <w:t>5. Darbdavys darbuotojo prašymu privalo iš Valstybinio socialinio draudimo fondo valdybos pagal šio kodekso 23 straipsnio 5 dalį gautus duomenis apie tokius rodiklius kaip darbuotojo metinis darbo užmokestis, mėnesinis vidutinis valandinis ir metų vidutinis valandinis darbo užmokestis, taip pat darbdavio darbuotojų vidutinis metinis darbo užmokestis, mėnesio vidutinis valandinis ir metų vidutinis valandinis darbo užmokestis pagal lytį toje pačioje pareigybių grupėje, kuriai priskirta jo pareigybė, pateikti jam raštu per vieną mėnesį nuo jo prašymo pateikti duomenis apie šio straipsnio 4 dalyje nurodytus rodiklius gavimo dienos. Jei iš darbdavio raštu gauti duomenys apie šio straipsnio 4 dalyje nurodytus rodiklius yra netikslūs ar neišsamūs, darbuotojas turi teisę asmeniškai ar per darbuotojų atstovus reikalauti, kad darbdavys pateiktų papildomų paaiškinimų, ir gauti pagrįstą darbdavio atsakymą. Papildomų paaiškinimų teikimas negali trukti ilgiau kaip 2 mėnesius nuo darbuotojo prašymo pateikti duomenis apie šio straipsnio 4 dalyje nurodytus rodiklius gavimo dienos. Laikinieji darbuotojai duomenis apie šio straipsnio 4 dalyje nurodytus rodiklius ir paaiškinimus gali prašyti pateikti laikinojo darbo įmonę arba laikinojo darbo naudotoją šioje dalyje nurodytais terminais.</w:t>
                </w:r>
              </w:p>
              <w:p w14:paraId="3AFB1CCA" w14:textId="5A457016">
                <w:pPr>
                  <w:jc w:val="both"/>
                  <w:rPr>
                    <w:b/>
                    <w:color w:val="000000"/>
                    <w:sz w:val="20"/>
                  </w:rPr>
                </w:pPr>
                <w:r>
                  <w:rPr>
                    <w:b/>
                    <w:color w:val="000000"/>
                    <w:sz w:val="20"/>
                  </w:rPr>
                  <w:t>&lt;...&gt;“</w:t>
                </w:r>
              </w:p>
              <w:p w14:paraId="73CA826F" w14:textId="277F3BA5">
                <w:pPr>
                  <w:jc w:val="both"/>
                  <w:rPr>
                    <w:b/>
                    <w:color w:val="000000"/>
                    <w:sz w:val="20"/>
                  </w:rPr>
                </w:pPr>
                <w:r>
                  <w:rPr>
                    <w:b/>
                    <w:color w:val="000000"/>
                    <w:sz w:val="20"/>
                  </w:rPr>
                  <w:t>DK</w:t>
                </w:r>
              </w:p>
              <w:p w14:paraId="54650697" w14:textId="77777777">
                <w:pPr>
                  <w:rPr>
                    <w:b/>
                    <w:bCs/>
                    <w:sz w:val="20"/>
                  </w:rPr>
                </w:pPr>
                <w:r>
                  <w:rPr>
                    <w:b/>
                    <w:bCs/>
                    <w:sz w:val="20"/>
                  </w:rPr>
                  <w:t>26 straipsnis. Darbuotojų lyčių lygybė ir nediskriminavimas kitais pagrindais</w:t>
                </w:r>
              </w:p>
              <w:p w14:paraId="42BAA5BC" w14:textId="77777777">
                <w:pPr>
                  <w:rPr>
                    <w:bCs/>
                    <w:sz w:val="20"/>
                    <w:u w:val="single"/>
                  </w:rPr>
                </w:pPr>
                <w:r>
                  <w:rPr>
                    <w:b/>
                    <w:bCs/>
                    <w:sz w:val="20"/>
                  </w:rPr>
                  <w:t>&lt;...&gt;</w:t>
                </w:r>
              </w:p>
              <w:p w14:paraId="0B018557" w14:textId="0D74FB69">
                <w:pPr>
                  <w:jc w:val="both"/>
                  <w:rPr>
                    <w:b/>
                    <w:color w:val="000000"/>
                    <w:sz w:val="20"/>
                  </w:rPr>
                </w:pPr>
                <w:r>
                  <w:rPr>
                    <w:bCs/>
                    <w:color w:val="000000"/>
                    <w:sz w:val="20"/>
                  </w:rPr>
                  <w:t>4. Nagrinėjant diskriminacijos dėl darbo užmokesčio bylas, atlyginimu už darbą laikomas darbo užmokestis ar bet koks kitas atlygis, įskaitant atlygį grynaisiais pinigais arba natūra, kurį darbuotojas tiesiogiai ar netiesiogiai gauna iš darbdavio už savo darbą.</w:t>
                </w:r>
              </w:p>
              <w:p w14:paraId="3E5E5DDC" w14:textId="1956E6A0">
                <w:pPr>
                  <w:jc w:val="both"/>
                  <w:rPr>
                    <w:b/>
                    <w:bCs/>
                    <w:sz w:val="20"/>
                  </w:rPr>
                </w:pPr>
                <w:r>
                  <w:rPr>
                    <w:b/>
                    <w:sz w:val="20"/>
                  </w:rPr>
                  <w:t>140 straipsnis.</w:t>
                </w:r>
                <w:r>
                  <w:rPr>
                    <w:bCs/>
                    <w:sz w:val="20"/>
                  </w:rPr>
                  <w:t xml:space="preserve"> </w:t>
                </w:r>
                <w:r>
                  <w:rPr>
                    <w:b/>
                    <w:bCs/>
                    <w:sz w:val="20"/>
                  </w:rPr>
                  <w:t>Darbo užmokesčio nustatymas</w:t>
                </w:r>
              </w:p>
              <w:p w14:paraId="22C8FE64" w14:textId="66B33BD8">
                <w:pPr>
                  <w:jc w:val="both"/>
                  <w:rPr>
                    <w:b/>
                    <w:bCs/>
                    <w:sz w:val="20"/>
                  </w:rPr>
                </w:pPr>
                <w:r>
                  <w:rPr>
                    <w:b/>
                    <w:bCs/>
                    <w:sz w:val="20"/>
                  </w:rPr>
                  <w:t>&lt;...&gt;</w:t>
                </w:r>
              </w:p>
              <w:p w14:paraId="71F96FE1" w14:textId="72A94FDC">
                <w:pPr>
                  <w:jc w:val="both"/>
                  <w:rPr>
                    <w:bCs/>
                    <w:sz w:val="20"/>
                    <w:u w:val="single"/>
                  </w:rPr>
                </w:pPr>
                <w:r>
                  <w:rPr>
                    <w:bCs/>
                    <w:sz w:val="20"/>
                  </w:rPr>
                  <w:t>6.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w:t>
                </w:r>
              </w:p>
            </w:tc>
            <w:tc>
              <w:tcPr>
                <w:tcW w:w="1572" w:type="dxa"/>
                <w:tcBorders>
                  <w:bottom w:val="nil"/>
                </w:tcBorders>
              </w:tcPr>
              <w:p w14:paraId="7A29EFBC" w14:textId="080C7647">
                <w:pPr>
                  <w:jc w:val="both"/>
                  <w:rPr>
                    <w:color w:val="000000"/>
                    <w:sz w:val="20"/>
                  </w:rPr>
                </w:pPr>
                <w:r>
                  <w:rPr>
                    <w:color w:val="000000"/>
                    <w:sz w:val="20"/>
                  </w:rPr>
                  <w:t>Visiškas</w:t>
                </w:r>
              </w:p>
              <w:p w14:paraId="09460F97" w14:textId="0D40D593">
                <w:pPr>
                  <w:jc w:val="both"/>
                  <w:rPr>
                    <w:color w:val="000000"/>
                    <w:sz w:val="20"/>
                  </w:rPr>
                </w:pPr>
              </w:p>
            </w:tc>
          </w:tr>
          <w:tr w14:paraId="38CC3DDD" w14:textId="77777777">
            <w:tc>
              <w:tcPr>
                <w:tcW w:w="8391" w:type="dxa"/>
                <w:tcBorders>
                  <w:bottom w:val="nil"/>
                </w:tcBorders>
              </w:tcPr>
              <w:p w14:paraId="1C98F265" w14:textId="1781BE7D">
                <w:pPr>
                  <w:jc w:val="both"/>
                  <w:textAlignment w:val="baseline"/>
                  <w:rPr>
                    <w:sz w:val="20"/>
                  </w:rPr>
                </w:pPr>
                <w:r>
                  <w:rPr>
                    <w:sz w:val="20"/>
                  </w:rPr>
                  <w:t>(c) vyrų ir moterų darbo užmokesčio atotrūkis – darbdavio darbuotojoms moterims ir darbuotojams vyrams mokamo vidutinio darbo užmokesčio dydžio skirtumas, išreikštas vidutinio vyrų darbo užmokesčio dydžio procentine dalimi;</w:t>
                </w:r>
              </w:p>
            </w:tc>
            <w:tc>
              <w:tcPr>
                <w:tcW w:w="5347" w:type="dxa"/>
                <w:tcBorders>
                  <w:bottom w:val="nil"/>
                </w:tcBorders>
              </w:tcPr>
              <w:p w14:paraId="25516413" w14:textId="77777777">
                <w:pPr>
                  <w:jc w:val="both"/>
                  <w:rPr>
                    <w:b/>
                    <w:bCs/>
                    <w:sz w:val="20"/>
                  </w:rPr>
                </w:pPr>
                <w:r>
                  <w:rPr>
                    <w:b/>
                    <w:bCs/>
                    <w:sz w:val="20"/>
                  </w:rPr>
                  <w:t>Moterų ir vyrų darbo užmokesčio atotrūkio statistinio rodiklio skaičiavimo metodika</w:t>
                </w:r>
              </w:p>
              <w:p w14:paraId="3297D333" w14:textId="0416DB2E">
                <w:pPr>
                  <w:jc w:val="both"/>
                  <w:rPr>
                    <w:sz w:val="20"/>
                  </w:rPr>
                </w:pPr>
                <w:r>
                  <w:rPr>
                    <w:sz w:val="20"/>
                  </w:rPr>
                  <w:t>7.7. punktas. Moterų ir vyrų darbo užmokesčio atotrūkis – santykinis arba absoliutusis vyrų ir moterų darbo užmokesčio skirtumas.</w:t>
                </w:r>
              </w:p>
            </w:tc>
            <w:tc>
              <w:tcPr>
                <w:tcW w:w="1572" w:type="dxa"/>
                <w:tcBorders>
                  <w:bottom w:val="nil"/>
                </w:tcBorders>
              </w:tcPr>
              <w:p w14:paraId="0E6E1DF0" w14:textId="77777777">
                <w:pPr>
                  <w:jc w:val="both"/>
                  <w:rPr>
                    <w:color w:val="000000"/>
                    <w:sz w:val="20"/>
                  </w:rPr>
                </w:pPr>
                <w:r>
                  <w:rPr>
                    <w:color w:val="000000"/>
                    <w:sz w:val="20"/>
                  </w:rPr>
                  <w:t>Visiškas</w:t>
                </w:r>
              </w:p>
              <w:p w14:paraId="058E2273" w14:textId="4BAC5112">
                <w:pPr>
                  <w:jc w:val="both"/>
                  <w:rPr>
                    <w:color w:val="000000"/>
                    <w:sz w:val="20"/>
                  </w:rPr>
                </w:pPr>
              </w:p>
            </w:tc>
          </w:tr>
          <w:tr w14:paraId="7B3BBA75" w14:textId="77777777">
            <w:tc>
              <w:tcPr>
                <w:tcW w:w="8391" w:type="dxa"/>
                <w:tcBorders>
                  <w:bottom w:val="nil"/>
                </w:tcBorders>
                <w:shd w:val="clear" w:color="auto" w:fill="FFFFFF" w:themeFill="background1"/>
              </w:tcPr>
              <w:p w14:paraId="1FA2AAFE" w14:textId="46D9DB62">
                <w:pPr>
                  <w:jc w:val="both"/>
                  <w:textAlignment w:val="baseline"/>
                  <w:rPr>
                    <w:sz w:val="20"/>
                  </w:rPr>
                </w:pPr>
                <w:r>
                  <w:rPr>
                    <w:sz w:val="20"/>
                  </w:rPr>
                  <w:t>(d) darbo užmokesčio dydžio mediana – darbdavio darbuotojų gaunamo užmokesčio, už kurį didesnį užmokestį ir mažesnį užmokestį gaunančių darbuotojų yra po 50 procentų, dydis;</w:t>
                </w:r>
              </w:p>
            </w:tc>
            <w:tc>
              <w:tcPr>
                <w:tcW w:w="5347" w:type="dxa"/>
                <w:tcBorders>
                  <w:bottom w:val="nil"/>
                </w:tcBorders>
                <w:shd w:val="clear" w:color="auto" w:fill="FFFFFF" w:themeFill="background1"/>
              </w:tcPr>
              <w:p w14:paraId="3E86964F" w14:textId="3BEF3823">
                <w:pPr>
                  <w:jc w:val="both"/>
                  <w:rPr>
                    <w:sz w:val="20"/>
                  </w:rPr>
                </w:pPr>
                <w:r>
                  <w:rPr>
                    <w:sz w:val="20"/>
                  </w:rPr>
                  <w:t>Bus nustatoma poįstatyminiame teisės akte</w:t>
                </w:r>
              </w:p>
            </w:tc>
            <w:tc>
              <w:tcPr>
                <w:tcW w:w="1572" w:type="dxa"/>
                <w:tcBorders>
                  <w:bottom w:val="nil"/>
                </w:tcBorders>
                <w:shd w:val="clear" w:color="auto" w:fill="FFFFFF" w:themeFill="background1"/>
              </w:tcPr>
              <w:p w14:paraId="4C412BD7" w14:textId="3184B81D">
                <w:pPr>
                  <w:jc w:val="both"/>
                  <w:rPr>
                    <w:color w:val="000000"/>
                    <w:sz w:val="20"/>
                    <w:highlight w:val="yellow"/>
                  </w:rPr>
                </w:pPr>
                <w:r>
                  <w:rPr>
                    <w:color w:val="000000"/>
                    <w:sz w:val="20"/>
                  </w:rPr>
                  <w:t xml:space="preserve">Dalinis, Visiškas, kai Lietuvos Respublikos socialinės apsaugos ir darbo ministerija (toliau – SADM) priims poįstatyminius teisės aktus iki 2026-06-06 </w:t>
                </w:r>
              </w:p>
            </w:tc>
          </w:tr>
          <w:tr w14:paraId="1166AC26" w14:textId="77777777">
            <w:tc>
              <w:tcPr>
                <w:tcW w:w="8391" w:type="dxa"/>
                <w:tcBorders>
                  <w:bottom w:val="nil"/>
                </w:tcBorders>
                <w:shd w:val="clear" w:color="auto" w:fill="FFFFFF" w:themeFill="background1"/>
              </w:tcPr>
              <w:p w14:paraId="10FC49F0" w14:textId="63624E3B">
                <w:pPr>
                  <w:jc w:val="both"/>
                  <w:textAlignment w:val="baseline"/>
                  <w:rPr>
                    <w:sz w:val="20"/>
                  </w:rPr>
                </w:pPr>
                <w:r>
                  <w:rPr>
                    <w:sz w:val="20"/>
                  </w:rPr>
                  <w:t>(e) vyrų ir moterų darbo užmokesčio atotrūkio mediana – darbdavio darbuotojų moterų ir darbuotojų vyrų darbo užmokesčio dydžio medianų skirtumas, išreikštas darbuotojų vyrų darbo užmokesčio dydžio medianos procentine dalimi;</w:t>
                </w:r>
              </w:p>
            </w:tc>
            <w:tc>
              <w:tcPr>
                <w:tcW w:w="5347" w:type="dxa"/>
                <w:tcBorders>
                  <w:bottom w:val="nil"/>
                </w:tcBorders>
                <w:shd w:val="clear" w:color="auto" w:fill="FFFFFF" w:themeFill="background1"/>
              </w:tcPr>
              <w:p w14:paraId="39AD47CA" w14:textId="61AC67AB">
                <w:pPr>
                  <w:jc w:val="both"/>
                  <w:rPr>
                    <w:sz w:val="20"/>
                  </w:rPr>
                </w:pPr>
                <w:r>
                  <w:rPr>
                    <w:sz w:val="20"/>
                  </w:rPr>
                  <w:t>Bus nustatoma poįstatyminiame teisės akte</w:t>
                </w:r>
              </w:p>
            </w:tc>
            <w:tc>
              <w:tcPr>
                <w:tcW w:w="1572" w:type="dxa"/>
                <w:tcBorders>
                  <w:bottom w:val="nil"/>
                </w:tcBorders>
                <w:shd w:val="clear" w:color="auto" w:fill="FFFFFF" w:themeFill="background1"/>
              </w:tcPr>
              <w:p w14:paraId="47A7F4C9" w14:textId="4B97EDAD">
                <w:pPr>
                  <w:jc w:val="both"/>
                  <w:rPr>
                    <w:color w:val="000000"/>
                    <w:sz w:val="20"/>
                    <w:highlight w:val="yellow"/>
                  </w:rPr>
                </w:pPr>
                <w:r>
                  <w:rPr>
                    <w:color w:val="000000"/>
                    <w:sz w:val="20"/>
                  </w:rPr>
                  <w:t>Dalinis, Visiškas, kai SADM priims poįstatyminius teisės aktus iki 2026-06-06</w:t>
                </w:r>
              </w:p>
            </w:tc>
          </w:tr>
          <w:tr w14:paraId="20B81C4D" w14:textId="77777777">
            <w:tc>
              <w:tcPr>
                <w:tcW w:w="8391" w:type="dxa"/>
                <w:tcBorders>
                  <w:bottom w:val="nil"/>
                </w:tcBorders>
                <w:shd w:val="clear" w:color="auto" w:fill="FFFFFF" w:themeFill="background1"/>
              </w:tcPr>
              <w:p w14:paraId="21F68741" w14:textId="1025A15A">
                <w:pPr>
                  <w:jc w:val="both"/>
                  <w:textAlignment w:val="baseline"/>
                  <w:rPr>
                    <w:sz w:val="20"/>
                  </w:rPr>
                </w:pPr>
                <w:r>
                  <w:rPr>
                    <w:sz w:val="20"/>
                  </w:rPr>
                  <w:t>(f) darbo užmokesčio kvartilis – viena iš keturių lygių darbuotojų grupių, į kurias jie suskirstyti pagal jų darbo užmokesčio dydį – nuo mažiausio iki didžiausio;</w:t>
                </w:r>
              </w:p>
            </w:tc>
            <w:tc>
              <w:tcPr>
                <w:tcW w:w="5347" w:type="dxa"/>
                <w:tcBorders>
                  <w:bottom w:val="nil"/>
                </w:tcBorders>
                <w:shd w:val="clear" w:color="auto" w:fill="FFFFFF" w:themeFill="background1"/>
              </w:tcPr>
              <w:p w14:paraId="09AF86CF" w14:textId="4A35D9DD">
                <w:pPr>
                  <w:jc w:val="both"/>
                  <w:rPr>
                    <w:sz w:val="20"/>
                  </w:rPr>
                </w:pPr>
                <w:r>
                  <w:rPr>
                    <w:sz w:val="20"/>
                  </w:rPr>
                  <w:t>Bus nustatoma poįstatyminiame teisės akte</w:t>
                </w:r>
              </w:p>
            </w:tc>
            <w:tc>
              <w:tcPr>
                <w:tcW w:w="1572" w:type="dxa"/>
                <w:tcBorders>
                  <w:bottom w:val="nil"/>
                </w:tcBorders>
                <w:shd w:val="clear" w:color="auto" w:fill="FFFFFF" w:themeFill="background1"/>
              </w:tcPr>
              <w:p w14:paraId="2DD35D89" w14:textId="1E85E815">
                <w:pPr>
                  <w:jc w:val="both"/>
                  <w:rPr>
                    <w:color w:val="000000"/>
                    <w:sz w:val="20"/>
                    <w:highlight w:val="yellow"/>
                  </w:rPr>
                </w:pPr>
                <w:r>
                  <w:rPr>
                    <w:color w:val="000000"/>
                    <w:sz w:val="20"/>
                  </w:rPr>
                  <w:t>Dalinis, Visiškas, kai SADM priims poįstatyminius teisės aktus iki 2026-06-06</w:t>
                </w:r>
              </w:p>
            </w:tc>
          </w:tr>
          <w:tr w14:paraId="3AA7D4FD" w14:textId="77777777">
            <w:tc>
              <w:tcPr>
                <w:tcW w:w="8391" w:type="dxa"/>
                <w:tcBorders>
                  <w:bottom w:val="nil"/>
                </w:tcBorders>
              </w:tcPr>
              <w:p w14:paraId="3B5629AE" w14:textId="77777777">
                <w:pPr>
                  <w:jc w:val="both"/>
                  <w:textAlignment w:val="baseline"/>
                  <w:rPr>
                    <w:sz w:val="20"/>
                  </w:rPr>
                </w:pPr>
                <w:r>
                  <w:rPr>
                    <w:sz w:val="20"/>
                  </w:rPr>
                  <w:t>(g) vienodos vertės darbas – darbas, kuris, kaip nustatyta pagal 4 straipsnio 4 dalyje nurodytus nediskriminacinius ir objektyvius lyties požiūriu neutralius kriterijus, yra vienodos vertės;</w:t>
                </w:r>
              </w:p>
              <w:p w14:paraId="4CD7B216" w14:textId="12A26058">
                <w:pPr>
                  <w:jc w:val="both"/>
                  <w:textAlignment w:val="baseline"/>
                  <w:rPr>
                    <w:sz w:val="20"/>
                  </w:rPr>
                </w:pPr>
              </w:p>
            </w:tc>
            <w:tc>
              <w:tcPr>
                <w:tcW w:w="5347" w:type="dxa"/>
                <w:tcBorders>
                  <w:bottom w:val="nil"/>
                </w:tcBorders>
              </w:tcPr>
              <w:p w14:paraId="2154EA2E" w14:textId="782C8860">
                <w:pPr>
                  <w:jc w:val="both"/>
                  <w:rPr>
                    <w:b/>
                    <w:sz w:val="20"/>
                  </w:rPr>
                </w:pPr>
                <w:r>
                  <w:rPr>
                    <w:b/>
                    <w:sz w:val="20"/>
                  </w:rPr>
                  <w:t>DK</w:t>
                </w:r>
              </w:p>
              <w:p w14:paraId="5612D79F" w14:textId="524ADF16">
                <w:pPr>
                  <w:jc w:val="both"/>
                  <w:rPr>
                    <w:b/>
                    <w:bCs/>
                    <w:sz w:val="20"/>
                  </w:rPr>
                </w:pPr>
                <w:r>
                  <w:rPr>
                    <w:b/>
                    <w:bCs/>
                    <w:sz w:val="20"/>
                  </w:rPr>
                  <w:t>26 straipsnis. Darbuotojų lyčių lygybė ir nediskriminavimas kitais pagrindais</w:t>
                </w:r>
              </w:p>
              <w:p w14:paraId="5BCC9D8D" w14:textId="437D5D09">
                <w:pPr>
                  <w:jc w:val="both"/>
                  <w:rPr>
                    <w:bCs/>
                    <w:sz w:val="20"/>
                  </w:rPr>
                </w:pPr>
                <w:r>
                  <w:rPr>
                    <w:bCs/>
                    <w:sz w:val="20"/>
                  </w:rPr>
                  <w:t>&lt;...&gt;</w:t>
                </w:r>
              </w:p>
              <w:p w14:paraId="02A70497" w14:textId="571500CD">
                <w:pPr>
                  <w:jc w:val="both"/>
                  <w:rPr>
                    <w:bCs/>
                    <w:sz w:val="20"/>
                  </w:rPr>
                </w:pPr>
                <w:r>
                  <w:rPr>
                    <w:bCs/>
                    <w:sz w:val="20"/>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14:paraId="7E1A72BA" w14:textId="77777777">
                <w:pPr>
                  <w:jc w:val="both"/>
                  <w:rPr>
                    <w:bCs/>
                    <w:sz w:val="20"/>
                  </w:rPr>
                </w:pPr>
                <w:r>
                  <w:rPr>
                    <w:bCs/>
                    <w:i/>
                    <w:iCs/>
                    <w:sz w:val="20"/>
                  </w:rPr>
                  <w:t>Straipsnio dalies pakeitimai:</w:t>
                </w:r>
              </w:p>
              <w:p w14:paraId="57B05336" w14:textId="77777777">
                <w:pPr>
                  <w:jc w:val="both"/>
                  <w:rPr>
                    <w:bCs/>
                    <w:sz w:val="20"/>
                  </w:rPr>
                </w:pPr>
                <w:r>
                  <w:rPr>
                    <w:bCs/>
                    <w:i/>
                    <w:iCs/>
                    <w:sz w:val="20"/>
                  </w:rPr>
                  <w:t>Nr. </w:t>
                </w:r>
                <w:hyperlink r:id="rId12" w:tgtFrame="_parent" w:history="1">
                  <w:r>
                    <w:rPr>
                      <w:bCs/>
                      <w:i/>
                      <w:iCs/>
                      <w:color w:val="0000FF"/>
                      <w:sz w:val="20"/>
                      <w:u w:val="single"/>
                    </w:rPr>
                    <w:t>XIV-1189</w:t>
                  </w:r>
                </w:hyperlink>
                <w:r>
                  <w:rPr>
                    <w:bCs/>
                    <w:i/>
                    <w:iCs/>
                    <w:sz w:val="20"/>
                  </w:rPr>
                  <w:t>, 2022-06-28, paskelbta TAR 2022-07-11, i. k. 2022-15178</w:t>
                </w:r>
              </w:p>
              <w:p w14:paraId="760E306E" w14:textId="4B239042">
                <w:pPr>
                  <w:jc w:val="both"/>
                  <w:rPr>
                    <w:bCs/>
                    <w:sz w:val="20"/>
                  </w:rPr>
                </w:pPr>
                <w:r>
                  <w:rPr>
                    <w:bCs/>
                    <w:sz w:val="20"/>
                  </w:rPr>
                  <w:t>&lt;...&gt;</w:t>
                </w:r>
              </w:p>
              <w:p w14:paraId="0536FFE4" w14:textId="5865FDD5">
                <w:pPr>
                  <w:jc w:val="both"/>
                  <w:rPr>
                    <w:bCs/>
                    <w:sz w:val="20"/>
                  </w:rPr>
                </w:pPr>
                <w:r>
                  <w:rPr>
                    <w:bCs/>
                    <w:sz w:val="20"/>
                  </w:rPr>
                  <w:t>4) už tokį patį ir vienodos vertės darbą mokėti vienodą darbo užmokestį;</w:t>
                </w:r>
              </w:p>
              <w:p w14:paraId="6D7AC523" w14:textId="568CC379">
                <w:pPr>
                  <w:jc w:val="both"/>
                  <w:rPr>
                    <w:b/>
                    <w:sz w:val="20"/>
                  </w:rPr>
                </w:pPr>
                <w:r>
                  <w:rPr>
                    <w:b/>
                    <w:sz w:val="20"/>
                  </w:rPr>
                  <w:t>DK projektas</w:t>
                </w:r>
              </w:p>
              <w:p w14:paraId="6D58E5FA" w14:textId="49DD6A3C">
                <w:pPr>
                  <w:jc w:val="both"/>
                  <w:rPr>
                    <w:b/>
                    <w:sz w:val="20"/>
                  </w:rPr>
                </w:pPr>
                <w:r>
                  <w:rPr>
                    <w:b/>
                    <w:sz w:val="20"/>
                  </w:rPr>
                  <w:t>14 straipsnis. 140 straipsnio pakeitimas</w:t>
                </w:r>
              </w:p>
              <w:p w14:paraId="520CE1E4" w14:textId="77777777">
                <w:pPr>
                  <w:jc w:val="both"/>
                  <w:rPr>
                    <w:b/>
                    <w:sz w:val="20"/>
                  </w:rPr>
                </w:pPr>
                <w:r>
                  <w:rPr>
                    <w:b/>
                    <w:sz w:val="20"/>
                  </w:rPr>
                  <w:t>&lt;...&gt;</w:t>
                </w:r>
              </w:p>
              <w:p w14:paraId="2892E415" w14:textId="15C21784">
                <w:pPr>
                  <w:jc w:val="both"/>
                  <w:rPr>
                    <w:b/>
                    <w:sz w:val="20"/>
                  </w:rPr>
                </w:pPr>
                <w:r>
                  <w:rPr>
                    <w:b/>
                    <w:sz w:val="20"/>
                  </w:rPr>
                  <w:t>2. Pakeisti 140 straipsnio 5 dalį ir ją išdėstyti taip:</w:t>
                </w:r>
              </w:p>
              <w:p w14:paraId="09D7D0D0" w14:textId="731561EA">
                <w:pPr>
                  <w:jc w:val="both"/>
                  <w:rPr>
                    <w:b/>
                    <w:sz w:val="20"/>
                  </w:rPr>
                </w:pPr>
                <w:r>
                  <w:rPr>
                    <w:b/>
                    <w:sz w:val="20"/>
                  </w:rPr>
                  <w:t>„5.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 pagal objektyvius kriterijus ne mažesnės kvalifikacijos reikalaujantis ir ne mažiau reikšmingas darbdaviui, siekiant savo veiklos tikslų, darbas negu kitas palyginamasis darbas.“</w:t>
                </w:r>
              </w:p>
            </w:tc>
            <w:tc>
              <w:tcPr>
                <w:tcW w:w="1572" w:type="dxa"/>
                <w:tcBorders>
                  <w:bottom w:val="nil"/>
                </w:tcBorders>
              </w:tcPr>
              <w:p w14:paraId="45E5B99B" w14:textId="77777777">
                <w:pPr>
                  <w:jc w:val="both"/>
                  <w:rPr>
                    <w:color w:val="000000"/>
                    <w:sz w:val="20"/>
                  </w:rPr>
                </w:pPr>
                <w:r>
                  <w:rPr>
                    <w:color w:val="000000"/>
                    <w:sz w:val="20"/>
                  </w:rPr>
                  <w:t>Visiškas</w:t>
                </w:r>
              </w:p>
              <w:p w14:paraId="56C529B2" w14:textId="77777777">
                <w:pPr>
                  <w:jc w:val="both"/>
                  <w:rPr>
                    <w:color w:val="000000"/>
                    <w:sz w:val="20"/>
                  </w:rPr>
                </w:pPr>
              </w:p>
              <w:p w14:paraId="37726560" w14:textId="075D0E73">
                <w:pPr>
                  <w:jc w:val="both"/>
                  <w:rPr>
                    <w:color w:val="000000"/>
                    <w:sz w:val="20"/>
                  </w:rPr>
                </w:pPr>
              </w:p>
            </w:tc>
          </w:tr>
          <w:tr w14:paraId="561AB7B7" w14:textId="77777777">
            <w:tc>
              <w:tcPr>
                <w:tcW w:w="8391" w:type="dxa"/>
                <w:tcBorders>
                  <w:bottom w:val="nil"/>
                </w:tcBorders>
              </w:tcPr>
              <w:p w14:paraId="18D56D2F" w14:textId="77777777">
                <w:pPr>
                  <w:jc w:val="both"/>
                  <w:textAlignment w:val="baseline"/>
                  <w:rPr>
                    <w:sz w:val="20"/>
                  </w:rPr>
                </w:pPr>
                <w:r>
                  <w:rPr>
                    <w:sz w:val="20"/>
                  </w:rPr>
                  <w:t>(h) darbuotojų kategorija – darbuotojai, atliekantys tą patį arba vienodos vertės darbą, sugrupuoti jų darbdavio nešališkai, remiantis 4 straipsnio 4 dalyje nurodytais nediskriminaciniais ir objektyviais lyties požiūriu neutraliais kriterijais ir, kai taikytina, bendradarbiaujant su darbuotojų atstovais pagal nacionalinę teisę ir (arba) praktiką;</w:t>
                </w:r>
              </w:p>
              <w:p w14:paraId="68842F9A" w14:textId="15C11D44">
                <w:pPr>
                  <w:jc w:val="both"/>
                  <w:textAlignment w:val="baseline"/>
                  <w:rPr>
                    <w:sz w:val="20"/>
                  </w:rPr>
                </w:pPr>
              </w:p>
              <w:p w14:paraId="072F0AAC" w14:textId="77777777">
                <w:pPr>
                  <w:jc w:val="both"/>
                  <w:textAlignment w:val="baseline"/>
                  <w:rPr>
                    <w:sz w:val="20"/>
                  </w:rPr>
                </w:pPr>
              </w:p>
              <w:p w14:paraId="3E56A413" w14:textId="56755ABC">
                <w:pPr>
                  <w:jc w:val="both"/>
                  <w:textAlignment w:val="baseline"/>
                  <w:rPr>
                    <w:sz w:val="20"/>
                  </w:rPr>
                </w:pPr>
              </w:p>
            </w:tc>
            <w:tc>
              <w:tcPr>
                <w:tcW w:w="5347" w:type="dxa"/>
                <w:tcBorders>
                  <w:bottom w:val="nil"/>
                </w:tcBorders>
              </w:tcPr>
              <w:p w14:paraId="609D155E" w14:textId="37F82E86">
                <w:pPr>
                  <w:jc w:val="both"/>
                  <w:rPr>
                    <w:b/>
                    <w:sz w:val="20"/>
                  </w:rPr>
                </w:pPr>
                <w:r>
                  <w:rPr>
                    <w:b/>
                    <w:sz w:val="20"/>
                  </w:rPr>
                  <w:t>DK projektas</w:t>
                </w:r>
              </w:p>
              <w:p w14:paraId="6ACC137E" w14:textId="36B04BAF">
                <w:pPr>
                  <w:jc w:val="both"/>
                  <w:rPr>
                    <w:b/>
                    <w:bCs/>
                    <w:sz w:val="20"/>
                    <w:lang w:eastAsia="lt-LT"/>
                  </w:rPr>
                </w:pPr>
                <w:r>
                  <w:rPr>
                    <w:b/>
                    <w:bCs/>
                    <w:sz w:val="20"/>
                    <w:lang w:eastAsia="lt-LT"/>
                  </w:rPr>
                  <w:t>14 straipsnis. 140 straipsnio pakeitimas</w:t>
                </w:r>
              </w:p>
              <w:p w14:paraId="3214B7AB" w14:textId="77777777">
                <w:pPr>
                  <w:jc w:val="both"/>
                  <w:rPr>
                    <w:b/>
                    <w:bCs/>
                    <w:sz w:val="20"/>
                    <w:lang w:eastAsia="lt-LT"/>
                  </w:rPr>
                </w:pPr>
                <w:r>
                  <w:rPr>
                    <w:b/>
                    <w:bCs/>
                    <w:sz w:val="20"/>
                    <w:lang w:eastAsia="lt-LT"/>
                  </w:rPr>
                  <w:t>1. Pakeisti 140 straipsnio 3 dalį ir ją išdėstyti taip:</w:t>
                </w:r>
              </w:p>
              <w:p w14:paraId="1CE133C9" w14:textId="7B54E58D">
                <w:pPr>
                  <w:jc w:val="both"/>
                  <w:rPr>
                    <w:b/>
                    <w:bCs/>
                    <w:sz w:val="20"/>
                    <w:lang w:eastAsia="lt-LT"/>
                  </w:rPr>
                </w:pPr>
                <w:r>
                  <w:rPr>
                    <w:b/>
                    <w:bCs/>
                    <w:sz w:val="20"/>
                    <w:lang w:eastAsia="lt-LT"/>
                  </w:rPr>
                  <w:t>„3. Darbo apmokėjimo sistema darbovietėje ar darbdavio įmonėje, įstaigoje, organizacijoje nustatoma kolektyvine sutartimi ir taikoma visiems tos darbovietės ar darbdavio įmonės, įstaigos, organizacijos darbuotojams. Jei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p>
            </w:tc>
            <w:tc>
              <w:tcPr>
                <w:tcW w:w="1572" w:type="dxa"/>
                <w:tcBorders>
                  <w:bottom w:val="nil"/>
                </w:tcBorders>
              </w:tcPr>
              <w:p w14:paraId="44F69C91" w14:textId="18C6F03E">
                <w:pPr>
                  <w:jc w:val="both"/>
                  <w:rPr>
                    <w:color w:val="000000"/>
                    <w:sz w:val="20"/>
                  </w:rPr>
                </w:pPr>
                <w:r>
                  <w:rPr>
                    <w:color w:val="000000"/>
                    <w:sz w:val="20"/>
                  </w:rPr>
                  <w:t>Visiškas</w:t>
                </w:r>
              </w:p>
              <w:p w14:paraId="068C796B" w14:textId="4FC59244">
                <w:pPr>
                  <w:jc w:val="both"/>
                  <w:rPr>
                    <w:color w:val="000000"/>
                    <w:szCs w:val="24"/>
                  </w:rPr>
                </w:pPr>
              </w:p>
            </w:tc>
          </w:tr>
          <w:tr w14:paraId="2C068A86" w14:textId="77777777">
            <w:tc>
              <w:tcPr>
                <w:tcW w:w="8391" w:type="dxa"/>
                <w:tcBorders>
                  <w:bottom w:val="nil"/>
                </w:tcBorders>
              </w:tcPr>
              <w:p w14:paraId="07F8DB8E" w14:textId="2DB2FE5D">
                <w:pPr>
                  <w:jc w:val="both"/>
                  <w:textAlignment w:val="baseline"/>
                  <w:rPr>
                    <w:sz w:val="20"/>
                  </w:rPr>
                </w:pPr>
                <w:r>
                  <w:rPr>
                    <w:sz w:val="20"/>
                  </w:rPr>
                  <w:t>(i) tiesioginė diskriminacija – padėtis, kai dėl lyties vienam asmeniui sudaromos mažiau palankios sąlygos palyginti su sąlygomis, kurios panašioje padėtyje yra, buvo ar būtų sudarytos kitam asmeniui;</w:t>
                </w:r>
              </w:p>
            </w:tc>
            <w:tc>
              <w:tcPr>
                <w:tcW w:w="5347" w:type="dxa"/>
                <w:tcBorders>
                  <w:bottom w:val="nil"/>
                </w:tcBorders>
              </w:tcPr>
              <w:p w14:paraId="0345534C" w14:textId="2B227222">
                <w:pPr>
                  <w:jc w:val="both"/>
                  <w:rPr>
                    <w:b/>
                    <w:sz w:val="20"/>
                  </w:rPr>
                </w:pPr>
                <w:r>
                  <w:rPr>
                    <w:b/>
                    <w:sz w:val="20"/>
                  </w:rPr>
                  <w:t>MVLGĮ</w:t>
                </w:r>
              </w:p>
              <w:p w14:paraId="458AE65B" w14:textId="77777777">
                <w:pPr>
                  <w:jc w:val="both"/>
                  <w:rPr>
                    <w:b/>
                    <w:bCs/>
                    <w:sz w:val="20"/>
                  </w:rPr>
                </w:pPr>
                <w:r>
                  <w:rPr>
                    <w:b/>
                    <w:bCs/>
                    <w:sz w:val="20"/>
                  </w:rPr>
                  <w:t>2 straipsnis. Įstatymo paskirtis ir taikymas</w:t>
                </w:r>
              </w:p>
              <w:p w14:paraId="4B268272" w14:textId="29F4F0ED">
                <w:pPr>
                  <w:jc w:val="both"/>
                  <w:rPr>
                    <w:sz w:val="20"/>
                  </w:rPr>
                </w:pPr>
                <w:r>
                  <w:rPr>
                    <w:sz w:val="20"/>
                  </w:rPr>
                  <w:t>&lt;...&gt;</w:t>
                </w:r>
              </w:p>
              <w:p w14:paraId="710B8124" w14:textId="60E67799">
                <w:pPr>
                  <w:jc w:val="both"/>
                  <w:rPr>
                    <w:color w:val="1F497D"/>
                    <w:sz w:val="20"/>
                  </w:rPr>
                </w:pPr>
                <w:r>
                  <w:rPr>
                    <w:sz w:val="20"/>
                  </w:rPr>
                  <w:t>7. Tiesioginė diskriminacija – ne toks palankus asmens traktavimas dėl lyties, negu panašiomis aplinkybėmis yra, buvo ar būtų traktuojamas kitas asmuo.</w:t>
                </w:r>
              </w:p>
            </w:tc>
            <w:tc>
              <w:tcPr>
                <w:tcW w:w="1572" w:type="dxa"/>
                <w:tcBorders>
                  <w:bottom w:val="nil"/>
                </w:tcBorders>
              </w:tcPr>
              <w:p w14:paraId="616648DF" w14:textId="0F3C42DE">
                <w:pPr>
                  <w:jc w:val="both"/>
                  <w:rPr>
                    <w:color w:val="000000"/>
                    <w:sz w:val="20"/>
                  </w:rPr>
                </w:pPr>
                <w:r>
                  <w:rPr>
                    <w:color w:val="000000"/>
                    <w:sz w:val="20"/>
                  </w:rPr>
                  <w:t>Visiškas</w:t>
                </w:r>
              </w:p>
            </w:tc>
          </w:tr>
          <w:tr w14:paraId="052FC17F" w14:textId="77777777">
            <w:tc>
              <w:tcPr>
                <w:tcW w:w="8391" w:type="dxa"/>
                <w:tcBorders>
                  <w:bottom w:val="nil"/>
                </w:tcBorders>
              </w:tcPr>
              <w:p w14:paraId="142F62DF" w14:textId="37DD3FA3">
                <w:pPr>
                  <w:jc w:val="both"/>
                  <w:textAlignment w:val="baseline"/>
                  <w:rPr>
                    <w:sz w:val="20"/>
                  </w:rPr>
                </w:pPr>
                <w:r>
                  <w:rPr>
                    <w:sz w:val="20"/>
                  </w:rPr>
                  <w:t>(j) netiesioginė diskriminacija – padėtis, kai dėl akivaizdžiai neutralios nuostatos, kriterijaus ar praktikos vienos lyties asmenys gali atsidurti tam tikroje prastesnėje padėtyje nei kitos lyties asmenys, išskyrus atvejus, kai ta nuostata, kriterijus ar praktika objektyviai pateisinami remiantis teisėtu tikslu, o šio tikslo siekiama tinkamomis ir būtinomis priemonėmis;</w:t>
                </w:r>
              </w:p>
            </w:tc>
            <w:tc>
              <w:tcPr>
                <w:tcW w:w="5347" w:type="dxa"/>
                <w:tcBorders>
                  <w:bottom w:val="nil"/>
                </w:tcBorders>
              </w:tcPr>
              <w:p w14:paraId="7CE6BB15" w14:textId="68A75FA3">
                <w:pPr>
                  <w:jc w:val="both"/>
                  <w:rPr>
                    <w:b/>
                    <w:sz w:val="20"/>
                  </w:rPr>
                </w:pPr>
                <w:r>
                  <w:rPr>
                    <w:b/>
                    <w:sz w:val="20"/>
                  </w:rPr>
                  <w:t>MVLGĮ</w:t>
                </w:r>
              </w:p>
              <w:p w14:paraId="767E90CB" w14:textId="77777777">
                <w:pPr>
                  <w:jc w:val="both"/>
                  <w:rPr>
                    <w:b/>
                    <w:bCs/>
                    <w:sz w:val="20"/>
                  </w:rPr>
                </w:pPr>
                <w:r>
                  <w:rPr>
                    <w:b/>
                    <w:bCs/>
                    <w:sz w:val="20"/>
                  </w:rPr>
                  <w:t>2 straipsnis. Įstatymo paskirtis ir taikymas</w:t>
                </w:r>
              </w:p>
              <w:p w14:paraId="226D562F" w14:textId="4EB8E4CB">
                <w:pPr>
                  <w:jc w:val="both"/>
                  <w:rPr>
                    <w:bCs/>
                    <w:sz w:val="20"/>
                  </w:rPr>
                </w:pPr>
                <w:r>
                  <w:rPr>
                    <w:bCs/>
                    <w:sz w:val="20"/>
                  </w:rPr>
                  <w:t>&lt;...&gt;</w:t>
                </w:r>
              </w:p>
              <w:p w14:paraId="78F0C958" w14:textId="780CE9AC">
                <w:pPr>
                  <w:jc w:val="both"/>
                  <w:rPr>
                    <w:bCs/>
                    <w:sz w:val="20"/>
                  </w:rPr>
                </w:pPr>
                <w:r>
                  <w:rPr>
                    <w:bCs/>
                    <w:sz w:val="20"/>
                  </w:rPr>
                  <w:t>4. Netiesioginė diskriminacija – veikimas ar neveikimas, teisės norma, vertinimo kriterijus ar praktika, kurie formaliai yra vienodi moterims ir vyrams, bet juos įgyvendinant ar taikant vienos lyties asmenys gali atsidurti ar atsiduria tam tikroje mažiau palankioje padėtyje negu kitos lyties asmenys, nebent šį veikimą ar neveikimą, teisės normą, vertinimo kriterijų ar praktiką objektyviai pateisina teisėtas tikslas, o šio tikslo siekiama tinkamomis ir būtinomis priemonėmis.</w:t>
                </w:r>
              </w:p>
            </w:tc>
            <w:tc>
              <w:tcPr>
                <w:tcW w:w="1572" w:type="dxa"/>
                <w:tcBorders>
                  <w:bottom w:val="nil"/>
                </w:tcBorders>
              </w:tcPr>
              <w:p w14:paraId="486927FC" w14:textId="491C337F">
                <w:pPr>
                  <w:jc w:val="both"/>
                  <w:rPr>
                    <w:color w:val="000000"/>
                    <w:sz w:val="20"/>
                  </w:rPr>
                </w:pPr>
                <w:r>
                  <w:rPr>
                    <w:color w:val="000000"/>
                    <w:sz w:val="20"/>
                  </w:rPr>
                  <w:t>Visiškas</w:t>
                </w:r>
              </w:p>
            </w:tc>
          </w:tr>
          <w:tr w14:paraId="6D18787D" w14:textId="77777777">
            <w:tc>
              <w:tcPr>
                <w:tcW w:w="8391" w:type="dxa"/>
                <w:tcBorders>
                  <w:bottom w:val="nil"/>
                </w:tcBorders>
              </w:tcPr>
              <w:p w14:paraId="76789972" w14:textId="75ED3087">
                <w:pPr>
                  <w:jc w:val="both"/>
                  <w:textAlignment w:val="baseline"/>
                  <w:rPr>
                    <w:sz w:val="20"/>
                  </w:rPr>
                </w:pPr>
                <w:r>
                  <w:rPr>
                    <w:sz w:val="20"/>
                  </w:rPr>
                  <w:t xml:space="preserve">(k) darbo inspekcija – įstaiga arba įstaigos, pagal nacionalinę teisę ir (arba) praktiką atsakinga (-os) </w:t>
                </w:r>
                <w:r>
                  <w:rPr>
                    <w:sz w:val="20"/>
                    <w:u w:val="single"/>
                  </w:rPr>
                  <w:t>už kontrolės ir inspektavimo funkcijas darbo rinkoje</w:t>
                </w:r>
                <w:r>
                  <w:rPr>
                    <w:sz w:val="20"/>
                  </w:rPr>
                  <w:t>, išskyrus nacionalinėje teisėje numatytus atvejus, kai tas funkcijas gali vykdyti socialiniai partneriai;</w:t>
                </w:r>
              </w:p>
            </w:tc>
            <w:tc>
              <w:tcPr>
                <w:tcW w:w="5347" w:type="dxa"/>
                <w:tcBorders>
                  <w:bottom w:val="nil"/>
                </w:tcBorders>
              </w:tcPr>
              <w:p w14:paraId="7F04A1D8" w14:textId="136A619C">
                <w:pPr>
                  <w:jc w:val="both"/>
                  <w:rPr>
                    <w:b/>
                    <w:sz w:val="20"/>
                  </w:rPr>
                </w:pPr>
                <w:r>
                  <w:rPr>
                    <w:b/>
                    <w:sz w:val="20"/>
                  </w:rPr>
                  <w:t>VDĮ įstatymas</w:t>
                </w:r>
              </w:p>
              <w:p w14:paraId="4B197950" w14:textId="77777777">
                <w:pPr>
                  <w:jc w:val="both"/>
                  <w:rPr>
                    <w:b/>
                    <w:sz w:val="20"/>
                  </w:rPr>
                </w:pPr>
                <w:r>
                  <w:rPr>
                    <w:b/>
                    <w:sz w:val="20"/>
                  </w:rPr>
                  <w:t>2 straipsnis. Valstybinės darbo inspekcijos teisinis statusas</w:t>
                </w:r>
              </w:p>
              <w:p w14:paraId="69F00281" w14:textId="3064A406">
                <w:pPr>
                  <w:jc w:val="both"/>
                  <w:rPr>
                    <w:sz w:val="20"/>
                  </w:rPr>
                </w:pPr>
                <w:r>
                  <w:rPr>
                    <w:sz w:val="20"/>
                  </w:rPr>
                  <w:t>1. Valstybinė darbo inspekcija yra juridinio asmens teises turinti valstybinė kontrolės įstaiga, veikianti prie Socialinės apsaugos ir darbo ministerijos.</w:t>
                </w:r>
              </w:p>
              <w:p w14:paraId="2D1BED5C" w14:textId="2C312DD8">
                <w:pPr>
                  <w:rPr>
                    <w:bCs/>
                    <w:sz w:val="20"/>
                  </w:rPr>
                </w:pPr>
                <w:r>
                  <w:rPr>
                    <w:bCs/>
                    <w:sz w:val="20"/>
                  </w:rPr>
                  <w:t>&lt;...&gt;</w:t>
                </w:r>
              </w:p>
              <w:p w14:paraId="379D0C12" w14:textId="42ACF2CC">
                <w:pPr>
                  <w:jc w:val="both"/>
                  <w:rPr>
                    <w:color w:val="000000"/>
                    <w:sz w:val="20"/>
                    <w:lang w:eastAsia="lt-LT"/>
                  </w:rPr>
                </w:pPr>
                <w:r>
                  <w:rPr>
                    <w:b/>
                    <w:bCs/>
                    <w:color w:val="000000"/>
                    <w:sz w:val="20"/>
                    <w:lang w:eastAsia="lt-LT"/>
                  </w:rPr>
                  <w:t>4 straipsnis. Valstybinės darbo inspekcijos kompetencija</w:t>
                </w:r>
              </w:p>
              <w:p w14:paraId="13ACEF51" w14:textId="77777777">
                <w:pPr>
                  <w:jc w:val="both"/>
                  <w:rPr>
                    <w:color w:val="000000"/>
                    <w:sz w:val="20"/>
                    <w:lang w:eastAsia="lt-LT"/>
                  </w:rPr>
                </w:pPr>
                <w:r>
                  <w:rPr>
                    <w:color w:val="000000"/>
                    <w:sz w:val="20"/>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 kontrolė įmonėse, įstaigose, organizacijose ar kitose organizacinėse struktūrose, nepaisant jų nuosavybės formos, rūšies, veiklos pobūdžio, taip pat tais atvejais, kai darbdavys yra fizinis asmuo (toliau – darbdaviai), ir tais atvejais, kai savarankišką veiklą vykdo savarankiškai dirbantys asmenys, jeigu jiems taikomi darbuotojų saugos ir sveikatos norminių teisės aktų reikalavimai (toliau – savarankiškai dirbantys asmenys).</w:t>
                </w:r>
              </w:p>
              <w:p w14:paraId="78A9F746" w14:textId="262130CD">
                <w:pPr>
                  <w:jc w:val="both"/>
                  <w:rPr>
                    <w:b/>
                    <w:bCs/>
                    <w:color w:val="000000"/>
                    <w:sz w:val="20"/>
                    <w:lang w:eastAsia="lt-LT"/>
                  </w:rPr>
                </w:pPr>
                <w:r>
                  <w:rPr>
                    <w:b/>
                    <w:bCs/>
                    <w:color w:val="000000"/>
                    <w:sz w:val="20"/>
                    <w:lang w:eastAsia="lt-LT"/>
                  </w:rPr>
                  <w:t>DK</w:t>
                </w:r>
              </w:p>
              <w:p w14:paraId="2F17CA8D" w14:textId="77777777">
                <w:pPr>
                  <w:jc w:val="both"/>
                  <w:rPr>
                    <w:color w:val="000000"/>
                    <w:sz w:val="20"/>
                    <w:lang w:eastAsia="lt-LT"/>
                  </w:rPr>
                </w:pPr>
                <w:r>
                  <w:rPr>
                    <w:b/>
                    <w:bCs/>
                    <w:color w:val="000000"/>
                    <w:sz w:val="20"/>
                    <w:lang w:eastAsia="lt-LT"/>
                  </w:rPr>
                  <w:t>18 straipsnis. Darbo teisių gynimas administracine tvarka</w:t>
                </w:r>
              </w:p>
              <w:p w14:paraId="3F961636" w14:textId="3C929ED5">
                <w:pPr>
                  <w:jc w:val="both"/>
                  <w:rPr>
                    <w:color w:val="000000"/>
                    <w:sz w:val="20"/>
                    <w:lang w:eastAsia="lt-LT"/>
                  </w:rPr>
                </w:pPr>
                <w:r>
                  <w:rPr>
                    <w:color w:val="000000"/>
                    <w:sz w:val="20"/>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14:paraId="7BDEF0CD" w14:textId="77777777">
                <w:pPr>
                  <w:jc w:val="both"/>
                  <w:rPr>
                    <w:color w:val="000000"/>
                    <w:sz w:val="20"/>
                    <w:lang w:eastAsia="lt-LT"/>
                  </w:rPr>
                </w:pPr>
                <w:r>
                  <w:rPr>
                    <w:b/>
                    <w:bCs/>
                    <w:color w:val="000000"/>
                    <w:sz w:val="20"/>
                    <w:lang w:eastAsia="lt-LT"/>
                  </w:rPr>
                  <w:t>19 straipsnis. Darbo teisių gynimas per darbuotojų ir darbdavių atstovus</w:t>
                </w:r>
              </w:p>
              <w:p w14:paraId="32C8EAD9" w14:textId="77777777">
                <w:pPr>
                  <w:jc w:val="both"/>
                  <w:rPr>
                    <w:color w:val="000000"/>
                    <w:sz w:val="20"/>
                    <w:lang w:eastAsia="lt-LT"/>
                  </w:rPr>
                </w:pPr>
                <w:r>
                  <w:rPr>
                    <w:color w:val="000000"/>
                    <w:sz w:val="20"/>
                    <w:lang w:eastAsia="lt-LT"/>
                  </w:rPr>
                  <w:t>1. Darbuotojų ir darbdavių teises ir interesus šio kodekso ir kitų įstatymų nustatyta tvarka gina ir jiems atstovauja jų atstovai kolektyviniuose darbo santykiuose.</w:t>
                </w:r>
              </w:p>
              <w:p w14:paraId="0BA3B050" w14:textId="5704997A">
                <w:pPr>
                  <w:jc w:val="both"/>
                  <w:rPr>
                    <w:color w:val="000000"/>
                    <w:sz w:val="20"/>
                    <w:lang w:eastAsia="lt-LT"/>
                  </w:rPr>
                </w:pPr>
                <w:r>
                  <w:rPr>
                    <w:color w:val="000000"/>
                    <w:sz w:val="20"/>
                    <w:lang w:eastAsia="lt-LT"/>
                  </w:rPr>
                  <w:t>2. Profesinių sąjungų, darbo tarybų, darbuotojų patikėtinių, darbdavių organizacijų kompetenciją ir jos įgyvendinimo tvarką nustato šis kodeksas, kiti įstatymai, kolektyvinės sutartys, darbdavio ir darbo tarybos susitarimai ir kitos darbo teisės normos.</w:t>
                </w:r>
              </w:p>
            </w:tc>
            <w:tc>
              <w:tcPr>
                <w:tcW w:w="1572" w:type="dxa"/>
                <w:tcBorders>
                  <w:bottom w:val="nil"/>
                </w:tcBorders>
              </w:tcPr>
              <w:p w14:paraId="21AFB752" w14:textId="77BF9E86">
                <w:pPr>
                  <w:jc w:val="both"/>
                  <w:rPr>
                    <w:color w:val="000000"/>
                    <w:sz w:val="20"/>
                  </w:rPr>
                </w:pPr>
                <w:r>
                  <w:rPr>
                    <w:color w:val="000000"/>
                    <w:sz w:val="20"/>
                  </w:rPr>
                  <w:t>Visiškas</w:t>
                </w:r>
              </w:p>
            </w:tc>
          </w:tr>
          <w:tr w14:paraId="4F349ED0" w14:textId="77777777">
            <w:tc>
              <w:tcPr>
                <w:tcW w:w="8391" w:type="dxa"/>
                <w:tcBorders>
                  <w:bottom w:val="nil"/>
                </w:tcBorders>
              </w:tcPr>
              <w:p w14:paraId="23A020B5" w14:textId="77777777">
                <w:pPr>
                  <w:jc w:val="both"/>
                  <w:textAlignment w:val="baseline"/>
                  <w:rPr>
                    <w:sz w:val="20"/>
                  </w:rPr>
                </w:pPr>
                <w:r>
                  <w:rPr>
                    <w:sz w:val="20"/>
                  </w:rPr>
                  <w:t xml:space="preserve">(l) lygybės institucija – institucija ar institucijos, paskirtos pagal Direktyvos </w:t>
                </w:r>
                <w:fldSimple w:instr="HYPERLINK http://eur-lex.europa.eu/legal-content/LIT/TXT/?uri=CELEX:32006L0054&amp;locale=lt \t _blank">
                  <w:r>
                    <w:rPr>
                      <w:sz w:val="20"/>
                      <w:u w:val="single"/>
                      <w:color w:val="0000FF" w:themeColor="hyperlink"/>
                    </w:rPr>
                    <w:t>2006/54/EB</w:t>
                  </w:r>
                </w:fldSimple>
                <w:r>
                  <w:rPr>
                    <w:sz w:val="20"/>
                  </w:rPr>
                  <w:t xml:space="preserve"> 20 straipsnį;</w:t>
                </w:r>
              </w:p>
              <w:p w14:paraId="179C8433" w14:textId="2CB628B7">
                <w:pPr>
                  <w:jc w:val="both"/>
                  <w:textAlignment w:val="baseline"/>
                  <w:rPr>
                    <w:sz w:val="20"/>
                  </w:rPr>
                </w:pPr>
                <w:r>
                  <w:rPr>
                    <w:sz w:val="20"/>
                  </w:rPr>
                  <w:t>(20 straipsnis</w:t>
                </w:r>
              </w:p>
              <w:p w14:paraId="0A684D93" w14:textId="6344B6F1">
                <w:pPr>
                  <w:jc w:val="both"/>
                  <w:textAlignment w:val="baseline"/>
                  <w:rPr>
                    <w:sz w:val="20"/>
                  </w:rPr>
                </w:pPr>
                <w:r>
                  <w:rPr>
                    <w:sz w:val="20"/>
                  </w:rPr>
                  <w:t>Lygybę užtikrinančios institucijos</w:t>
                </w:r>
              </w:p>
              <w:p w14:paraId="3BF229C2" w14:textId="684993F0">
                <w:pPr>
                  <w:jc w:val="both"/>
                  <w:textAlignment w:val="baseline"/>
                  <w:rPr>
                    <w:sz w:val="20"/>
                  </w:rPr>
                </w:pPr>
                <w:r>
                  <w:rPr>
                    <w:sz w:val="20"/>
                  </w:rPr>
                  <w:t>1. Valstybės narės paskiria instituciją ar institucijas bei parengia atitinkamą tvarką, kad būtų skatinamas, tiriamas, prižiūrimas ir remiamas vienodas požiūris į visus asmenis, nediskriminuojant dėl lyties. Šios institucijos gali priklausyti agentūroms, įpareigotoms rūpintis žmogaus teisių arba asmenų teisių apsauga nacionaliniu lygiu.</w:t>
                </w:r>
              </w:p>
              <w:p w14:paraId="23021F41" w14:textId="0A25A821">
                <w:pPr>
                  <w:jc w:val="both"/>
                  <w:textAlignment w:val="baseline"/>
                  <w:rPr>
                    <w:sz w:val="20"/>
                  </w:rPr>
                </w:pPr>
                <w:r>
                  <w:rPr>
                    <w:sz w:val="20"/>
                  </w:rPr>
                  <w:t>2. Valstybės narės užtikrina, kad šios institucijos būtų įgaliotos:</w:t>
                </w:r>
              </w:p>
              <w:p w14:paraId="1E84F903" w14:textId="19D28038">
                <w:pPr>
                  <w:jc w:val="both"/>
                  <w:textAlignment w:val="baseline"/>
                  <w:rPr>
                    <w:sz w:val="20"/>
                  </w:rPr>
                </w:pPr>
                <w:r>
                  <w:rPr>
                    <w:sz w:val="20"/>
                  </w:rPr>
                  <w:t>a) nepažeidžiant nukentėjusiųjų ir 17 straipsnio 2 dalyje minėtų asociacijų, organizacijų ar kitų juridinių asmenų teisių, teikti nepriklausomą pagalbą nukentėjusiesiems nuo diskriminacijos teikiant skundus dėl diskriminacijos;</w:t>
                </w:r>
              </w:p>
              <w:p w14:paraId="05D3D033" w14:textId="3BCF468E">
                <w:pPr>
                  <w:jc w:val="both"/>
                  <w:textAlignment w:val="baseline"/>
                  <w:rPr>
                    <w:sz w:val="20"/>
                  </w:rPr>
                </w:pPr>
                <w:r>
                  <w:rPr>
                    <w:sz w:val="20"/>
                  </w:rPr>
                  <w:t>b) atlikti nepriklausomus tyrimus dėl diskriminacijos;</w:t>
                </w:r>
              </w:p>
              <w:p w14:paraId="269DBAE9" w14:textId="77777777">
                <w:pPr>
                  <w:jc w:val="both"/>
                  <w:textAlignment w:val="baseline"/>
                  <w:rPr>
                    <w:sz w:val="20"/>
                  </w:rPr>
                </w:pPr>
                <w:r>
                  <w:rPr>
                    <w:sz w:val="20"/>
                  </w:rPr>
                  <w:t>c) skelbti nepriklausomas ataskaitas ir teikti rekomendacijas visais su tokia diskriminacija susijusiais klausimais;</w:t>
                </w:r>
              </w:p>
              <w:p w14:paraId="4D757688" w14:textId="0B1DC59D">
                <w:pPr>
                  <w:jc w:val="both"/>
                  <w:textAlignment w:val="baseline"/>
                  <w:rPr>
                    <w:sz w:val="20"/>
                  </w:rPr>
                </w:pPr>
                <w:r>
                  <w:rPr>
                    <w:sz w:val="20"/>
                  </w:rPr>
                  <w:t>d) atitinkamu lygiu keistis turima informacija su atitinkamomis institucijomis Europoje, pavyzdžiui, su būsimu Europos lyčių lygybės institutu.)</w:t>
                </w:r>
              </w:p>
            </w:tc>
            <w:tc>
              <w:tcPr>
                <w:tcW w:w="5347" w:type="dxa"/>
                <w:tcBorders>
                  <w:bottom w:val="nil"/>
                </w:tcBorders>
              </w:tcPr>
              <w:p w14:paraId="50491C17" w14:textId="42740DFC">
                <w:pPr>
                  <w:jc w:val="both"/>
                  <w:rPr>
                    <w:b/>
                    <w:bCs/>
                    <w:color w:val="000000"/>
                    <w:sz w:val="20"/>
                  </w:rPr>
                </w:pPr>
                <w:r>
                  <w:rPr>
                    <w:b/>
                    <w:bCs/>
                    <w:color w:val="000000"/>
                    <w:sz w:val="20"/>
                  </w:rPr>
                  <w:t>LGĮ</w:t>
                </w:r>
              </w:p>
              <w:p w14:paraId="1FC77619" w14:textId="77777777">
                <w:pPr>
                  <w:jc w:val="both"/>
                  <w:rPr>
                    <w:b/>
                    <w:bCs/>
                    <w:color w:val="000000"/>
                    <w:sz w:val="20"/>
                  </w:rPr>
                </w:pPr>
                <w:r>
                  <w:rPr>
                    <w:b/>
                    <w:bCs/>
                    <w:color w:val="000000"/>
                    <w:sz w:val="20"/>
                  </w:rPr>
                  <w:t>17 straipsnis. Lygių galimybių kontrolieriaus kompetencija</w:t>
                </w:r>
              </w:p>
              <w:p w14:paraId="420A6B75" w14:textId="77777777">
                <w:pPr>
                  <w:jc w:val="both"/>
                  <w:rPr>
                    <w:color w:val="000000"/>
                    <w:sz w:val="20"/>
                  </w:rPr>
                </w:pPr>
                <w:r>
                  <w:rPr>
                    <w:color w:val="000000"/>
                    <w:sz w:val="20"/>
                  </w:rPr>
                  <w:t>1. Lygių galimybių kontrolierius, vadovaudamasis teisėtumo, nešališkumo ir teisingumo principais, šio įstatymo nustatyta tvarka tiria skundus, atlieka tyrimus savo iniciatyva ir teikia konsultacijas dėl paklausimų.</w:t>
                </w:r>
              </w:p>
              <w:p w14:paraId="24C94132" w14:textId="77777777">
                <w:pPr>
                  <w:jc w:val="both"/>
                  <w:rPr>
                    <w:color w:val="000000"/>
                    <w:sz w:val="20"/>
                  </w:rPr>
                </w:pPr>
                <w:r>
                  <w:rPr>
                    <w:color w:val="000000"/>
                    <w:sz w:val="20"/>
                  </w:rPr>
                  <w:t>2. Lygių galimybių kontrolierius atlieka nepriklausomus tyrimus, susijusius su diskriminacijos atvejais, ir nepriklausomas diskriminacijos padėties apžvalgas, skelbia nepriklausomas ataskaitas, teikia išvadas ir rekomendacijas bet kokiais su diskriminacija susijusiais klausimais dėl šio įstatymo įgyvendinimo, taip pat pasiūlymus valstybės ir savivaldybių institucijoms ir įstaigoms dėl teisės aktų tobulinimo ir lygių teisių įgyvendinimo politikos prioritetų, vykdo prevencinę ir švietėjišką veiklą, lygių galimybių užtikrinimo sklaidą.</w:t>
                </w:r>
              </w:p>
              <w:p w14:paraId="57D6DEE6" w14:textId="2AF36624">
                <w:pPr>
                  <w:jc w:val="both"/>
                  <w:rPr>
                    <w:b/>
                    <w:bCs/>
                    <w:color w:val="000000"/>
                    <w:sz w:val="20"/>
                  </w:rPr>
                </w:pPr>
                <w:r>
                  <w:rPr>
                    <w:b/>
                    <w:bCs/>
                    <w:color w:val="000000"/>
                    <w:sz w:val="20"/>
                  </w:rPr>
                  <w:t>LGKT nuostatai</w:t>
                </w:r>
              </w:p>
              <w:p w14:paraId="61A872BF" w14:textId="736860DE">
                <w:pPr>
                  <w:jc w:val="both"/>
                  <w:rPr>
                    <w:color w:val="000000"/>
                    <w:sz w:val="20"/>
                  </w:rPr>
                </w:pPr>
                <w:r>
                  <w:rPr>
                    <w:color w:val="000000"/>
                    <w:sz w:val="20"/>
                  </w:rPr>
                  <w:t>&lt;...&gt;</w:t>
                </w:r>
              </w:p>
              <w:p w14:paraId="3BBF7169" w14:textId="77777777">
                <w:pPr>
                  <w:jc w:val="both"/>
                  <w:rPr>
                    <w:color w:val="000000"/>
                    <w:sz w:val="20"/>
                  </w:rPr>
                </w:pPr>
                <w:r>
                  <w:rPr>
                    <w:color w:val="000000"/>
                    <w:sz w:val="20"/>
                  </w:rPr>
                  <w:t>14. Lygių galimybių kontrolierius, vadovaudamasis teisėtumo, nešališkumo ir teisingumo principais, Lygių galimybių įstatymo nustatyta tvarka tiria skundus, atlieka tyrimus savo iniciatyva ir teikia konsultacijas dėl paklausimų.</w:t>
                </w:r>
              </w:p>
              <w:p w14:paraId="3A6EAD79" w14:textId="77777777">
                <w:pPr>
                  <w:jc w:val="both"/>
                  <w:rPr>
                    <w:color w:val="000000"/>
                    <w:sz w:val="20"/>
                  </w:rPr>
                </w:pPr>
                <w:r>
                  <w:rPr>
                    <w:color w:val="000000"/>
                    <w:sz w:val="20"/>
                  </w:rPr>
                  <w:t>15. Lygių galimybių kontrolierius atlieka nepriklausomus tyrimus, susijusius su diskriminacijos atvejais, ir nepriklausomas diskriminacijos padėties apžvalgas, skelbia nepriklausomas ataskaitas, teikia išvadas ir rekomendacijas bet kokiais su diskriminacija susijusiais klausimais dėl Lygių galimybių įstatymo įgyvendinimo, taip pat pasiūlymus valstybės ir savivaldybių institucijoms ir įstaigoms dėl teisės aktų tobulinimo ir lygių teisių įgyvendinimo politikos prioritetų, vykdo prevencinę ir švietėjišką veiklą, lygių galimybių užtikrinimo sklaidą.</w:t>
                </w:r>
              </w:p>
              <w:p w14:paraId="2E5123E3" w14:textId="2EA46DBB">
                <w:pPr>
                  <w:jc w:val="both"/>
                  <w:rPr>
                    <w:color w:val="000000"/>
                    <w:sz w:val="20"/>
                  </w:rPr>
                </w:pPr>
                <w:r>
                  <w:rPr>
                    <w:color w:val="000000"/>
                    <w:sz w:val="20"/>
                  </w:rPr>
                  <w:t>16. Lygių galimybių kontrolierius keičiasi turima informacija su kitomis Lietuvos Respublikos ir užsienio valstybių institucijomis ir įstaigomis, tarptautinėmis organizacijomis.</w:t>
                </w:r>
              </w:p>
            </w:tc>
            <w:tc>
              <w:tcPr>
                <w:tcW w:w="1572" w:type="dxa"/>
                <w:tcBorders>
                  <w:bottom w:val="nil"/>
                </w:tcBorders>
              </w:tcPr>
              <w:p w14:paraId="79DA8531" w14:textId="7771B36A">
                <w:pPr>
                  <w:jc w:val="both"/>
                  <w:rPr>
                    <w:color w:val="000000"/>
                    <w:sz w:val="20"/>
                  </w:rPr>
                </w:pPr>
                <w:r>
                  <w:rPr>
                    <w:color w:val="000000"/>
                    <w:sz w:val="20"/>
                  </w:rPr>
                  <w:t>Visiškas</w:t>
                </w:r>
              </w:p>
            </w:tc>
          </w:tr>
          <w:tr w14:paraId="2BDDB902" w14:textId="77777777">
            <w:tc>
              <w:tcPr>
                <w:tcW w:w="8391" w:type="dxa"/>
                <w:tcBorders>
                  <w:bottom w:val="nil"/>
                </w:tcBorders>
              </w:tcPr>
              <w:p w14:paraId="627721E7" w14:textId="762321CF">
                <w:pPr>
                  <w:jc w:val="both"/>
                  <w:textAlignment w:val="baseline"/>
                  <w:rPr>
                    <w:sz w:val="20"/>
                  </w:rPr>
                </w:pPr>
                <w:r>
                  <w:rPr>
                    <w:sz w:val="20"/>
                  </w:rPr>
                  <w:t>(m) darbuotojų atstovai – darbuotojų atstovai pagal nacionalinę teisę ir (arba) praktiką</w:t>
                </w:r>
              </w:p>
            </w:tc>
            <w:tc>
              <w:tcPr>
                <w:tcW w:w="5347" w:type="dxa"/>
                <w:tcBorders>
                  <w:bottom w:val="nil"/>
                </w:tcBorders>
              </w:tcPr>
              <w:p w14:paraId="56348E3C" w14:textId="2BA538BD">
                <w:pPr>
                  <w:jc w:val="both"/>
                  <w:rPr>
                    <w:b/>
                    <w:color w:val="000000"/>
                    <w:sz w:val="20"/>
                  </w:rPr>
                </w:pPr>
                <w:r>
                  <w:rPr>
                    <w:b/>
                    <w:color w:val="000000"/>
                    <w:sz w:val="20"/>
                  </w:rPr>
                  <w:t>DK</w:t>
                </w:r>
              </w:p>
              <w:p w14:paraId="73FBD3E8" w14:textId="77777777">
                <w:pPr>
                  <w:jc w:val="both"/>
                  <w:rPr>
                    <w:b/>
                    <w:color w:val="000000"/>
                    <w:sz w:val="20"/>
                  </w:rPr>
                </w:pPr>
                <w:r>
                  <w:rPr>
                    <w:b/>
                    <w:color w:val="000000"/>
                    <w:sz w:val="20"/>
                  </w:rPr>
                  <w:t>165 straipsnis. Darbuotojų atstovavimo sistema</w:t>
                </w:r>
              </w:p>
              <w:p w14:paraId="1D3ACDD6" w14:textId="77777777">
                <w:pPr>
                  <w:jc w:val="both"/>
                  <w:rPr>
                    <w:bCs/>
                    <w:color w:val="000000"/>
                    <w:sz w:val="20"/>
                  </w:rPr>
                </w:pPr>
                <w:r>
                  <w:rPr>
                    <w:bCs/>
                    <w:color w:val="000000"/>
                    <w:sz w:val="20"/>
                  </w:rPr>
                  <w:t>&lt;...&gt;</w:t>
                </w:r>
              </w:p>
              <w:p w14:paraId="0F5C7642" w14:textId="7C7E882B">
                <w:pPr>
                  <w:jc w:val="both"/>
                  <w:rPr>
                    <w:bCs/>
                    <w:color w:val="000000"/>
                    <w:sz w:val="20"/>
                  </w:rPr>
                </w:pPr>
                <w:r>
                  <w:rPr>
                    <w:bCs/>
                    <w:color w:val="000000"/>
                    <w:sz w:val="20"/>
                  </w:rPr>
                  <w:t>2. Darbuotojų atstovais laikomi profesinė sąjunga, darbo taryba ar darbuotojų patikėtinis.</w:t>
                </w:r>
              </w:p>
            </w:tc>
            <w:tc>
              <w:tcPr>
                <w:tcW w:w="1572" w:type="dxa"/>
                <w:tcBorders>
                  <w:bottom w:val="nil"/>
                </w:tcBorders>
              </w:tcPr>
              <w:p w14:paraId="6931858F" w14:textId="699A5DAF">
                <w:pPr>
                  <w:jc w:val="both"/>
                  <w:rPr>
                    <w:color w:val="000000"/>
                    <w:sz w:val="20"/>
                  </w:rPr>
                </w:pPr>
                <w:r>
                  <w:rPr>
                    <w:color w:val="000000"/>
                    <w:sz w:val="20"/>
                  </w:rPr>
                  <w:t>Visiškas</w:t>
                </w:r>
              </w:p>
            </w:tc>
          </w:tr>
          <w:tr w14:paraId="684EA301" w14:textId="77777777">
            <w:tc>
              <w:tcPr>
                <w:tcW w:w="8391" w:type="dxa"/>
                <w:tcBorders>
                  <w:bottom w:val="nil"/>
                </w:tcBorders>
              </w:tcPr>
              <w:p w14:paraId="4A41BE81" w14:textId="77777777">
                <w:pPr>
                  <w:jc w:val="both"/>
                  <w:textAlignment w:val="baseline"/>
                  <w:rPr>
                    <w:b/>
                    <w:bCs/>
                    <w:sz w:val="20"/>
                  </w:rPr>
                </w:pPr>
                <w:r>
                  <w:rPr>
                    <w:b/>
                    <w:bCs/>
                    <w:sz w:val="20"/>
                  </w:rPr>
                  <w:t>2. Šioje direktyvoje diskriminacija apima:</w:t>
                </w:r>
              </w:p>
              <w:p w14:paraId="582A569A" w14:textId="049EEA42">
                <w:pPr>
                  <w:jc w:val="both"/>
                  <w:textAlignment w:val="baseline"/>
                  <w:rPr>
                    <w:sz w:val="20"/>
                  </w:rPr>
                </w:pPr>
                <w:r>
                  <w:rPr>
                    <w:sz w:val="20"/>
                  </w:rPr>
                  <w:t xml:space="preserve">(a) priekabiavimą ir seksualinį priekabiavimą, kaip tai suprantama Direktyvos </w:t>
                </w:r>
                <w:fldSimple w:instr="HYPERLINK http://eur-lex.europa.eu/legal-content/LIT/TXT/?uri=CELEX:32006L0054&amp;locale=lt \t _blank">
                  <w:r>
                    <w:rPr>
                      <w:sz w:val="20"/>
                      <w:u w:val="single"/>
                      <w:color w:val="0000FF" w:themeColor="hyperlink"/>
                    </w:rPr>
                    <w:t>2006/54/EB</w:t>
                  </w:r>
                </w:fldSimple>
                <w:r>
                  <w:rPr>
                    <w:sz w:val="20"/>
                  </w:rPr>
                  <w:t xml:space="preserve"> 2 straipsnio 2 dalies a punkte, taip pat bet kokį mažiau palankų požiūrį į tokiam elgesiui pasipriešinusį arba jam paklususį asmenį, kai toks priekabiavimas ar elgesys yra susijęs su naudojimusi šioje direktyvoje numatytomis teisėmis arba yra jų nulemtas;</w:t>
                </w:r>
              </w:p>
            </w:tc>
            <w:tc>
              <w:tcPr>
                <w:tcW w:w="5347" w:type="dxa"/>
                <w:tcBorders>
                  <w:bottom w:val="nil"/>
                </w:tcBorders>
              </w:tcPr>
              <w:p w14:paraId="1F880774" w14:textId="702B8072">
                <w:pPr>
                  <w:jc w:val="both"/>
                  <w:rPr>
                    <w:b/>
                    <w:color w:val="000000"/>
                    <w:sz w:val="20"/>
                  </w:rPr>
                </w:pPr>
                <w:r>
                  <w:rPr>
                    <w:b/>
                    <w:color w:val="000000"/>
                    <w:sz w:val="20"/>
                  </w:rPr>
                  <w:t>DK</w:t>
                </w:r>
              </w:p>
              <w:p w14:paraId="4092B6F2" w14:textId="77777777">
                <w:pPr>
                  <w:jc w:val="both"/>
                  <w:rPr>
                    <w:b/>
                    <w:color w:val="000000"/>
                    <w:sz w:val="20"/>
                  </w:rPr>
                </w:pPr>
                <w:r>
                  <w:rPr>
                    <w:b/>
                    <w:color w:val="000000"/>
                    <w:sz w:val="20"/>
                  </w:rPr>
                  <w:t>26 straipsnis. Darbuotojų lyčių lygybė ir nediskriminavimas kitais pagrindais</w:t>
                </w:r>
              </w:p>
              <w:p w14:paraId="57813888" w14:textId="77777777">
                <w:pPr>
                  <w:jc w:val="both"/>
                  <w:rPr>
                    <w:bCs/>
                    <w:color w:val="000000"/>
                    <w:sz w:val="20"/>
                  </w:rPr>
                </w:pPr>
                <w:r>
                  <w:rPr>
                    <w:bCs/>
                    <w:color w:val="000000"/>
                    <w:sz w:val="20"/>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4DB14302" w14:textId="77777777">
                <w:pPr>
                  <w:jc w:val="both"/>
                  <w:rPr>
                    <w:bCs/>
                    <w:color w:val="000000"/>
                    <w:sz w:val="20"/>
                  </w:rPr>
                </w:pPr>
                <w:r>
                  <w:rPr>
                    <w:bCs/>
                    <w:i/>
                    <w:iCs/>
                    <w:color w:val="000000"/>
                    <w:sz w:val="20"/>
                  </w:rPr>
                  <w:t>Straipsnio dalies pakeitimai:</w:t>
                </w:r>
              </w:p>
              <w:p w14:paraId="2464885B" w14:textId="77777777">
                <w:pPr>
                  <w:rPr>
                    <w:bCs/>
                    <w:color w:val="000000"/>
                    <w:sz w:val="20"/>
                  </w:rPr>
                </w:pPr>
                <w:r>
                  <w:rPr>
                    <w:bCs/>
                    <w:i/>
                    <w:iCs/>
                    <w:color w:val="000000"/>
                    <w:sz w:val="20"/>
                  </w:rPr>
                  <w:t>Nr. </w:t>
                </w:r>
                <w:hyperlink r:id="rId13" w:tgtFrame="_parent" w:history="1">
                  <w:r>
                    <w:rPr>
                      <w:bCs/>
                      <w:i/>
                      <w:iCs/>
                      <w:color w:val="0000FF"/>
                      <w:sz w:val="20"/>
                      <w:u w:val="single"/>
                    </w:rPr>
                    <w:t>XIII-2944</w:t>
                  </w:r>
                </w:hyperlink>
                <w:r>
                  <w:rPr>
                    <w:bCs/>
                    <w:i/>
                    <w:iCs/>
                    <w:color w:val="000000"/>
                    <w:sz w:val="20"/>
                  </w:rPr>
                  <w:t>, 2020-05-21, paskelbta TAR 2020-06-03, i. k. 2020-12135</w:t>
                </w:r>
              </w:p>
              <w:p w14:paraId="4248713D" w14:textId="277AA381">
                <w:pPr>
                  <w:rPr>
                    <w:bCs/>
                    <w:i/>
                    <w:iCs/>
                    <w:color w:val="000000"/>
                    <w:sz w:val="20"/>
                  </w:rPr>
                </w:pPr>
                <w:r>
                  <w:rPr>
                    <w:bCs/>
                    <w:i/>
                    <w:iCs/>
                    <w:color w:val="000000"/>
                    <w:sz w:val="20"/>
                  </w:rPr>
                  <w:t>Nr. </w:t>
                </w:r>
                <w:hyperlink r:id="rId14" w:tgtFrame="_parent" w:history="1">
                  <w:r>
                    <w:rPr>
                      <w:bCs/>
                      <w:i/>
                      <w:iCs/>
                      <w:color w:val="0000FF"/>
                      <w:sz w:val="20"/>
                      <w:u w:val="single"/>
                    </w:rPr>
                    <w:t>XIV-1189</w:t>
                  </w:r>
                </w:hyperlink>
                <w:r>
                  <w:rPr>
                    <w:bCs/>
                    <w:i/>
                    <w:iCs/>
                    <w:color w:val="000000"/>
                    <w:sz w:val="20"/>
                  </w:rPr>
                  <w:t>, 2022-06-28, paskelbta TAR 2022-07-11, i. k. 2022-15178</w:t>
                </w:r>
              </w:p>
              <w:p w14:paraId="660B1A40" w14:textId="0790B54A">
                <w:pPr>
                  <w:jc w:val="both"/>
                  <w:rPr>
                    <w:b/>
                    <w:bCs/>
                    <w:color w:val="000000"/>
                    <w:sz w:val="20"/>
                    <w:lang w:eastAsia="lt-LT"/>
                  </w:rPr>
                </w:pPr>
                <w:r>
                  <w:rPr>
                    <w:b/>
                    <w:bCs/>
                    <w:color w:val="000000"/>
                    <w:sz w:val="20"/>
                    <w:lang w:eastAsia="lt-LT"/>
                  </w:rPr>
                  <w:t>MVLGĮ</w:t>
                </w:r>
              </w:p>
              <w:p w14:paraId="1AA80FE7" w14:textId="77777777">
                <w:pPr>
                  <w:jc w:val="both"/>
                  <w:rPr>
                    <w:b/>
                    <w:bCs/>
                    <w:color w:val="000000"/>
                    <w:sz w:val="20"/>
                    <w:lang w:eastAsia="lt-LT"/>
                  </w:rPr>
                </w:pPr>
                <w:r>
                  <w:rPr>
                    <w:b/>
                    <w:bCs/>
                    <w:color w:val="000000"/>
                    <w:sz w:val="20"/>
                    <w:lang w:eastAsia="lt-LT"/>
                  </w:rPr>
                  <w:t>2 straipsnis. Pagrindinės šio įstatymo sąvokos</w:t>
                </w:r>
              </w:p>
              <w:p w14:paraId="2910F66E" w14:textId="77777777">
                <w:pPr>
                  <w:jc w:val="both"/>
                  <w:rPr>
                    <w:color w:val="000000"/>
                    <w:sz w:val="20"/>
                    <w:lang w:eastAsia="lt-LT"/>
                  </w:rPr>
                </w:pPr>
                <w:r>
                  <w:rPr>
                    <w:color w:val="000000"/>
                    <w:sz w:val="20"/>
                    <w:lang w:eastAsia="lt-LT"/>
                  </w:rPr>
                  <w:t>1. Diskriminacija – tiesioginė ar netiesioginė diskriminacija, seksualinis priekabiavimas, priekabiavimas, nurodymas tiesiogiai ar netiesiogiai diskriminuoti asmenis dėl lyties.</w:t>
                </w:r>
              </w:p>
              <w:p w14:paraId="39DDF105" w14:textId="77777777">
                <w:pPr>
                  <w:jc w:val="both"/>
                  <w:rPr>
                    <w:color w:val="000000"/>
                    <w:sz w:val="20"/>
                    <w:lang w:eastAsia="lt-LT"/>
                  </w:rPr>
                </w:pPr>
                <w:r>
                  <w:rPr>
                    <w:color w:val="000000"/>
                    <w:sz w:val="20"/>
                    <w:lang w:eastAsia="lt-LT"/>
                  </w:rPr>
                  <w:t>&lt;...&gt;</w:t>
                </w:r>
              </w:p>
              <w:p w14:paraId="2F2527CC" w14:textId="6B9E7AE7">
                <w:pPr>
                  <w:jc w:val="both"/>
                  <w:rPr>
                    <w:color w:val="000000"/>
                    <w:sz w:val="20"/>
                    <w:lang w:eastAsia="lt-LT"/>
                  </w:rPr>
                </w:pPr>
                <w:r>
                  <w:rPr>
                    <w:color w:val="000000"/>
                    <w:sz w:val="20"/>
                    <w:lang w:eastAsia="lt-LT"/>
                  </w:rPr>
                  <w:t>5. Priekabiavimas – nepageidaujamas elgesys, kai dėl asmens lyties siekiama įžeisti arba įžeidžiamas asmens orumas ir siekiama sukurti arba sukuriama bauginanti, priešiška, žeminanti ar įžeidžianti aplinka.</w:t>
                </w:r>
              </w:p>
              <w:p w14:paraId="360B33B2" w14:textId="77777777">
                <w:pPr>
                  <w:jc w:val="both"/>
                  <w:rPr>
                    <w:color w:val="000000"/>
                    <w:sz w:val="20"/>
                    <w:lang w:eastAsia="lt-LT"/>
                  </w:rPr>
                </w:pPr>
                <w:r>
                  <w:rPr>
                    <w:color w:val="000000"/>
                    <w:sz w:val="20"/>
                    <w:lang w:eastAsia="lt-LT"/>
                  </w:rPr>
                  <w:t>6. Seksualinis priekabiavimas – nepageidaujamas užgaulus, žodžiu, raštu ar fiziniu veiksmu išreikštas seksualinio pobūdžio elgesys su asmeniu, kai tokį elgesį lemia tikslas ar jo poveikis pakenkti asmens orumui, ypač sukuriant bauginančią, priešišką, žeminančią ar įžeidžiančią aplinką.</w:t>
                </w:r>
              </w:p>
              <w:p w14:paraId="31B63877" w14:textId="77777777">
                <w:pPr>
                  <w:jc w:val="both"/>
                  <w:rPr>
                    <w:b/>
                    <w:bCs/>
                    <w:color w:val="000000"/>
                    <w:sz w:val="20"/>
                    <w:lang w:eastAsia="lt-LT"/>
                  </w:rPr>
                </w:pPr>
                <w:r>
                  <w:rPr>
                    <w:b/>
                    <w:bCs/>
                    <w:color w:val="000000"/>
                    <w:sz w:val="20"/>
                    <w:lang w:eastAsia="lt-LT"/>
                  </w:rPr>
                  <w:t>6 straipsnis. Darbdavio arba darbdavio atstovo pareiga įgyvendinti lygias moterų ir vyrų teises darbe</w:t>
                </w:r>
              </w:p>
              <w:p w14:paraId="544A44FA" w14:textId="77777777">
                <w:pPr>
                  <w:jc w:val="both"/>
                  <w:rPr>
                    <w:color w:val="000000"/>
                    <w:sz w:val="20"/>
                    <w:lang w:eastAsia="lt-LT"/>
                  </w:rPr>
                </w:pPr>
                <w:r>
                  <w:rPr>
                    <w:color w:val="000000"/>
                    <w:sz w:val="20"/>
                    <w:lang w:eastAsia="lt-LT"/>
                  </w:rPr>
                  <w:t>Įgyvendindamas lygias moterų ir vyrų teises, darbdavys arba darbdavio atstovas privalo:</w:t>
                </w:r>
              </w:p>
              <w:p w14:paraId="0CCDCEC7" w14:textId="77777777">
                <w:pPr>
                  <w:jc w:val="both"/>
                  <w:rPr>
                    <w:color w:val="000000"/>
                    <w:sz w:val="20"/>
                    <w:lang w:eastAsia="lt-LT"/>
                  </w:rPr>
                </w:pPr>
                <w:r>
                  <w:rPr>
                    <w:color w:val="000000"/>
                    <w:sz w:val="20"/>
                    <w:lang w:eastAsia="lt-LT"/>
                  </w:rPr>
                  <w:t>&lt;...&gt;</w:t>
                </w:r>
              </w:p>
              <w:p w14:paraId="773BCD23" w14:textId="12742576">
                <w:pPr>
                  <w:jc w:val="both"/>
                  <w:rPr>
                    <w:color w:val="000000"/>
                    <w:sz w:val="20"/>
                    <w:lang w:eastAsia="lt-LT"/>
                  </w:rPr>
                </w:pPr>
                <w:r>
                  <w:rPr>
                    <w:color w:val="000000"/>
                    <w:sz w:val="20"/>
                    <w:lang w:eastAsia="lt-LT"/>
                  </w:rPr>
                  <w:t>4) užtikrinti, kad siekiantis įsidarbinti asmuo ar darbuotojas nepatirtų priekabiavimo ir seksualinio priekabiavimo;</w:t>
                </w:r>
              </w:p>
              <w:p w14:paraId="6FA3002F" w14:textId="77777777">
                <w:pPr>
                  <w:jc w:val="both"/>
                  <w:rPr>
                    <w:color w:val="000000"/>
                    <w:sz w:val="20"/>
                    <w:lang w:eastAsia="lt-LT"/>
                  </w:rPr>
                </w:pPr>
                <w:r>
                  <w:rPr>
                    <w:i/>
                    <w:iCs/>
                    <w:color w:val="000000"/>
                    <w:sz w:val="20"/>
                    <w:lang w:eastAsia="lt-LT"/>
                  </w:rPr>
                  <w:t>Straipsnio punkto pakeitimai:</w:t>
                </w:r>
              </w:p>
              <w:p w14:paraId="614D1B68" w14:textId="457295E6">
                <w:pPr>
                  <w:jc w:val="both"/>
                  <w:rPr>
                    <w:color w:val="000000"/>
                    <w:sz w:val="20"/>
                    <w:lang w:eastAsia="lt-LT"/>
                  </w:rPr>
                </w:pPr>
                <w:r>
                  <w:rPr>
                    <w:i/>
                    <w:iCs/>
                    <w:color w:val="000000"/>
                    <w:sz w:val="20"/>
                    <w:lang w:eastAsia="lt-LT"/>
                  </w:rPr>
                  <w:t>Nr. </w:t>
                </w:r>
                <w:hyperlink r:id="rId15" w:tgtFrame="_parent" w:history="1">
                  <w:r>
                    <w:rPr>
                      <w:i/>
                      <w:iCs/>
                      <w:color w:val="0000FF"/>
                      <w:sz w:val="20"/>
                      <w:u w:val="single"/>
                      <w:lang w:eastAsia="lt-LT"/>
                    </w:rPr>
                    <w:t>XIII-364</w:t>
                  </w:r>
                </w:hyperlink>
                <w:r>
                  <w:rPr>
                    <w:i/>
                    <w:iCs/>
                    <w:color w:val="000000"/>
                    <w:sz w:val="20"/>
                    <w:lang w:eastAsia="lt-LT"/>
                  </w:rPr>
                  <w:t>, 2017-05-11, paskelbta TAR 2017-05-24, i. k. 2017-08723</w:t>
                </w:r>
              </w:p>
              <w:p w14:paraId="36F419C0" w14:textId="207553E6">
                <w:pPr>
                  <w:jc w:val="both"/>
                  <w:rPr>
                    <w:b/>
                    <w:bCs/>
                    <w:color w:val="000000"/>
                    <w:sz w:val="20"/>
                    <w:lang w:eastAsia="lt-LT"/>
                  </w:rPr>
                </w:pPr>
                <w:r>
                  <w:rPr>
                    <w:b/>
                    <w:bCs/>
                    <w:color w:val="000000"/>
                    <w:sz w:val="20"/>
                    <w:lang w:eastAsia="lt-LT"/>
                  </w:rPr>
                  <w:t>LGĮ</w:t>
                </w:r>
              </w:p>
              <w:p w14:paraId="3EFAE598" w14:textId="4788770E">
                <w:pPr>
                  <w:jc w:val="both"/>
                  <w:rPr>
                    <w:b/>
                    <w:bCs/>
                    <w:color w:val="000000"/>
                    <w:sz w:val="20"/>
                    <w:lang w:eastAsia="lt-LT"/>
                  </w:rPr>
                </w:pPr>
                <w:r>
                  <w:rPr>
                    <w:b/>
                    <w:bCs/>
                    <w:color w:val="000000"/>
                    <w:sz w:val="20"/>
                    <w:lang w:eastAsia="lt-LT"/>
                  </w:rPr>
                  <w:t>7 straipsnis. Darbdavio pareiga įgyvendinti lygias galimybes darbe, valstybės tarnyboje</w:t>
                </w:r>
              </w:p>
              <w:p w14:paraId="5BA46218" w14:textId="77777777">
                <w:pPr>
                  <w:jc w:val="both"/>
                  <w:rPr>
                    <w:color w:val="000000"/>
                    <w:sz w:val="20"/>
                    <w:lang w:eastAsia="lt-LT"/>
                  </w:rPr>
                </w:pPr>
                <w:r>
                  <w:rPr>
                    <w:color w:val="000000"/>
                    <w:sz w:val="20"/>
                    <w:lang w:eastAsia="lt-LT"/>
                  </w:rPr>
                  <w:t>Įgyvendindamas lygias galimybes, darbdavys, neatsižvelgdamas į lytį, rasę, tautybę, pilietybę, kalbą, kilmę, socialinę padėtį, tikėjimą, įsitikinimus ar pažiūras, amžių, lytinę orientaciją, negalią, etninę priklausomybę, religiją, privalo:</w:t>
                </w:r>
              </w:p>
              <w:p w14:paraId="07FCB4C6" w14:textId="77777777">
                <w:pPr>
                  <w:jc w:val="both"/>
                  <w:rPr>
                    <w:color w:val="000000"/>
                    <w:sz w:val="20"/>
                    <w:lang w:eastAsia="lt-LT"/>
                  </w:rPr>
                </w:pPr>
                <w:r>
                  <w:rPr>
                    <w:color w:val="000000"/>
                    <w:sz w:val="20"/>
                    <w:lang w:eastAsia="lt-LT"/>
                  </w:rPr>
                  <w:t>&lt;...&gt;</w:t>
                </w:r>
              </w:p>
              <w:p w14:paraId="6B493AB1" w14:textId="50207386">
                <w:pPr>
                  <w:jc w:val="both"/>
                  <w:rPr>
                    <w:color w:val="000000"/>
                    <w:sz w:val="20"/>
                    <w:lang w:eastAsia="lt-LT"/>
                  </w:rPr>
                </w:pPr>
                <w:r>
                  <w:rPr>
                    <w:color w:val="000000"/>
                    <w:sz w:val="20"/>
                    <w:lang w:eastAsia="lt-LT"/>
                  </w:rPr>
                  <w:t>6) užtikrinti, kad siekiantys įsidarbinti asmenys, darbuotojai ar valstybės tarnautojai darbo vietoje nepatirtų priekabiavimo, seksualinio priekabiavimo ir nebūtų duodami nurodymai diskriminuoti;</w:t>
                </w:r>
              </w:p>
            </w:tc>
            <w:tc>
              <w:tcPr>
                <w:tcW w:w="1572" w:type="dxa"/>
                <w:tcBorders>
                  <w:bottom w:val="nil"/>
                </w:tcBorders>
              </w:tcPr>
              <w:p w14:paraId="735D95F4" w14:textId="26B7FC95">
                <w:pPr>
                  <w:jc w:val="both"/>
                  <w:rPr>
                    <w:color w:val="000000"/>
                    <w:sz w:val="20"/>
                  </w:rPr>
                </w:pPr>
                <w:r>
                  <w:rPr>
                    <w:color w:val="000000"/>
                    <w:sz w:val="20"/>
                  </w:rPr>
                  <w:t>Visiškas</w:t>
                </w:r>
              </w:p>
            </w:tc>
          </w:tr>
          <w:tr w14:paraId="28640C51" w14:textId="77777777">
            <w:tc>
              <w:tcPr>
                <w:tcW w:w="8391" w:type="dxa"/>
                <w:tcBorders>
                  <w:bottom w:val="nil"/>
                </w:tcBorders>
              </w:tcPr>
              <w:p w14:paraId="2F345147" w14:textId="51AB99CF">
                <w:pPr>
                  <w:jc w:val="both"/>
                  <w:textAlignment w:val="baseline"/>
                  <w:rPr>
                    <w:sz w:val="20"/>
                  </w:rPr>
                </w:pPr>
                <w:r>
                  <w:rPr>
                    <w:sz w:val="20"/>
                  </w:rPr>
                  <w:t>(b) bet kokį nurodymą diskriminuoti asmenis dėl lyties;</w:t>
                </w:r>
              </w:p>
            </w:tc>
            <w:tc>
              <w:tcPr>
                <w:tcW w:w="5347" w:type="dxa"/>
                <w:tcBorders>
                  <w:bottom w:val="nil"/>
                </w:tcBorders>
              </w:tcPr>
              <w:p w14:paraId="7E45519F" w14:textId="748FAB2D">
                <w:pPr>
                  <w:jc w:val="both"/>
                  <w:rPr>
                    <w:b/>
                    <w:color w:val="000000"/>
                    <w:sz w:val="20"/>
                  </w:rPr>
                </w:pPr>
                <w:r>
                  <w:rPr>
                    <w:b/>
                    <w:color w:val="000000"/>
                    <w:sz w:val="20"/>
                  </w:rPr>
                  <w:t>DK</w:t>
                </w:r>
              </w:p>
              <w:p w14:paraId="27E792A1" w14:textId="77777777">
                <w:pPr>
                  <w:jc w:val="both"/>
                  <w:rPr>
                    <w:b/>
                    <w:color w:val="000000"/>
                    <w:sz w:val="20"/>
                  </w:rPr>
                </w:pPr>
                <w:r>
                  <w:rPr>
                    <w:b/>
                    <w:color w:val="000000"/>
                    <w:sz w:val="20"/>
                  </w:rPr>
                  <w:t>26 straipsnis. Darbuotojų lyčių lygybė ir nediskriminavimas kitais pagrindais</w:t>
                </w:r>
              </w:p>
              <w:p w14:paraId="01EEE2E5" w14:textId="77777777">
                <w:pPr>
                  <w:jc w:val="both"/>
                  <w:rPr>
                    <w:bCs/>
                    <w:color w:val="000000"/>
                    <w:sz w:val="20"/>
                  </w:rPr>
                </w:pPr>
                <w:r>
                  <w:rPr>
                    <w:bCs/>
                    <w:color w:val="000000"/>
                    <w:sz w:val="20"/>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41B6A4E1" w14:textId="77777777">
                <w:pPr>
                  <w:jc w:val="both"/>
                  <w:rPr>
                    <w:bCs/>
                    <w:color w:val="000000"/>
                    <w:sz w:val="20"/>
                  </w:rPr>
                </w:pPr>
                <w:r>
                  <w:rPr>
                    <w:bCs/>
                    <w:i/>
                    <w:iCs/>
                    <w:color w:val="000000"/>
                    <w:sz w:val="20"/>
                  </w:rPr>
                  <w:t>Straipsnio dalies pakeitimai:</w:t>
                </w:r>
              </w:p>
              <w:p w14:paraId="16E01E3D" w14:textId="77777777">
                <w:pPr>
                  <w:rPr>
                    <w:bCs/>
                    <w:color w:val="000000"/>
                    <w:sz w:val="20"/>
                  </w:rPr>
                </w:pPr>
                <w:r>
                  <w:rPr>
                    <w:bCs/>
                    <w:i/>
                    <w:iCs/>
                    <w:color w:val="000000"/>
                    <w:sz w:val="20"/>
                  </w:rPr>
                  <w:t>Nr. </w:t>
                </w:r>
                <w:hyperlink r:id="rId16" w:tgtFrame="_parent" w:history="1">
                  <w:r>
                    <w:rPr>
                      <w:bCs/>
                      <w:i/>
                      <w:iCs/>
                      <w:color w:val="0000FF"/>
                      <w:sz w:val="20"/>
                      <w:u w:val="single"/>
                    </w:rPr>
                    <w:t>XIII-2944</w:t>
                  </w:r>
                </w:hyperlink>
                <w:r>
                  <w:rPr>
                    <w:bCs/>
                    <w:i/>
                    <w:iCs/>
                    <w:color w:val="000000"/>
                    <w:sz w:val="20"/>
                  </w:rPr>
                  <w:t>, 2020-05-21, paskelbta TAR 2020-06-03, i. k. 2020-12135</w:t>
                </w:r>
              </w:p>
              <w:p w14:paraId="051EE23E" w14:textId="022CD55A">
                <w:pPr>
                  <w:rPr>
                    <w:bCs/>
                    <w:color w:val="000000"/>
                    <w:sz w:val="20"/>
                  </w:rPr>
                </w:pPr>
                <w:r>
                  <w:rPr>
                    <w:bCs/>
                    <w:i/>
                    <w:iCs/>
                    <w:color w:val="000000"/>
                    <w:sz w:val="20"/>
                  </w:rPr>
                  <w:t>Nr. </w:t>
                </w:r>
                <w:hyperlink r:id="rId17" w:tgtFrame="_parent" w:history="1">
                  <w:r>
                    <w:rPr>
                      <w:bCs/>
                      <w:i/>
                      <w:iCs/>
                      <w:color w:val="0000FF"/>
                      <w:sz w:val="20"/>
                      <w:u w:val="single"/>
                    </w:rPr>
                    <w:t>XIV-1189</w:t>
                  </w:r>
                </w:hyperlink>
                <w:r>
                  <w:rPr>
                    <w:bCs/>
                    <w:i/>
                    <w:iCs/>
                    <w:color w:val="000000"/>
                    <w:sz w:val="20"/>
                  </w:rPr>
                  <w:t>, 2022-06-28, paskelbta TAR 2022-07-11, i. k. 2022-15178</w:t>
                </w:r>
              </w:p>
            </w:tc>
            <w:tc>
              <w:tcPr>
                <w:tcW w:w="1572" w:type="dxa"/>
                <w:tcBorders>
                  <w:bottom w:val="nil"/>
                </w:tcBorders>
              </w:tcPr>
              <w:p w14:paraId="0CDA2903" w14:textId="08BC44FA">
                <w:pPr>
                  <w:jc w:val="both"/>
                  <w:rPr>
                    <w:color w:val="000000"/>
                    <w:sz w:val="20"/>
                  </w:rPr>
                </w:pPr>
                <w:r>
                  <w:rPr>
                    <w:color w:val="000000"/>
                    <w:sz w:val="20"/>
                  </w:rPr>
                  <w:t>Visiškas</w:t>
                </w:r>
              </w:p>
            </w:tc>
          </w:tr>
          <w:tr w14:paraId="626BA41C" w14:textId="77777777">
            <w:tc>
              <w:tcPr>
                <w:tcW w:w="8391" w:type="dxa"/>
                <w:tcBorders>
                  <w:bottom w:val="nil"/>
                </w:tcBorders>
              </w:tcPr>
              <w:p w14:paraId="1858A867" w14:textId="3F38765D">
                <w:pPr>
                  <w:jc w:val="both"/>
                  <w:textAlignment w:val="baseline"/>
                  <w:rPr>
                    <w:sz w:val="20"/>
                  </w:rPr>
                </w:pPr>
                <w:r>
                  <w:rPr>
                    <w:sz w:val="20"/>
                  </w:rPr>
                  <w:t xml:space="preserve">(c) bet kokį mažiau palankų požiūrį dėl nėštumo arba motinystės atostogų, kaip tai suprantama Tarybos direktyvoje </w:t>
                </w:r>
                <w:fldSimple w:instr="HYPERLINK http://eur-lex.europa.eu/legal-content/LIT/TXT/?uri=CELEX:31992L0085&amp;locale=lt \t _blank">
                  <w:r>
                    <w:rPr>
                      <w:sz w:val="20"/>
                      <w:u w:val="single"/>
                      <w:color w:val="0000FF" w:themeColor="hyperlink"/>
                    </w:rPr>
                    <w:t>92/85/EEB</w:t>
                  </w:r>
                </w:fldSimple>
                <w:r>
                  <w:rPr>
                    <w:sz w:val="20"/>
                  </w:rPr>
                  <w:t>;</w:t>
                </w:r>
              </w:p>
            </w:tc>
            <w:tc>
              <w:tcPr>
                <w:tcW w:w="5347" w:type="dxa"/>
                <w:tcBorders>
                  <w:bottom w:val="nil"/>
                </w:tcBorders>
              </w:tcPr>
              <w:p w14:paraId="17946456" w14:textId="08B79E8F">
                <w:pPr>
                  <w:jc w:val="both"/>
                  <w:rPr>
                    <w:b/>
                    <w:color w:val="000000"/>
                    <w:sz w:val="20"/>
                  </w:rPr>
                </w:pPr>
                <w:r>
                  <w:rPr>
                    <w:b/>
                    <w:color w:val="000000"/>
                    <w:sz w:val="20"/>
                  </w:rPr>
                  <w:t>DK</w:t>
                </w:r>
              </w:p>
              <w:p w14:paraId="32DA0026" w14:textId="77777777">
                <w:pPr>
                  <w:jc w:val="both"/>
                  <w:rPr>
                    <w:b/>
                    <w:color w:val="000000"/>
                    <w:sz w:val="20"/>
                  </w:rPr>
                </w:pPr>
                <w:r>
                  <w:rPr>
                    <w:b/>
                    <w:color w:val="000000"/>
                    <w:sz w:val="20"/>
                  </w:rPr>
                  <w:t>26 straipsnis. Darbuotojų lyčių lygybė ir nediskriminavimas kitais pagrindais</w:t>
                </w:r>
              </w:p>
              <w:p w14:paraId="0F5CBC40" w14:textId="77777777">
                <w:pPr>
                  <w:jc w:val="both"/>
                  <w:rPr>
                    <w:bCs/>
                    <w:color w:val="000000"/>
                    <w:sz w:val="20"/>
                  </w:rPr>
                </w:pPr>
                <w:r>
                  <w:rPr>
                    <w:bCs/>
                    <w:color w:val="000000"/>
                    <w:sz w:val="20"/>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2C47B822" w14:textId="77777777">
                <w:pPr>
                  <w:jc w:val="both"/>
                  <w:rPr>
                    <w:bCs/>
                    <w:color w:val="000000"/>
                    <w:sz w:val="20"/>
                  </w:rPr>
                </w:pPr>
                <w:r>
                  <w:rPr>
                    <w:bCs/>
                    <w:i/>
                    <w:iCs/>
                    <w:color w:val="000000"/>
                    <w:sz w:val="20"/>
                  </w:rPr>
                  <w:t>Straipsnio dalies pakeitimai:</w:t>
                </w:r>
              </w:p>
              <w:p w14:paraId="566FC22C" w14:textId="77777777">
                <w:pPr>
                  <w:rPr>
                    <w:bCs/>
                    <w:color w:val="000000"/>
                    <w:sz w:val="20"/>
                  </w:rPr>
                </w:pPr>
                <w:r>
                  <w:rPr>
                    <w:bCs/>
                    <w:i/>
                    <w:iCs/>
                    <w:color w:val="000000"/>
                    <w:sz w:val="20"/>
                  </w:rPr>
                  <w:t>Nr. </w:t>
                </w:r>
                <w:hyperlink r:id="rId18" w:tgtFrame="_parent" w:history="1">
                  <w:r>
                    <w:rPr>
                      <w:bCs/>
                      <w:i/>
                      <w:iCs/>
                      <w:color w:val="0000FF"/>
                      <w:sz w:val="20"/>
                      <w:u w:val="single"/>
                    </w:rPr>
                    <w:t>XIII-2944</w:t>
                  </w:r>
                </w:hyperlink>
                <w:r>
                  <w:rPr>
                    <w:bCs/>
                    <w:i/>
                    <w:iCs/>
                    <w:color w:val="000000"/>
                    <w:sz w:val="20"/>
                  </w:rPr>
                  <w:t>, 2020-05-21, paskelbta TAR 2020-06-03, i. k. 2020-12135</w:t>
                </w:r>
              </w:p>
              <w:p w14:paraId="6812286B" w14:textId="36023017">
                <w:pPr>
                  <w:rPr>
                    <w:bCs/>
                    <w:color w:val="000000"/>
                    <w:sz w:val="20"/>
                  </w:rPr>
                </w:pPr>
                <w:r>
                  <w:rPr>
                    <w:bCs/>
                    <w:i/>
                    <w:iCs/>
                    <w:color w:val="000000"/>
                    <w:sz w:val="20"/>
                  </w:rPr>
                  <w:t>Nr. </w:t>
                </w:r>
                <w:hyperlink r:id="rId19" w:tgtFrame="_parent" w:history="1">
                  <w:r>
                    <w:rPr>
                      <w:bCs/>
                      <w:i/>
                      <w:iCs/>
                      <w:color w:val="0000FF"/>
                      <w:sz w:val="20"/>
                      <w:u w:val="single"/>
                    </w:rPr>
                    <w:t>XIV-1189</w:t>
                  </w:r>
                </w:hyperlink>
                <w:r>
                  <w:rPr>
                    <w:bCs/>
                    <w:i/>
                    <w:iCs/>
                    <w:color w:val="000000"/>
                    <w:sz w:val="20"/>
                  </w:rPr>
                  <w:t>, 2022-06-28, paskelbta TAR 2022-07-11, i. k. 2022-15178</w:t>
                </w:r>
              </w:p>
              <w:p w14:paraId="6A687080" w14:textId="09E231B1">
                <w:pPr>
                  <w:jc w:val="both"/>
                  <w:rPr>
                    <w:bCs/>
                    <w:color w:val="000000"/>
                    <w:sz w:val="20"/>
                  </w:rPr>
                </w:pPr>
                <w:r>
                  <w:rPr>
                    <w:bCs/>
                    <w:color w:val="000000"/>
                    <w:sz w:val="20"/>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w:t>
                </w:r>
                <w:r>
                  <w:rPr>
                    <w:b/>
                    <w:color w:val="000000"/>
                    <w:sz w:val="20"/>
                  </w:rPr>
                  <w:t xml:space="preserve"> </w:t>
                </w:r>
                <w:r>
                  <w:rPr>
                    <w:bCs/>
                    <w:color w:val="000000"/>
                    <w:sz w:val="20"/>
                  </w:rPr>
                  <w:t>bendruomenės, bendrijos ar centro etosą, yra įprastas, teisėtas ir pateisinamas), ketinimą turėti vaiką, taip pat į tai, kad darbuotojas naudojasi ar naudojosi šiame kodekse numatytomis teisėmis, ar kitus įstatymuose numatytus pagrindus, privalo:</w:t>
                </w:r>
              </w:p>
              <w:p w14:paraId="4525395F" w14:textId="77777777">
                <w:pPr>
                  <w:jc w:val="both"/>
                  <w:rPr>
                    <w:bCs/>
                    <w:color w:val="000000"/>
                    <w:sz w:val="20"/>
                  </w:rPr>
                </w:pPr>
                <w:r>
                  <w:rPr>
                    <w:bCs/>
                    <w:i/>
                    <w:iCs/>
                    <w:color w:val="000000"/>
                    <w:sz w:val="20"/>
                  </w:rPr>
                  <w:t>Straipsnio dalies pakeitimai:</w:t>
                </w:r>
              </w:p>
              <w:p w14:paraId="7FB57D47" w14:textId="79493F0B">
                <w:pPr>
                  <w:rPr>
                    <w:bCs/>
                    <w:color w:val="000000"/>
                    <w:sz w:val="20"/>
                  </w:rPr>
                </w:pPr>
                <w:r>
                  <w:rPr>
                    <w:bCs/>
                    <w:i/>
                    <w:iCs/>
                    <w:color w:val="000000"/>
                    <w:sz w:val="20"/>
                  </w:rPr>
                  <w:t>Nr. </w:t>
                </w:r>
                <w:hyperlink r:id="rId20" w:tgtFrame="_parent" w:history="1">
                  <w:r>
                    <w:rPr>
                      <w:bCs/>
                      <w:i/>
                      <w:iCs/>
                      <w:color w:val="0000FF"/>
                      <w:sz w:val="20"/>
                      <w:u w:val="single"/>
                    </w:rPr>
                    <w:t>XIV-1189</w:t>
                  </w:r>
                </w:hyperlink>
                <w:r>
                  <w:rPr>
                    <w:bCs/>
                    <w:i/>
                    <w:iCs/>
                    <w:color w:val="000000"/>
                    <w:sz w:val="20"/>
                  </w:rPr>
                  <w:t>, 2022-06-28, paskelbta TAR 2022-07-11, i. k. 2022-15178</w:t>
                </w:r>
              </w:p>
              <w:p w14:paraId="7457BE57" w14:textId="4B913B0B">
                <w:pPr>
                  <w:jc w:val="both"/>
                  <w:rPr>
                    <w:bCs/>
                    <w:color w:val="000000"/>
                    <w:sz w:val="20"/>
                  </w:rPr>
                </w:pPr>
                <w:r>
                  <w:rPr>
                    <w:bCs/>
                    <w:color w:val="000000"/>
                    <w:sz w:val="20"/>
                  </w:rPr>
                  <w:t>1) priimdamas į darbą, taikyti vienodus atrankos kriterijus ir sąlygas;</w:t>
                </w:r>
              </w:p>
              <w:p w14:paraId="13B550E4" w14:textId="78896FC1">
                <w:pPr>
                  <w:jc w:val="both"/>
                  <w:rPr>
                    <w:bCs/>
                    <w:color w:val="000000"/>
                    <w:sz w:val="20"/>
                  </w:rPr>
                </w:pPr>
                <w:r>
                  <w:rPr>
                    <w:bCs/>
                    <w:color w:val="000000"/>
                    <w:sz w:val="20"/>
                  </w:rPr>
                  <w:t>2) sudaryti vienodas darbo sąlygas, galimybes tobulinti kvalifikaciją, siekti profesinio tobulėjimo, persikvalifikuoti, įgyti praktinės darbo patirties, taip pat teikti vienodas lengvatas;</w:t>
                </w:r>
              </w:p>
              <w:p w14:paraId="1AA6FF39" w14:textId="1EB74972">
                <w:pPr>
                  <w:jc w:val="both"/>
                  <w:rPr>
                    <w:bCs/>
                    <w:color w:val="000000"/>
                    <w:sz w:val="20"/>
                  </w:rPr>
                </w:pPr>
                <w:r>
                  <w:rPr>
                    <w:bCs/>
                    <w:color w:val="000000"/>
                    <w:sz w:val="20"/>
                  </w:rPr>
                  <w:t>3) taikyti vienodus darbo vertinimo ir atleidimo iš darbo kriterijus;</w:t>
                </w:r>
              </w:p>
              <w:p w14:paraId="1399E515" w14:textId="77777777">
                <w:pPr>
                  <w:jc w:val="both"/>
                  <w:rPr>
                    <w:bCs/>
                    <w:color w:val="000000"/>
                    <w:sz w:val="20"/>
                  </w:rPr>
                </w:pPr>
                <w:r>
                  <w:rPr>
                    <w:bCs/>
                    <w:color w:val="000000"/>
                    <w:sz w:val="20"/>
                  </w:rPr>
                  <w:t>4) už tokį patį ir vienodos vertės darbą mokėti vienodą darbo užmokestį;</w:t>
                </w:r>
              </w:p>
              <w:p w14:paraId="1C412A99" w14:textId="37B7BC15">
                <w:pPr>
                  <w:jc w:val="both"/>
                  <w:rPr>
                    <w:bCs/>
                    <w:color w:val="000000"/>
                    <w:sz w:val="20"/>
                  </w:rPr>
                </w:pPr>
                <w:r>
                  <w:rPr>
                    <w:bCs/>
                    <w:color w:val="000000"/>
                    <w:sz w:val="20"/>
                  </w:rPr>
                  <w:t>&lt;...&gt;</w:t>
                </w:r>
              </w:p>
            </w:tc>
            <w:tc>
              <w:tcPr>
                <w:tcW w:w="1572" w:type="dxa"/>
                <w:tcBorders>
                  <w:bottom w:val="nil"/>
                </w:tcBorders>
              </w:tcPr>
              <w:p w14:paraId="0B0BE562" w14:textId="086E60CC">
                <w:pPr>
                  <w:jc w:val="both"/>
                  <w:rPr>
                    <w:color w:val="000000"/>
                    <w:sz w:val="20"/>
                  </w:rPr>
                </w:pPr>
                <w:r>
                  <w:rPr>
                    <w:color w:val="000000"/>
                    <w:sz w:val="20"/>
                  </w:rPr>
                  <w:t>Visiškas</w:t>
                </w:r>
              </w:p>
            </w:tc>
          </w:tr>
          <w:tr w14:paraId="1A2C38DF" w14:textId="77777777">
            <w:tc>
              <w:tcPr>
                <w:tcW w:w="8391" w:type="dxa"/>
                <w:tcBorders>
                  <w:bottom w:val="nil"/>
                </w:tcBorders>
              </w:tcPr>
              <w:p w14:paraId="51A3F6A9" w14:textId="1159B17A">
                <w:pPr>
                  <w:jc w:val="both"/>
                  <w:textAlignment w:val="baseline"/>
                  <w:rPr>
                    <w:sz w:val="20"/>
                  </w:rPr>
                </w:pPr>
                <w:r>
                  <w:rPr>
                    <w:sz w:val="20"/>
                  </w:rPr>
                  <w:t xml:space="preserve">(d) bet kokį mažiau palankų požiūrį dėl lyties, kaip tai suprantama Europos Parlamento ir Tarybos direktyvoje </w:t>
                </w:r>
                <w:fldSimple w:instr="HYPERLINK http://eur-lex.europa.eu/legal-content/LIT/TXT/?uri=CELEX:32019L1158&amp;locale=lt \t _blank">
                  <w:r>
                    <w:rPr>
                      <w:sz w:val="20"/>
                      <w:u w:val="single"/>
                      <w:color w:val="0000FF" w:themeColor="hyperlink"/>
                    </w:rPr>
                    <w:t>(ES) 2019/1158</w:t>
                  </w:r>
                </w:fldSimple>
                <w:r>
                  <w:rPr>
                    <w:sz w:val="20"/>
                  </w:rPr>
                  <w:t>, be kita ko, kiek tai susiję su tėvystės, vaiko priežiūros ar prižiūrinčiojo asmens atostogomis;</w:t>
                </w:r>
              </w:p>
            </w:tc>
            <w:tc>
              <w:tcPr>
                <w:tcW w:w="5347" w:type="dxa"/>
                <w:tcBorders>
                  <w:bottom w:val="nil"/>
                </w:tcBorders>
              </w:tcPr>
              <w:p w14:paraId="67471A95" w14:textId="42A587FB">
                <w:pPr>
                  <w:jc w:val="both"/>
                  <w:rPr>
                    <w:b/>
                    <w:color w:val="000000"/>
                    <w:sz w:val="20"/>
                  </w:rPr>
                </w:pPr>
                <w:r>
                  <w:rPr>
                    <w:b/>
                    <w:color w:val="000000"/>
                    <w:sz w:val="20"/>
                  </w:rPr>
                  <w:t>DK</w:t>
                </w:r>
              </w:p>
              <w:p w14:paraId="2DD3C1FD" w14:textId="77777777">
                <w:pPr>
                  <w:jc w:val="both"/>
                  <w:rPr>
                    <w:b/>
                    <w:color w:val="000000"/>
                    <w:sz w:val="20"/>
                  </w:rPr>
                </w:pPr>
                <w:r>
                  <w:rPr>
                    <w:b/>
                    <w:color w:val="000000"/>
                    <w:sz w:val="20"/>
                  </w:rPr>
                  <w:t>26 straipsnis. Darbuotojų lyčių lygybė ir nediskriminavimas kitais pagrindais</w:t>
                </w:r>
              </w:p>
              <w:p w14:paraId="2FC5C40E" w14:textId="77777777">
                <w:pPr>
                  <w:jc w:val="both"/>
                  <w:rPr>
                    <w:bCs/>
                    <w:color w:val="000000"/>
                    <w:sz w:val="20"/>
                  </w:rPr>
                </w:pPr>
                <w:r>
                  <w:rPr>
                    <w:bCs/>
                    <w:color w:val="000000"/>
                    <w:sz w:val="20"/>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w:t>
                </w:r>
                <w:r>
                  <w:rPr>
                    <w:color w:val="000000"/>
                    <w:sz w:val="20"/>
                  </w:rPr>
                  <w:t xml:space="preserve"> lyties</w:t>
                </w:r>
                <w:r>
                  <w:rPr>
                    <w:bCs/>
                    <w:color w:val="000000"/>
                    <w:sz w:val="20"/>
                  </w:rPr>
                  <w:t>,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7013DD28" w14:textId="77777777">
                <w:pPr>
                  <w:jc w:val="both"/>
                  <w:rPr>
                    <w:bCs/>
                    <w:color w:val="000000"/>
                    <w:sz w:val="20"/>
                  </w:rPr>
                </w:pPr>
                <w:r>
                  <w:rPr>
                    <w:bCs/>
                    <w:i/>
                    <w:iCs/>
                    <w:color w:val="000000"/>
                    <w:sz w:val="20"/>
                  </w:rPr>
                  <w:t>Straipsnio dalies pakeitimai:</w:t>
                </w:r>
              </w:p>
              <w:p w14:paraId="45183FA4" w14:textId="77777777">
                <w:pPr>
                  <w:rPr>
                    <w:bCs/>
                    <w:color w:val="000000"/>
                    <w:sz w:val="20"/>
                  </w:rPr>
                </w:pPr>
                <w:r>
                  <w:rPr>
                    <w:bCs/>
                    <w:i/>
                    <w:iCs/>
                    <w:color w:val="000000"/>
                    <w:sz w:val="20"/>
                  </w:rPr>
                  <w:t>Nr. </w:t>
                </w:r>
                <w:hyperlink r:id="rId21" w:tgtFrame="_parent" w:history="1">
                  <w:r>
                    <w:rPr>
                      <w:bCs/>
                      <w:i/>
                      <w:iCs/>
                      <w:color w:val="0000FF"/>
                      <w:sz w:val="20"/>
                      <w:u w:val="single"/>
                    </w:rPr>
                    <w:t>XIII-2944</w:t>
                  </w:r>
                </w:hyperlink>
                <w:r>
                  <w:rPr>
                    <w:bCs/>
                    <w:i/>
                    <w:iCs/>
                    <w:color w:val="000000"/>
                    <w:sz w:val="20"/>
                  </w:rPr>
                  <w:t>, 2020-05-21, paskelbta TAR 2020-06-03, i. k. 2020-12135</w:t>
                </w:r>
              </w:p>
              <w:p w14:paraId="04EA7CDF" w14:textId="63B69C3A">
                <w:pPr>
                  <w:rPr>
                    <w:bCs/>
                    <w:color w:val="000000"/>
                    <w:sz w:val="20"/>
                  </w:rPr>
                </w:pPr>
                <w:r>
                  <w:rPr>
                    <w:bCs/>
                    <w:i/>
                    <w:iCs/>
                    <w:color w:val="000000"/>
                    <w:sz w:val="20"/>
                  </w:rPr>
                  <w:t>Nr. </w:t>
                </w:r>
                <w:hyperlink r:id="rId22" w:tgtFrame="_parent" w:history="1">
                  <w:r>
                    <w:rPr>
                      <w:bCs/>
                      <w:i/>
                      <w:iCs/>
                      <w:color w:val="0000FF"/>
                      <w:sz w:val="20"/>
                      <w:u w:val="single"/>
                    </w:rPr>
                    <w:t>XIV-1189</w:t>
                  </w:r>
                </w:hyperlink>
                <w:r>
                  <w:rPr>
                    <w:bCs/>
                    <w:i/>
                    <w:iCs/>
                    <w:color w:val="000000"/>
                    <w:sz w:val="20"/>
                  </w:rPr>
                  <w:t>, 2022-06-28, paskelbta TAR 2022-07-11, i. k. 2022-15178</w:t>
                </w:r>
              </w:p>
              <w:p w14:paraId="631ACA0B" w14:textId="617D5C8A">
                <w:pPr>
                  <w:jc w:val="both"/>
                  <w:rPr>
                    <w:bCs/>
                    <w:color w:val="000000"/>
                    <w:sz w:val="20"/>
                  </w:rPr>
                </w:pPr>
                <w:r>
                  <w:rPr>
                    <w:bCs/>
                    <w:color w:val="000000"/>
                    <w:sz w:val="20"/>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w:t>
                </w:r>
                <w:r>
                  <w:rPr>
                    <w:b/>
                    <w:color w:val="000000"/>
                    <w:sz w:val="20"/>
                  </w:rPr>
                  <w:t xml:space="preserve"> </w:t>
                </w:r>
                <w:r>
                  <w:rPr>
                    <w:bCs/>
                    <w:color w:val="000000"/>
                    <w:sz w:val="20"/>
                  </w:rPr>
                  <w:t>bendruomenės, bendrijos ar centro etosą, yra įprastas, teisėtas ir pateisinamas), ketinimą turėti vaiką, taip pat į tai, kad darbuotojas naudojasi ar naudojosi šiame kodekse numatytomis teisėmis, ar kitus įstatymuose numatytus pagrindus, privalo:</w:t>
                </w:r>
              </w:p>
              <w:p w14:paraId="2BD38232" w14:textId="77777777">
                <w:pPr>
                  <w:jc w:val="both"/>
                  <w:rPr>
                    <w:bCs/>
                    <w:color w:val="000000"/>
                    <w:sz w:val="20"/>
                  </w:rPr>
                </w:pPr>
                <w:r>
                  <w:rPr>
                    <w:bCs/>
                    <w:i/>
                    <w:iCs/>
                    <w:color w:val="000000"/>
                    <w:sz w:val="20"/>
                  </w:rPr>
                  <w:t>Straipsnio dalies pakeitimai:</w:t>
                </w:r>
              </w:p>
              <w:p w14:paraId="6C36753A" w14:textId="77777777">
                <w:pPr>
                  <w:rPr>
                    <w:bCs/>
                    <w:color w:val="000000"/>
                    <w:sz w:val="20"/>
                  </w:rPr>
                </w:pPr>
                <w:r>
                  <w:rPr>
                    <w:bCs/>
                    <w:i/>
                    <w:iCs/>
                    <w:color w:val="000000"/>
                    <w:sz w:val="20"/>
                  </w:rPr>
                  <w:t>Nr. </w:t>
                </w:r>
                <w:hyperlink r:id="rId23" w:tgtFrame="_parent" w:history="1">
                  <w:r>
                    <w:rPr>
                      <w:bCs/>
                      <w:i/>
                      <w:iCs/>
                      <w:color w:val="0000FF"/>
                      <w:sz w:val="20"/>
                      <w:u w:val="single"/>
                    </w:rPr>
                    <w:t>XIV-1189</w:t>
                  </w:r>
                </w:hyperlink>
                <w:r>
                  <w:rPr>
                    <w:bCs/>
                    <w:i/>
                    <w:iCs/>
                    <w:color w:val="000000"/>
                    <w:sz w:val="20"/>
                  </w:rPr>
                  <w:t>, 2022-06-28, paskelbta TAR 2022-07-11, i. k. 2022-15178</w:t>
                </w:r>
              </w:p>
              <w:p w14:paraId="6307577F" w14:textId="64DF3C57">
                <w:pPr>
                  <w:jc w:val="both"/>
                  <w:rPr>
                    <w:bCs/>
                    <w:color w:val="000000"/>
                    <w:sz w:val="20"/>
                  </w:rPr>
                </w:pPr>
                <w:r>
                  <w:rPr>
                    <w:bCs/>
                    <w:color w:val="000000"/>
                    <w:sz w:val="20"/>
                  </w:rPr>
                  <w:t>1) priimdamas į darbą, taikyti vienodus atrankos kriterijus ir sąlygas;</w:t>
                </w:r>
              </w:p>
              <w:p w14:paraId="2BB4A1B1" w14:textId="77777777">
                <w:pPr>
                  <w:jc w:val="both"/>
                  <w:rPr>
                    <w:bCs/>
                    <w:color w:val="000000"/>
                    <w:sz w:val="20"/>
                  </w:rPr>
                </w:pPr>
                <w:r>
                  <w:rPr>
                    <w:bCs/>
                    <w:color w:val="000000"/>
                    <w:sz w:val="20"/>
                  </w:rPr>
                  <w:t>2) sudaryti vienodas darbo sąlygas, galimybes tobulinti kvalifikaciją, siekti profesinio tobulėjimo, persikvalifikuoti, įgyti praktinės darbo patirties, taip pat teikti vienodas lengvatas;</w:t>
                </w:r>
              </w:p>
              <w:p w14:paraId="4BABD51F" w14:textId="77777777">
                <w:pPr>
                  <w:jc w:val="both"/>
                  <w:rPr>
                    <w:bCs/>
                    <w:color w:val="000000"/>
                    <w:sz w:val="20"/>
                  </w:rPr>
                </w:pPr>
                <w:r>
                  <w:rPr>
                    <w:bCs/>
                    <w:color w:val="000000"/>
                    <w:sz w:val="20"/>
                  </w:rPr>
                  <w:t>3) taikyti vienodus darbo vertinimo ir atleidimo iš darbo kriterijus;</w:t>
                </w:r>
              </w:p>
              <w:p w14:paraId="1A1BED97" w14:textId="77777777">
                <w:pPr>
                  <w:jc w:val="both"/>
                  <w:rPr>
                    <w:bCs/>
                    <w:color w:val="000000"/>
                    <w:sz w:val="20"/>
                  </w:rPr>
                </w:pPr>
                <w:r>
                  <w:rPr>
                    <w:bCs/>
                    <w:color w:val="000000"/>
                    <w:sz w:val="20"/>
                  </w:rPr>
                  <w:t>4) už tokį patį ir vienodos vertės darbą mokėti vienodą darbo užmokestį;</w:t>
                </w:r>
              </w:p>
              <w:p w14:paraId="1A3AA29D" w14:textId="3C767FD7">
                <w:pPr>
                  <w:jc w:val="both"/>
                  <w:rPr>
                    <w:b/>
                    <w:color w:val="000000"/>
                    <w:sz w:val="20"/>
                  </w:rPr>
                </w:pPr>
                <w:r>
                  <w:rPr>
                    <w:bCs/>
                    <w:color w:val="000000"/>
                    <w:sz w:val="20"/>
                  </w:rPr>
                  <w:t>&lt;...&gt;</w:t>
                </w:r>
              </w:p>
            </w:tc>
            <w:tc>
              <w:tcPr>
                <w:tcW w:w="1572" w:type="dxa"/>
                <w:tcBorders>
                  <w:bottom w:val="nil"/>
                </w:tcBorders>
              </w:tcPr>
              <w:p w14:paraId="567D261E" w14:textId="73349C73">
                <w:pPr>
                  <w:jc w:val="both"/>
                  <w:rPr>
                    <w:color w:val="000000"/>
                    <w:sz w:val="20"/>
                  </w:rPr>
                </w:pPr>
                <w:r>
                  <w:rPr>
                    <w:color w:val="000000"/>
                    <w:sz w:val="20"/>
                  </w:rPr>
                  <w:t>Visiškas</w:t>
                </w:r>
              </w:p>
            </w:tc>
          </w:tr>
          <w:tr w14:paraId="6393D79D" w14:textId="77777777">
            <w:tc>
              <w:tcPr>
                <w:tcW w:w="8391" w:type="dxa"/>
                <w:tcBorders>
                  <w:bottom w:val="nil"/>
                </w:tcBorders>
              </w:tcPr>
              <w:p w14:paraId="3E5DD88B" w14:textId="0C726B37">
                <w:pPr>
                  <w:jc w:val="both"/>
                  <w:textAlignment w:val="baseline"/>
                  <w:rPr>
                    <w:sz w:val="20"/>
                  </w:rPr>
                </w:pPr>
                <w:r>
                  <w:rPr>
                    <w:sz w:val="20"/>
                  </w:rPr>
                  <w:t xml:space="preserve">(e) daugialypę diskriminaciją, kuri yra diskriminacija dėl lyties kartu su diskriminacija dėl vieno ar kelių kitų diskriminacijos pagrindų, draudžiamų pagal direktyvas </w:t>
                </w:r>
                <w:fldSimple w:instr="HYPERLINK http://eur-lex.europa.eu/legal-content/LIT/TXT/?uri=CELEX:32000L0043&amp;locale=lt \t _blank">
                  <w:r>
                    <w:rPr>
                      <w:sz w:val="20"/>
                      <w:u w:val="single"/>
                      <w:color w:val="0000FF" w:themeColor="hyperlink"/>
                    </w:rPr>
                    <w:t>2000/43/EB</w:t>
                  </w:r>
                </w:fldSimple>
                <w:r>
                  <w:rPr>
                    <w:sz w:val="20"/>
                  </w:rPr>
                  <w:t xml:space="preserve"> arba 2000/78/EB.</w:t>
                </w:r>
              </w:p>
            </w:tc>
            <w:tc>
              <w:tcPr>
                <w:tcW w:w="5347" w:type="dxa"/>
                <w:tcBorders>
                  <w:bottom w:val="nil"/>
                </w:tcBorders>
              </w:tcPr>
              <w:p w14:paraId="522B9F97" w14:textId="4676E12F">
                <w:pPr>
                  <w:jc w:val="both"/>
                  <w:rPr>
                    <w:b/>
                    <w:color w:val="000000"/>
                    <w:sz w:val="20"/>
                  </w:rPr>
                </w:pPr>
                <w:r>
                  <w:rPr>
                    <w:b/>
                    <w:color w:val="000000"/>
                    <w:sz w:val="20"/>
                  </w:rPr>
                  <w:t>LGĮ projektas</w:t>
                </w:r>
              </w:p>
              <w:p w14:paraId="2140A0B6" w14:textId="3808B3F6">
                <w:pPr>
                  <w:jc w:val="both"/>
                  <w:rPr>
                    <w:b/>
                    <w:color w:val="000000"/>
                    <w:sz w:val="20"/>
                  </w:rPr>
                </w:pPr>
                <w:r>
                  <w:rPr>
                    <w:b/>
                    <w:bCs/>
                    <w:color w:val="000000"/>
                    <w:sz w:val="20"/>
                  </w:rPr>
                  <w:t>1 straipsnis. Lietuvos Respublikos lygių galimybių įstatymo Nr. IX-1826 nauja redakcija</w:t>
                </w:r>
              </w:p>
              <w:p w14:paraId="4762353E" w14:textId="77777777">
                <w:pPr>
                  <w:jc w:val="both"/>
                  <w:rPr>
                    <w:b/>
                    <w:color w:val="000000"/>
                    <w:sz w:val="20"/>
                  </w:rPr>
                </w:pPr>
                <w:r>
                  <w:rPr>
                    <w:b/>
                    <w:color w:val="000000"/>
                    <w:sz w:val="20"/>
                  </w:rPr>
                  <w:t>Pakeisti Lietuvos Respublikos lygių galimybių įstatymą Nr. IX-1826 ir jį išdėstyti taip:</w:t>
                </w:r>
              </w:p>
              <w:p w14:paraId="06FD88E7" w14:textId="77777777">
                <w:pPr>
                  <w:jc w:val="both"/>
                  <w:rPr>
                    <w:b/>
                    <w:color w:val="000000"/>
                    <w:sz w:val="20"/>
                  </w:rPr>
                </w:pPr>
                <w:r>
                  <w:rPr>
                    <w:b/>
                    <w:bCs/>
                    <w:color w:val="000000"/>
                    <w:sz w:val="20"/>
                  </w:rPr>
                  <w:t>2 straipsnis. Pagrindinės šio įstatymo sąvokos</w:t>
                </w:r>
              </w:p>
              <w:p w14:paraId="4779CADA" w14:textId="77777777">
                <w:pPr>
                  <w:jc w:val="both"/>
                  <w:rPr>
                    <w:b/>
                    <w:color w:val="000000"/>
                    <w:sz w:val="20"/>
                  </w:rPr>
                </w:pPr>
                <w:r>
                  <w:rPr>
                    <w:b/>
                    <w:color w:val="000000"/>
                    <w:sz w:val="20"/>
                  </w:rPr>
                  <w:t>1. </w:t>
                </w:r>
                <w:r>
                  <w:rPr>
                    <w:b/>
                    <w:bCs/>
                    <w:color w:val="000000"/>
                    <w:sz w:val="20"/>
                  </w:rPr>
                  <w:t>Daugialypė diskriminacija</w:t>
                </w:r>
                <w:r>
                  <w:rPr>
                    <w:b/>
                    <w:color w:val="000000"/>
                    <w:sz w:val="20"/>
                  </w:rPr>
                  <w:t> – asmens diskriminacija daugiau nei 1 diskriminacijos pagrindu.</w:t>
                </w:r>
              </w:p>
              <w:p w14:paraId="31492164" w14:textId="034782C5">
                <w:pPr>
                  <w:jc w:val="both"/>
                  <w:rPr>
                    <w:b/>
                    <w:color w:val="000000"/>
                    <w:sz w:val="20"/>
                    <w:highlight w:val="red"/>
                  </w:rPr>
                </w:pPr>
                <w:r>
                  <w:rPr>
                    <w:b/>
                    <w:color w:val="000000"/>
                    <w:sz w:val="20"/>
                  </w:rPr>
                  <w:t>&lt;...&gt;</w:t>
                </w:r>
              </w:p>
            </w:tc>
            <w:tc>
              <w:tcPr>
                <w:tcW w:w="1572" w:type="dxa"/>
                <w:tcBorders>
                  <w:bottom w:val="nil"/>
                </w:tcBorders>
              </w:tcPr>
              <w:p w14:paraId="358D9D7E" w14:textId="403C2E7C">
                <w:pPr>
                  <w:jc w:val="both"/>
                  <w:rPr>
                    <w:color w:val="000000"/>
                    <w:sz w:val="20"/>
                  </w:rPr>
                </w:pPr>
                <w:r>
                  <w:rPr>
                    <w:color w:val="000000"/>
                    <w:sz w:val="20"/>
                  </w:rPr>
                  <w:t>Visiškas</w:t>
                </w:r>
              </w:p>
              <w:p w14:paraId="5D92CB73" w14:textId="7AAF8814">
                <w:pPr>
                  <w:jc w:val="both"/>
                  <w:rPr>
                    <w:color w:val="000000"/>
                    <w:sz w:val="20"/>
                  </w:rPr>
                </w:pPr>
              </w:p>
            </w:tc>
          </w:tr>
          <w:tr w14:paraId="6CFCE9AB" w14:textId="77777777">
            <w:tc>
              <w:tcPr>
                <w:tcW w:w="8391" w:type="dxa"/>
                <w:tcBorders>
                  <w:bottom w:val="nil"/>
                </w:tcBorders>
              </w:tcPr>
              <w:p w14:paraId="2C9F5AB2" w14:textId="2F0D7B11">
                <w:pPr>
                  <w:jc w:val="both"/>
                  <w:textAlignment w:val="baseline"/>
                  <w:rPr>
                    <w:sz w:val="20"/>
                  </w:rPr>
                </w:pPr>
                <w:r>
                  <w:rPr>
                    <w:b/>
                    <w:bCs/>
                    <w:sz w:val="20"/>
                  </w:rPr>
                  <w:t>3.</w:t>
                </w:r>
                <w:r>
                  <w:rPr>
                    <w:sz w:val="20"/>
                  </w:rPr>
                  <w:t xml:space="preserve"> 2 dalies e punktu darbdaviams nenustatoma papildomų pareigų rinkti duomenis, kaip nurodyta šioje direktyvoje, susijusius su kitais nei lytis draudžiamais diskriminacijos pagrindais.</w:t>
                </w:r>
              </w:p>
            </w:tc>
            <w:tc>
              <w:tcPr>
                <w:tcW w:w="5347" w:type="dxa"/>
                <w:tcBorders>
                  <w:bottom w:val="nil"/>
                </w:tcBorders>
              </w:tcPr>
              <w:p w14:paraId="7867174F" w14:textId="6C14A489">
                <w:pPr>
                  <w:jc w:val="both"/>
                  <w:rPr>
                    <w:bCs/>
                    <w:color w:val="000000"/>
                    <w:sz w:val="20"/>
                  </w:rPr>
                </w:pPr>
                <w:r>
                  <w:rPr>
                    <w:bCs/>
                    <w:color w:val="000000"/>
                    <w:sz w:val="20"/>
                  </w:rPr>
                  <w:t>Papildomų pareigų nenustatoma</w:t>
                </w:r>
              </w:p>
            </w:tc>
            <w:tc>
              <w:tcPr>
                <w:tcW w:w="1572" w:type="dxa"/>
                <w:tcBorders>
                  <w:bottom w:val="nil"/>
                </w:tcBorders>
              </w:tcPr>
              <w:p w14:paraId="25F617D4" w14:textId="77777777">
                <w:pPr>
                  <w:jc w:val="both"/>
                  <w:rPr>
                    <w:color w:val="000000"/>
                    <w:sz w:val="20"/>
                  </w:rPr>
                </w:pPr>
              </w:p>
            </w:tc>
          </w:tr>
          <w:tr w14:paraId="4C412F55" w14:textId="77777777">
            <w:tc>
              <w:tcPr>
                <w:tcW w:w="15310" w:type="dxa"/>
                <w:gridSpan w:val="3"/>
                <w:tcBorders>
                  <w:bottom w:val="nil"/>
                </w:tcBorders>
                <w:shd w:val="clear" w:color="auto" w:fill="D6E3BC" w:themeFill="accent3" w:themeFillTint="66"/>
              </w:tcPr>
              <w:p w14:paraId="647088E9" w14:textId="3BC56AA7">
                <w:pPr>
                  <w:jc w:val="both"/>
                  <w:rPr>
                    <w:color w:val="000000"/>
                    <w:sz w:val="20"/>
                  </w:rPr>
                </w:pPr>
                <w:r>
                  <w:rPr>
                    <w:b/>
                    <w:bCs/>
                    <w:color w:val="000000"/>
                    <w:sz w:val="20"/>
                  </w:rPr>
                  <w:t>4 straipsnis. Vienodas ir vienodos vertės darbas</w:t>
                </w:r>
              </w:p>
            </w:tc>
          </w:tr>
          <w:tr w14:paraId="6B8F357F" w14:textId="77777777">
            <w:tc>
              <w:tcPr>
                <w:tcW w:w="8391" w:type="dxa"/>
                <w:tcBorders>
                  <w:top w:val="single" w:sz="4" w:space="0" w:color="auto"/>
                  <w:bottom w:val="single" w:sz="4" w:space="0" w:color="auto"/>
                </w:tcBorders>
              </w:tcPr>
              <w:p w14:paraId="10A608A3" w14:textId="09E1D40C">
                <w:pPr>
                  <w:jc w:val="both"/>
                  <w:rPr>
                    <w:bCs/>
                    <w:sz w:val="20"/>
                  </w:rPr>
                </w:pPr>
                <w:r>
                  <w:rPr>
                    <w:bCs/>
                    <w:sz w:val="20"/>
                  </w:rPr>
                  <w:t>1. Valstybės narės imasi būtinų priemonių užtikrinti, kad darbdaviai turėtų darbo užmokesčio struktūras, užtikrinančias vienodą darbo užmokestį už vienodą arba vienodos vertės darbą.</w:t>
                </w:r>
              </w:p>
            </w:tc>
            <w:tc>
              <w:tcPr>
                <w:tcW w:w="5347" w:type="dxa"/>
                <w:tcBorders>
                  <w:top w:val="single" w:sz="4" w:space="0" w:color="auto"/>
                  <w:bottom w:val="single" w:sz="4" w:space="0" w:color="auto"/>
                </w:tcBorders>
              </w:tcPr>
              <w:p w14:paraId="1B014CE5" w14:textId="6AEE80D8">
                <w:pPr>
                  <w:jc w:val="both"/>
                  <w:rPr>
                    <w:b/>
                    <w:color w:val="000000"/>
                    <w:sz w:val="20"/>
                  </w:rPr>
                </w:pPr>
                <w:r>
                  <w:rPr>
                    <w:b/>
                    <w:color w:val="000000"/>
                    <w:sz w:val="20"/>
                  </w:rPr>
                  <w:t>DK projektas</w:t>
                </w:r>
              </w:p>
              <w:p w14:paraId="51E9385B" w14:textId="46741982">
                <w:pPr>
                  <w:jc w:val="both"/>
                  <w:rPr>
                    <w:b/>
                    <w:bCs/>
                    <w:sz w:val="20"/>
                    <w:lang w:eastAsia="lt-LT"/>
                  </w:rPr>
                </w:pPr>
                <w:r>
                  <w:rPr>
                    <w:b/>
                    <w:bCs/>
                    <w:sz w:val="20"/>
                    <w:lang w:eastAsia="lt-LT"/>
                  </w:rPr>
                  <w:t>14 straipsnis. 140 straipsnio pakeitimas</w:t>
                </w:r>
              </w:p>
              <w:p w14:paraId="7B23DF89" w14:textId="77777777">
                <w:pPr>
                  <w:jc w:val="both"/>
                  <w:rPr>
                    <w:b/>
                    <w:bCs/>
                    <w:sz w:val="20"/>
                    <w:lang w:eastAsia="lt-LT"/>
                  </w:rPr>
                </w:pPr>
                <w:r>
                  <w:rPr>
                    <w:b/>
                    <w:bCs/>
                    <w:sz w:val="20"/>
                    <w:lang w:eastAsia="lt-LT"/>
                  </w:rPr>
                  <w:t>1. Pakeisti 140 straipsnio 3 dalį ir ją išdėstyti taip:</w:t>
                </w:r>
              </w:p>
              <w:p w14:paraId="277F5B1F" w14:textId="0962FFFD">
                <w:pPr>
                  <w:jc w:val="both"/>
                  <w:rPr>
                    <w:b/>
                    <w:bCs/>
                    <w:sz w:val="20"/>
                    <w:lang w:eastAsia="lt-LT"/>
                  </w:rPr>
                </w:pPr>
                <w:r>
                  <w:rPr>
                    <w:b/>
                    <w:bCs/>
                    <w:sz w:val="20"/>
                    <w:lang w:eastAsia="lt-LT"/>
                  </w:rPr>
                  <w:t>„3. Darbo apmokėjimo sistema darbovietėje ar darbdavio įmonėje, įstaigoje, organizacijoje nustatoma kolektyvine sutartimi ir taikoma visiems tos darbovietės ar darbdavio įmonės, įstaigos, organizacijos darbuotojams. Jei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p>
              <w:p w14:paraId="6BD32F7D" w14:textId="77777777">
                <w:pPr>
                  <w:jc w:val="both"/>
                  <w:rPr>
                    <w:b/>
                    <w:bCs/>
                    <w:sz w:val="20"/>
                  </w:rPr>
                </w:pPr>
                <w:r>
                  <w:rPr>
                    <w:b/>
                    <w:bCs/>
                    <w:sz w:val="20"/>
                  </w:rPr>
                  <w:t>2. Pakeisti 140 straipsnio 5 dalį ir ją išdėstyti taip:</w:t>
                </w:r>
              </w:p>
              <w:p w14:paraId="3895A76F" w14:textId="240AFCDF">
                <w:pPr>
                  <w:jc w:val="both"/>
                  <w:rPr>
                    <w:b/>
                    <w:bCs/>
                    <w:sz w:val="20"/>
                  </w:rPr>
                </w:pPr>
                <w:r>
                  <w:rPr>
                    <w:b/>
                    <w:bCs/>
                    <w:sz w:val="20"/>
                  </w:rPr>
                  <w:t>„5.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 pagal objektyvius kriterijus ne mažesnės kvalifikacijos reikalaujantis ir ne mažiau reikšmingas darbdaviui, siekiant savo veiklos tikslų, darbas negu kitas palyginamasis darbas.“</w:t>
                </w:r>
              </w:p>
              <w:p w14:paraId="215780B2" w14:textId="343E55F0">
                <w:pPr>
                  <w:jc w:val="both"/>
                  <w:rPr>
                    <w:b/>
                    <w:bCs/>
                    <w:color w:val="000000"/>
                    <w:sz w:val="20"/>
                  </w:rPr>
                </w:pPr>
                <w:r>
                  <w:rPr>
                    <w:b/>
                    <w:bCs/>
                    <w:color w:val="000000"/>
                    <w:sz w:val="20"/>
                  </w:rPr>
                  <w:t>DK</w:t>
                </w:r>
              </w:p>
              <w:p w14:paraId="63C89449" w14:textId="77777777">
                <w:pPr>
                  <w:jc w:val="both"/>
                  <w:rPr>
                    <w:color w:val="000000"/>
                    <w:sz w:val="20"/>
                  </w:rPr>
                </w:pPr>
                <w:r>
                  <w:rPr>
                    <w:b/>
                    <w:color w:val="000000"/>
                    <w:sz w:val="20"/>
                  </w:rPr>
                  <w:t>140 straipsnis. Darbo užmokesčio nustatymas</w:t>
                </w:r>
              </w:p>
              <w:p w14:paraId="1B3935DB" w14:textId="2E47D9AB">
                <w:pPr>
                  <w:jc w:val="both"/>
                  <w:rPr>
                    <w:color w:val="000000"/>
                    <w:sz w:val="20"/>
                  </w:rPr>
                </w:pPr>
                <w:r>
                  <w:rPr>
                    <w:color w:val="000000"/>
                    <w:sz w:val="20"/>
                  </w:rPr>
                  <w:t>&lt;...&gt;</w:t>
                </w:r>
              </w:p>
              <w:p w14:paraId="51075A02" w14:textId="2610612D">
                <w:pPr>
                  <w:jc w:val="both"/>
                  <w:rPr>
                    <w:color w:val="000000"/>
                    <w:sz w:val="20"/>
                  </w:rPr>
                </w:pPr>
                <w:r>
                  <w:rPr>
                    <w:color w:val="000000"/>
                    <w:sz w:val="20"/>
                  </w:rPr>
                  <w:t>6.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w:t>
                </w:r>
              </w:p>
              <w:p w14:paraId="26C11CEA" w14:textId="1E35D337">
                <w:pPr>
                  <w:jc w:val="both"/>
                  <w:rPr>
                    <w:b/>
                    <w:bCs/>
                    <w:color w:val="000000"/>
                    <w:sz w:val="20"/>
                  </w:rPr>
                </w:pPr>
                <w:r>
                  <w:rPr>
                    <w:b/>
                    <w:bCs/>
                    <w:color w:val="000000"/>
                    <w:sz w:val="20"/>
                  </w:rPr>
                  <w:t>BIDU projektas</w:t>
                </w:r>
              </w:p>
              <w:p w14:paraId="61D23F2F" w14:textId="30F8C1FF">
                <w:pPr>
                  <w:jc w:val="both"/>
                  <w:rPr>
                    <w:b/>
                    <w:bCs/>
                    <w:sz w:val="20"/>
                  </w:rPr>
                </w:pPr>
                <w:r>
                  <w:rPr>
                    <w:b/>
                    <w:bCs/>
                    <w:sz w:val="20"/>
                  </w:rPr>
                  <w:t>2 straipsnis. 5 straipsnio pakeitimas</w:t>
                </w:r>
              </w:p>
              <w:p w14:paraId="59CEDA1F" w14:textId="77777777">
                <w:pPr>
                  <w:jc w:val="both"/>
                  <w:rPr>
                    <w:b/>
                    <w:bCs/>
                    <w:sz w:val="20"/>
                  </w:rPr>
                </w:pPr>
                <w:r>
                  <w:rPr>
                    <w:b/>
                    <w:bCs/>
                    <w:sz w:val="20"/>
                  </w:rPr>
                  <w:t>Pakeisti 5 straipsnio 5 dalį ir ją išdėstyti taip:</w:t>
                </w:r>
              </w:p>
              <w:p w14:paraId="6A3EE40A" w14:textId="77777777">
                <w:pPr>
                  <w:jc w:val="both"/>
                  <w:rPr>
                    <w:b/>
                    <w:bCs/>
                    <w:sz w:val="20"/>
                    <w:lang w:eastAsia="lt-LT"/>
                  </w:rPr>
                </w:pPr>
                <w:r>
                  <w:rPr>
                    <w:b/>
                    <w:bCs/>
                    <w:sz w:val="20"/>
                    <w:lang w:eastAsia="lt-LT"/>
                  </w:rPr>
                  <w:t>„5. Darbo apmokėjimo sistema nustatoma kolektyvinėje sutartyje ir ji taikoma visiems biudžetinės įstaigos darbuotojams. Jeigu nėra darbo apmokėjimo sistemą nustatančios kolektyvinės sutarties, darbo apmokėjimo sistemą privalo nustatyti biudžetinės įstaigos vadovas. Prieš darbo apmokėjimo sistemos nustatymą ar keitimą biudžetinės įstaigos vadovas Darbo kodekso nustatyta tvarka turi atlikti informavimo ir konsultavimo procedūras. Darbo apmokėjimo sistema viešai skelbiama biudžetinės įstaigos interneto svetainėje. Darbo apmokėjimo sistema nustatoma atsižvelgiant į Vyriausybės patvirtintas darbo apmokėjimo sistemos nustatymo rekomendacijas. Darbo apmokėjimo sistemoje pareigybės, esančios biudžetinės įstaigos pareigybių sąraše, turi būti suskirstytos į pareigybių lygmenis (pakopas)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psichologiniai veiksniai), ir, jei tikslinga, kitus svarbius kriterijus. Pareigybės, kurioms priskirtas toks pats ar vienodos vertės darbas, kaip jis apibrėžtas Darbo kodekso 140 straipsnyje, priskiriamos tam pačiam pareigybių lygmeniui (pakopai). Darbo apmokėjimo sistemoje, atsižvelgiant į šio įstatymo nuostatas, pagal objektyvius ir lyties požiūriu neutralius kriterijus (darbo patirtį, išsilavinimą, veiklos sudėtingumą, atsakomybės ir savarankiškumo lygį, papildomų įgūdžių ar žinių, svarbių einant pareigas, turėjimą, darbo sąlygas ar kitus kriterijus) turi būti nustatyti kiekvieno pareigybių lygmens (pakopos) arba kiekvienos pareigybės pareiginės algos koeficientų, viršijančių šio įstatymo 1 priede nustatytą minimalų pareiginės algos koeficientą,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darbuotojo veiklos rezultatais, aukštesnėmis kompetencijomis, didesne patirtimi ir kt.) kriterijai ir tvarka. Savininko teises ir pareigas įgyvendinanti institucija nustato jos valdymo sričiai priskirtų biudžetinių įstaigų vadovų darbo apmokėjimo sistemą, kurioje biudžetinių įstaigų vadovų pareigybės turi būti suskirstytos į pareigybių lygmenis (pakopas)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biudžetinės įstaigos veiklos pobūdį, jos dydį, veiklos ir sprendimų galiojimo ribas, ir, jei tikslinga, kitus svarbius kriterijus. Šioje darbo apmokėjimo sistemoje taip pat turi būti nurodyti objektyvūs, lyties požiūriu neutralūs biudžetinės įstaigos vadovo pareigybės pareiginės algos koeficiento nustatymo kriterijai (darbo patirtis, išsilavinimas, veiklos sudėtingumas, atsakomybės ir savarankiškumo lygis, papildomų įgūdžių ir žinių, svarbių einant pareigas, turėjimas, darbo sąlygos ir kt.) ir, atsižvelgiant į juos, nustatyti pareiginės algos koeficientų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biudžetinės įstaigos vadovo veiklos rezultatais, aukštesnėmis kompetencijomis, didesne patirtimi ir kt.) kriterijai ir tvarka.“</w:t>
                </w:r>
              </w:p>
              <w:p w14:paraId="71D6E32A" w14:textId="10DC308A">
                <w:pPr>
                  <w:jc w:val="both"/>
                  <w:rPr>
                    <w:b/>
                    <w:bCs/>
                    <w:color w:val="000000"/>
                    <w:sz w:val="20"/>
                  </w:rPr>
                </w:pPr>
                <w:r>
                  <w:rPr>
                    <w:b/>
                    <w:bCs/>
                    <w:color w:val="000000"/>
                    <w:sz w:val="20"/>
                  </w:rPr>
                  <w:t>VTĮ projektas</w:t>
                </w:r>
              </w:p>
              <w:p w14:paraId="5B2D517D" w14:textId="55E7A214">
                <w:pPr>
                  <w:jc w:val="both"/>
                  <w:rPr>
                    <w:b/>
                    <w:bCs/>
                    <w:sz w:val="20"/>
                  </w:rPr>
                </w:pPr>
                <w:r>
                  <w:rPr>
                    <w:b/>
                    <w:bCs/>
                    <w:sz w:val="20"/>
                  </w:rPr>
                  <w:t>2 straipsnis. 19 straipsnio pakeitimas</w:t>
                </w:r>
              </w:p>
              <w:p w14:paraId="749C0AA3" w14:textId="77777777">
                <w:pPr>
                  <w:jc w:val="both"/>
                  <w:rPr>
                    <w:b/>
                    <w:bCs/>
                    <w:sz w:val="20"/>
                  </w:rPr>
                </w:pPr>
                <w:r>
                  <w:rPr>
                    <w:b/>
                    <w:bCs/>
                    <w:sz w:val="20"/>
                  </w:rPr>
                  <w:t>Pakeisti 19 straipsnio 3 dalį ir ją išdėstyti taip:</w:t>
                </w:r>
              </w:p>
              <w:p w14:paraId="59CA54B5" w14:textId="399B1DF6">
                <w:pPr>
                  <w:jc w:val="both"/>
                  <w:rPr>
                    <w:b/>
                    <w:bCs/>
                    <w:sz w:val="20"/>
                    <w:lang w:eastAsia="lt-LT"/>
                  </w:rPr>
                </w:pPr>
                <w:r>
                  <w:rPr>
                    <w:b/>
                    <w:bCs/>
                    <w:sz w:val="20"/>
                    <w:lang w:eastAsia="lt-LT"/>
                  </w:rPr>
                  <w:t>„3. Darbo apmokėjimo sistema nustatoma kolektyvinėje sutartyje ir ji taikoma visiems valstybės ar savivaldybės institucijos ar įstaigos valstybės tarnautojams. Jeigu nėra darbo apmokėjimo sistemą nustatančios kolektyvinės sutarties, darbo apmokėjimo sistemą nustato valstybės ar savivaldybės institucijos ar įstaigos vadovas. Prieš darbo apmokėjimo sistemos nustatymą ar keitimą valstybės ar savivaldybės institucijos ar įstaigos vadovas Darbo kodekso nustatyta tvarka turi atlikti informavimo ir konsultavimo procedūras. Darbo apmokėjimo sistema viešai skelbiama įstaigos interneto svetainėje. Darbo apmokėjimo sistema nustatoma vadovaujantis Vyriausybės patvirtintomis rekomendacijomis. Darbo apmokėjimo sistemoje, atsižvelgiant į šio įstatymo nuostatas, nustatomi valstybės ar savivaldybės institucijos ar įstaigos pareigybių sąraše esančių pareigybių pareiginės algos koeficientai ar jų intervalai, pareiginės algos koeficientų dydžio nustatymo kriterijai (įgūdžiai (įskaitant įgūdžius, susijusius su bendravimo, bendradarbiavimo įgūdžiais, konfliktų sprendimu, gebėjimu dirbti su kitais žmonėmis ir svarbius atliekant darbo funkciją), pastangos (fizinių, protinių ir emocinių resursų kiekis, reikalingas užduotims pagal valstybės tarnautojo pareigybės aprašymą atlikti), darbo patirtis, veiklos sudėtingumas, atsakomybės lygis, papildomų įgūdžių ar žinių, svarbių einant pareigas, turėjimas, darbo sąlygos (darbo aplinka, intensyvumas, rizika, fiziniai ir psichologiniai veiksniai)) ir, jei tikslinga, kiti objektyvūs, lyties požiūriu neutralūs kriterijai, priemokų dydžiai, jų skyrimo tvarka. Darbo apmokėjimo sistemoje gali būti numatomos papildomos skatinimo ir socialinės garantijos, nenustatytos šiame ar kituose įstatymuose.“</w:t>
                </w:r>
              </w:p>
              <w:p w14:paraId="13DACBB0" w14:textId="11AFBB42">
                <w:pPr>
                  <w:jc w:val="both"/>
                  <w:rPr>
                    <w:b/>
                    <w:bCs/>
                    <w:sz w:val="20"/>
                    <w:lang w:eastAsia="lt-LT"/>
                  </w:rPr>
                </w:pPr>
                <w:r>
                  <w:rPr>
                    <w:b/>
                    <w:bCs/>
                    <w:sz w:val="20"/>
                    <w:lang w:eastAsia="lt-LT"/>
                  </w:rPr>
                  <w:t>VĮVDDAĮ projektas</w:t>
                </w:r>
              </w:p>
              <w:p w14:paraId="2983EF8E" w14:textId="77777777">
                <w:pPr>
                  <w:jc w:val="both"/>
                  <w:rPr>
                    <w:b/>
                    <w:bCs/>
                    <w:sz w:val="20"/>
                    <w:lang w:eastAsia="lt-LT"/>
                  </w:rPr>
                </w:pPr>
                <w:r>
                  <w:rPr>
                    <w:b/>
                    <w:bCs/>
                    <w:sz w:val="20"/>
                    <w:lang w:eastAsia="lt-LT"/>
                  </w:rPr>
                  <w:t>3 straipsnis. 3 straipsnio pakeitimas</w:t>
                </w:r>
              </w:p>
              <w:p w14:paraId="4589D52E" w14:textId="77777777">
                <w:pPr>
                  <w:jc w:val="both"/>
                  <w:rPr>
                    <w:b/>
                    <w:bCs/>
                    <w:sz w:val="20"/>
                    <w:lang w:eastAsia="lt-LT"/>
                  </w:rPr>
                </w:pPr>
                <w:r>
                  <w:rPr>
                    <w:b/>
                    <w:bCs/>
                    <w:sz w:val="20"/>
                    <w:lang w:eastAsia="lt-LT"/>
                  </w:rPr>
                  <w:t>Pakeisti 3 straipsnio 3 dalį ir ją išdėstyti taip:</w:t>
                </w:r>
              </w:p>
              <w:p w14:paraId="723E9C61" w14:textId="53C42133">
                <w:pPr>
                  <w:jc w:val="both"/>
                  <w:rPr>
                    <w:b/>
                    <w:bCs/>
                    <w:sz w:val="20"/>
                    <w:lang w:eastAsia="lt-LT"/>
                  </w:rPr>
                </w:pPr>
                <w:r>
                  <w:rPr>
                    <w:b/>
                    <w:bCs/>
                    <w:sz w:val="20"/>
                    <w:lang w:eastAsia="lt-LT"/>
                  </w:rPr>
                  <w:t>„3. Viešosios įstaigos darbuotojų pareiginė alga nustatoma iš darbuotojų darbo apmokėjimo sistemoje pareigybei nustatyto pareiginės algos koeficientų intervalo, kurio minimalūs pareiginės algos už nekvalifikuotą darbą koeficientų dydžiai negali būti mažesni negu viena Lietuvos Respublikos Vyriausybės patvirtinta minimalioji mėnesinė alga (toliau – MMA), o už kvalifikuotą darbą negali būti mažesni negu 1,1 MMA. Viešosios įstaigos darbuotojų maksimalus pareiginės algos koeficiento dydis negali viršyti viešosios įstaigos vadovo maksimalaus pareiginės algos koeficiento dydžio, nustatyto šio įstatymo 1 priede, išskyrus atvejus, kai pagal darbuotojų darbo apmokėjimo sistemą, atsižvelgiant į Vyriausybės ar jos įgaliotos institucijos nustatytą tam tikrų profesijų atstovų trūkumą Lietuvos Respublikos darbo rinkoje, darbuotojui numatoma didesnė pareiginė alga, bet ne daugiau negu 100 procentų didesnė už atitinkamai viešųjų įstaigų vadovų kategorijai nustatytą maksimalų pareiginės algos koeficiento dydį. Darbuotojų darbo apmokėjimo sistemoje pareigybės, esančios viešosios įstaigos pareigybių sąraše, turi būti suskirstytos į pareigybių grupes pagal objektyvius ir lyties požiūriu neutralius kriterijus, apimančius tam tikrus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psichologiniai veiksniai), ir, jei tikslinga, kitus svarbius kriterijus. Pareigybės, kai atliekamas toks pats ar vienodos vertės darbas, kaip jis apibrėžtas Darbo kodekso 140 straipsnyje, priskiriamos tai pačiai pareigybių grupei. Darbo apmokėjimo sistemoje, atsižvelgiant į šio įstatymo nuostatas, pagal objektyvius ir lyties požiūriu neutralius kriterijus (darbo patirtį, išsilavinimą, veiklos sudėtingumą, atsakomybės ir savarankiškumo lygį, papildomų įgūdžių ar žinių, svarbių einant pareigas, turėjimą, darbo sąlygas ar kitus kriterijus) turi būti nustatyti kiekvienos pareigybių grupės arba kiekvienos pareigybės pareiginės algos koeficientų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darbuotojo veiklos rezultatais, aukštesnėmis kompetencijomis, didesne patirtimi ir kt.) kriterijai ir tvarka.“</w:t>
                </w:r>
              </w:p>
              <w:p w14:paraId="76BFA6A9" w14:textId="0839E5F9">
                <w:pPr>
                  <w:jc w:val="both"/>
                  <w:rPr>
                    <w:b/>
                    <w:bCs/>
                    <w:color w:val="000000"/>
                    <w:sz w:val="20"/>
                  </w:rPr>
                </w:pPr>
                <w:r>
                  <w:rPr>
                    <w:b/>
                    <w:bCs/>
                    <w:color w:val="000000"/>
                    <w:sz w:val="20"/>
                  </w:rPr>
                  <w:t>MVLGĮ</w:t>
                </w:r>
              </w:p>
              <w:p w14:paraId="023C2646" w14:textId="341334BE">
                <w:pPr>
                  <w:jc w:val="both"/>
                  <w:rPr>
                    <w:b/>
                    <w:color w:val="000000"/>
                    <w:sz w:val="20"/>
                  </w:rPr>
                </w:pPr>
                <w:r>
                  <w:rPr>
                    <w:b/>
                    <w:color w:val="000000"/>
                    <w:sz w:val="20"/>
                  </w:rPr>
                  <w:t>6 straipsnis. Darbdavio arba darbdavio atstovo pareiga įgyvendinti lygias moterų ir vyrų teises darbe</w:t>
                </w:r>
              </w:p>
              <w:p w14:paraId="2B0615DB" w14:textId="77777777">
                <w:pPr>
                  <w:jc w:val="both"/>
                  <w:rPr>
                    <w:color w:val="000000"/>
                    <w:sz w:val="20"/>
                  </w:rPr>
                </w:pPr>
                <w:r>
                  <w:rPr>
                    <w:color w:val="000000"/>
                    <w:sz w:val="20"/>
                  </w:rPr>
                  <w:t>Įgyvendindamas lygias moterų ir vyrų teises, darbdavys arba darbdavio atstovas privalo:</w:t>
                </w:r>
              </w:p>
              <w:p w14:paraId="76985C2E" w14:textId="77777777">
                <w:pPr>
                  <w:jc w:val="both"/>
                  <w:rPr>
                    <w:color w:val="000000"/>
                    <w:sz w:val="20"/>
                  </w:rPr>
                </w:pPr>
                <w:r>
                  <w:rPr>
                    <w:color w:val="000000"/>
                    <w:sz w:val="20"/>
                  </w:rPr>
                  <w:t>&lt;...&gt;</w:t>
                </w:r>
              </w:p>
              <w:p w14:paraId="4CA61F8B" w14:textId="5FDB2E9E">
                <w:pPr>
                  <w:jc w:val="both"/>
                  <w:rPr>
                    <w:color w:val="000000"/>
                    <w:sz w:val="20"/>
                  </w:rPr>
                </w:pPr>
                <w:r>
                  <w:rPr>
                    <w:color w:val="000000"/>
                    <w:sz w:val="20"/>
                  </w:rPr>
                  <w:t>3) už tokį patį ar vienodos vertės darbą mokėti vienodą darbo užmokestį, įskaitant visus papildomus uždarbius, bet kokiu būdu darbdavio arba darbdavio atstovo išmokamus darbuotojui už jo atliktą darbą;</w:t>
                </w:r>
              </w:p>
            </w:tc>
            <w:tc>
              <w:tcPr>
                <w:tcW w:w="1572" w:type="dxa"/>
                <w:tcBorders>
                  <w:top w:val="single" w:sz="4" w:space="0" w:color="auto"/>
                  <w:bottom w:val="single" w:sz="4" w:space="0" w:color="auto"/>
                </w:tcBorders>
              </w:tcPr>
              <w:p w14:paraId="01A07FBB" w14:textId="77777777">
                <w:pPr>
                  <w:jc w:val="both"/>
                  <w:rPr>
                    <w:color w:val="000000"/>
                    <w:sz w:val="20"/>
                  </w:rPr>
                </w:pPr>
                <w:r>
                  <w:rPr>
                    <w:color w:val="000000"/>
                    <w:sz w:val="20"/>
                  </w:rPr>
                  <w:t>Visiškas</w:t>
                </w:r>
              </w:p>
              <w:p w14:paraId="086F8D7B" w14:textId="77777777">
                <w:pPr>
                  <w:jc w:val="both"/>
                  <w:rPr>
                    <w:color w:val="000000"/>
                    <w:sz w:val="20"/>
                  </w:rPr>
                </w:pPr>
              </w:p>
              <w:p w14:paraId="1C14F888" w14:textId="3CFAE13E">
                <w:pPr>
                  <w:jc w:val="both"/>
                  <w:rPr>
                    <w:color w:val="000000"/>
                    <w:sz w:val="20"/>
                  </w:rPr>
                </w:pPr>
              </w:p>
            </w:tc>
          </w:tr>
          <w:tr w14:paraId="66349911" w14:textId="77777777">
            <w:tc>
              <w:tcPr>
                <w:tcW w:w="8391" w:type="dxa"/>
                <w:tcBorders>
                  <w:top w:val="single" w:sz="4" w:space="0" w:color="auto"/>
                  <w:bottom w:val="single" w:sz="4" w:space="0" w:color="auto"/>
                </w:tcBorders>
              </w:tcPr>
              <w:p w14:paraId="7A0C9EE0" w14:textId="3429AD25">
                <w:pPr>
                  <w:jc w:val="both"/>
                  <w:rPr>
                    <w:bCs/>
                    <w:sz w:val="20"/>
                  </w:rPr>
                </w:pPr>
                <w:r>
                  <w:rPr>
                    <w:bCs/>
                    <w:sz w:val="20"/>
                  </w:rPr>
                  <w:t>2. Valstybės narės, pasikonsultavusios su lygybės institucijomis, imasi visų būtinų priemonių užtikrinti, kad būtų pateiktos ir lengvai prieinamos analitinės priemonės ar metodikos, skirtos padėti atlikti ir orientuoti darbo vertės vertinimą ir palyginimą pagal šiame straipsnyje nustatytus kriterijus. Tos priemonės ar metodikos suteikia galimybę darbdaviams ir (arba) socialiniams partneriams lengvai sukurti ir naudoti lyties požiūriu neutralias darbo vertinimo ir pareigybių klasifikavimo sistemas, kurios užkirstų kelią bet kokiai diskriminacijai dėl lyties darbo užmokesčio srityje.</w:t>
                </w:r>
              </w:p>
            </w:tc>
            <w:tc>
              <w:tcPr>
                <w:tcW w:w="5347" w:type="dxa"/>
                <w:tcBorders>
                  <w:top w:val="single" w:sz="4" w:space="0" w:color="auto"/>
                  <w:bottom w:val="single" w:sz="4" w:space="0" w:color="auto"/>
                </w:tcBorders>
              </w:tcPr>
              <w:p w14:paraId="6789C4CB" w14:textId="77777777">
                <w:pPr>
                  <w:jc w:val="both"/>
                  <w:rPr>
                    <w:b/>
                    <w:bCs/>
                    <w:sz w:val="20"/>
                  </w:rPr>
                </w:pPr>
                <w:r>
                  <w:rPr>
                    <w:b/>
                    <w:bCs/>
                    <w:sz w:val="20"/>
                  </w:rPr>
                  <w:t>Darbų ir pareigybių vertinimo metodika</w:t>
                </w:r>
              </w:p>
              <w:p w14:paraId="53CF7151" w14:textId="77777777">
                <w:pPr>
                  <w:jc w:val="both"/>
                  <w:rPr>
                    <w:sz w:val="20"/>
                  </w:rPr>
                </w:pPr>
                <w:r>
                  <w:rPr>
                    <w:sz w:val="20"/>
                  </w:rPr>
                  <w:t xml:space="preserve">I. Bendros nuostatos </w:t>
                </w:r>
              </w:p>
              <w:p w14:paraId="042E92DF" w14:textId="34FA0DC7">
                <w:pPr>
                  <w:jc w:val="both"/>
                  <w:rPr>
                    <w:sz w:val="20"/>
                  </w:rPr>
                </w:pPr>
                <w:r>
                  <w:rPr>
                    <w:sz w:val="20"/>
                  </w:rPr>
                  <w:t>Ši Metodika galėtų būti naudojama įmonėse ir organizacijose tiek diegiant naujas, tiek tobulinant senas darbų (pareigybių) vertinimo bei apmokėjimo sistemas. Pagrindiniais darbų (pareigybių) vertinimo kriterijais ir principais galėtų būti vadovaujamasi ir rengiant šalyje vieningus šakinius susitarimus dėl tarifų.</w:t>
                </w:r>
              </w:p>
              <w:p w14:paraId="1716BFC9" w14:textId="61A9FC2B">
                <w:pPr>
                  <w:jc w:val="both"/>
                  <w:rPr>
                    <w:b/>
                    <w:bCs/>
                    <w:sz w:val="20"/>
                  </w:rPr>
                </w:pPr>
                <w:r>
                  <w:rPr>
                    <w:b/>
                    <w:bCs/>
                    <w:sz w:val="20"/>
                  </w:rPr>
                  <w:t>Darbo apmokėjimo sistemos kūrimo rekomendacijos</w:t>
                </w:r>
              </w:p>
              <w:p w14:paraId="7DDE945B" w14:textId="7C49B815">
                <w:pPr>
                  <w:jc w:val="both"/>
                  <w:rPr>
                    <w:sz w:val="20"/>
                  </w:rPr>
                </w:pPr>
                <w:r>
                  <w:rPr>
                    <w:sz w:val="20"/>
                  </w:rPr>
                  <w:t>Įžanga</w:t>
                </w:r>
              </w:p>
              <w:p w14:paraId="1D49F416" w14:textId="2BD2442F">
                <w:pPr>
                  <w:jc w:val="both"/>
                  <w:rPr>
                    <w:sz w:val="20"/>
                  </w:rPr>
                </w:pPr>
                <w:r>
                  <w:rPr>
                    <w:sz w:val="20"/>
                  </w:rPr>
                  <w:t>Šiomis metodinėmis rekomendacijomis siekiama suteikti darbdaviams reikiamų kompetencijų rengiant darbo apmokėjimo sistemas ir padėti užtikrinti teisingo apmokėjimo už darbą principo įgyvendinimą</w:t>
                </w:r>
              </w:p>
              <w:p w14:paraId="73E50AA4" w14:textId="35B2CF62">
                <w:pPr>
                  <w:jc w:val="both"/>
                  <w:rPr>
                    <w:b/>
                    <w:bCs/>
                    <w:sz w:val="20"/>
                  </w:rPr>
                </w:pPr>
                <w:r>
                  <w:rPr>
                    <w:b/>
                    <w:bCs/>
                    <w:sz w:val="20"/>
                  </w:rPr>
                  <w:t>Nutarimas Nr. 857</w:t>
                </w:r>
              </w:p>
              <w:p w14:paraId="60342B29" w14:textId="394A39D4">
                <w:pPr>
                  <w:jc w:val="both"/>
                  <w:rPr>
                    <w:b/>
                    <w:bCs/>
                    <w:sz w:val="20"/>
                  </w:rPr>
                </w:pPr>
                <w:r>
                  <w:rPr>
                    <w:b/>
                    <w:bCs/>
                    <w:sz w:val="20"/>
                  </w:rPr>
                  <w:t xml:space="preserve">Darbo apmokėjimo sistemos nustatymo rekomendacijos </w:t>
                </w:r>
              </w:p>
              <w:p w14:paraId="4C68B662" w14:textId="7D862DCE">
                <w:pPr>
                  <w:jc w:val="both"/>
                  <w:rPr>
                    <w:b/>
                    <w:bCs/>
                    <w:sz w:val="20"/>
                  </w:rPr>
                </w:pPr>
                <w:r>
                  <w:rPr>
                    <w:b/>
                    <w:bCs/>
                    <w:sz w:val="20"/>
                  </w:rPr>
                  <w:t>I skyrius</w:t>
                </w:r>
              </w:p>
              <w:p w14:paraId="25512C39" w14:textId="5D1EEB15">
                <w:pPr>
                  <w:jc w:val="both"/>
                  <w:rPr>
                    <w:b/>
                    <w:bCs/>
                    <w:sz w:val="20"/>
                  </w:rPr>
                </w:pPr>
                <w:r>
                  <w:rPr>
                    <w:b/>
                    <w:bCs/>
                    <w:sz w:val="20"/>
                  </w:rPr>
                  <w:t>Bendrosios nuostatos</w:t>
                </w:r>
              </w:p>
              <w:p w14:paraId="1FB96181" w14:textId="3D6AB5CF">
                <w:pPr>
                  <w:jc w:val="both"/>
                  <w:rPr>
                    <w:sz w:val="20"/>
                  </w:rPr>
                </w:pPr>
                <w:r>
                  <w:rPr>
                    <w:sz w:val="20"/>
                  </w:rPr>
                  <w:t>1. Darbo apmokėjimo sistemos nustatymo rekomendacijos (toliau – Rekomendacijos) nustato gaires bei kriterijus, pagal kuriuos formuojami biudžetinės įstaigos (toliau – įstaiga) valstybės tarnautojų ir darbuotojų, dirbančių pagal darbo sutartis, (toliau – darbuotojai) pareigybių struktūra, pareiginės algos koeficientų intervalai, mokamos priemokos, darbuotojams mokama kintamoji dalis, jie skatinami, valstybės tarnautojai apdovanojami, nustatoma pareiginė alga atlikus valstybės tarnautojo tarnybinės veiklos ar darbuotojo veiklos vertinimą</w:t>
                </w:r>
              </w:p>
              <w:p w14:paraId="03621C8B" w14:textId="2427D135">
                <w:pPr>
                  <w:jc w:val="both"/>
                  <w:rPr>
                    <w:b/>
                    <w:bCs/>
                    <w:sz w:val="20"/>
                  </w:rPr>
                </w:pPr>
                <w:r>
                  <w:rPr>
                    <w:b/>
                    <w:bCs/>
                    <w:sz w:val="20"/>
                  </w:rPr>
                  <w:t>LGĮ</w:t>
                </w:r>
              </w:p>
              <w:p w14:paraId="24E53250" w14:textId="73618185">
                <w:pPr>
                  <w:jc w:val="both"/>
                  <w:rPr>
                    <w:b/>
                    <w:bCs/>
                    <w:sz w:val="20"/>
                  </w:rPr>
                </w:pPr>
                <w:r>
                  <w:rPr>
                    <w:b/>
                    <w:bCs/>
                    <w:sz w:val="20"/>
                  </w:rPr>
                  <w:t>17 straipsnis. Lygių galimybių kontrolieriaus kompetencija</w:t>
                </w:r>
              </w:p>
              <w:p w14:paraId="0ED6E4E9" w14:textId="77777777">
                <w:pPr>
                  <w:jc w:val="both"/>
                  <w:rPr>
                    <w:sz w:val="22"/>
                    <w:szCs w:val="22"/>
                  </w:rPr>
                </w:pPr>
                <w:r>
                  <w:rPr>
                    <w:sz w:val="20"/>
                  </w:rPr>
                  <w:t>&lt;...&gt;</w:t>
                </w:r>
                <w:r>
                  <w:rPr>
                    <w:sz w:val="22"/>
                    <w:szCs w:val="22"/>
                  </w:rPr>
                  <w:t xml:space="preserve"> </w:t>
                </w:r>
              </w:p>
              <w:p w14:paraId="6AFD8CBA" w14:textId="21427D8A">
                <w:pPr>
                  <w:jc w:val="both"/>
                  <w:rPr>
                    <w:sz w:val="20"/>
                  </w:rPr>
                </w:pPr>
                <w:r>
                  <w:rPr>
                    <w:sz w:val="20"/>
                  </w:rPr>
                  <w:t>2. Lygių galimybių kontrolierius atlieka nepriklausomus tyrimus, susijusius su diskriminacijos atvejais, ir nepriklausomas diskriminacijos padėties apžvalgas, skelbia nepriklausomas ataskaitas, teikia išvadas ir rekomendacijas bet kokiais su diskriminacija susijusiais klausimais dėl šio įstatymo įgyvendinimo, taip pat pasiūlymus valstybės ir savivaldybių institucijoms ir įstaigoms dėl teisės aktų tobulinimo ir lygių teisių įgyvendinimo politikos prioritetų, vykdo prevencinę ir švietėjišką veiklą, lygių galimybių užtikrinimo sklaidą.</w:t>
                </w:r>
              </w:p>
              <w:p w14:paraId="5BBB0737" w14:textId="507EA3A7">
                <w:pPr>
                  <w:jc w:val="both"/>
                  <w:rPr>
                    <w:b/>
                    <w:bCs/>
                    <w:sz w:val="20"/>
                  </w:rPr>
                </w:pPr>
                <w:r>
                  <w:rPr>
                    <w:b/>
                    <w:bCs/>
                    <w:sz w:val="20"/>
                  </w:rPr>
                  <w:t>VDI nuostatai</w:t>
                </w:r>
              </w:p>
              <w:p w14:paraId="5137F029" w14:textId="2E8BDF11">
                <w:pPr>
                  <w:jc w:val="both"/>
                  <w:rPr>
                    <w:sz w:val="20"/>
                  </w:rPr>
                </w:pPr>
                <w:r>
                  <w:rPr>
                    <w:sz w:val="20"/>
                  </w:rPr>
                  <w:t>8.3.5. konsultuoja darbuotojus, darbuotojų atstovus, darbdaviams atstovaujančius asmenis, darbdavių įgaliotus asmenis Darbo kodekso, darbuotojų saugą ir sveikatą bei darbo santykius reglamentuojančių įstatymų ir kitų norminių teisės aktų taikymo bei vykdymo, kolektyvinių sutarčių sudarymo, profesinių sąjungų steigimo klausimais, rengia ir (ar) organizuoja atitinkamų metodikų, metodinių rekomendacijų, gerosios praktikos vadovų parengimą, jų aprobavimą ir skleidimą, taip pat konsultuoja savarankiškai dirbančius asmenis, vykdančius savarankišką veiklą statybvietėse, darbuotojų saugos ir sveikatos reikalavimų laikymosi klausimais, teikia jiems metodinę pagalbą;</w:t>
                </w:r>
              </w:p>
            </w:tc>
            <w:tc>
              <w:tcPr>
                <w:tcW w:w="1572" w:type="dxa"/>
                <w:tcBorders>
                  <w:top w:val="single" w:sz="4" w:space="0" w:color="auto"/>
                  <w:bottom w:val="single" w:sz="4" w:space="0" w:color="auto"/>
                </w:tcBorders>
              </w:tcPr>
              <w:p w14:paraId="6A053E51" w14:textId="2DD623F1">
                <w:pPr>
                  <w:jc w:val="both"/>
                  <w:rPr>
                    <w:color w:val="000000"/>
                    <w:sz w:val="20"/>
                  </w:rPr>
                </w:pPr>
                <w:r>
                  <w:rPr>
                    <w:color w:val="000000"/>
                    <w:sz w:val="20"/>
                  </w:rPr>
                  <w:t>Visiškas</w:t>
                </w:r>
              </w:p>
            </w:tc>
          </w:tr>
          <w:tr w14:paraId="2D4D3114" w14:textId="77777777">
            <w:tc>
              <w:tcPr>
                <w:tcW w:w="8391" w:type="dxa"/>
                <w:tcBorders>
                  <w:top w:val="single" w:sz="4" w:space="0" w:color="auto"/>
                  <w:bottom w:val="single" w:sz="4" w:space="0" w:color="auto"/>
                </w:tcBorders>
              </w:tcPr>
              <w:p w14:paraId="1C95CDC2" w14:textId="2F005AB8">
                <w:pPr>
                  <w:jc w:val="both"/>
                  <w:rPr>
                    <w:bCs/>
                    <w:sz w:val="20"/>
                  </w:rPr>
                </w:pPr>
                <w:r>
                  <w:rPr>
                    <w:bCs/>
                    <w:sz w:val="20"/>
                  </w:rPr>
                  <w:t>3. Kai tikslinga, Komisija, konsultuodamasi su Europos lyčių lygybės institutu (EIGE), gali atnaujinti Sąjungos masto gaires, susijusias su lyties požiūriu neutraliomis darbo vertinimo ir pareigybių klasifikavimo sistemomis.</w:t>
                </w:r>
              </w:p>
            </w:tc>
            <w:tc>
              <w:tcPr>
                <w:tcW w:w="5347" w:type="dxa"/>
                <w:tcBorders>
                  <w:top w:val="single" w:sz="4" w:space="0" w:color="auto"/>
                  <w:bottom w:val="single" w:sz="4" w:space="0" w:color="auto"/>
                </w:tcBorders>
              </w:tcPr>
              <w:p w14:paraId="3A033D28" w14:textId="0B6A2226">
                <w:pPr>
                  <w:jc w:val="both"/>
                  <w:rPr>
                    <w:color w:val="000000"/>
                    <w:sz w:val="20"/>
                  </w:rPr>
                </w:pPr>
                <w:r>
                  <w:rPr>
                    <w:color w:val="000000"/>
                    <w:sz w:val="20"/>
                  </w:rPr>
                  <w:t>Perkelti nereikia, nes nuostata skirta šio straipsnio 2 d. tikslui pasiekti</w:t>
                </w:r>
              </w:p>
            </w:tc>
            <w:tc>
              <w:tcPr>
                <w:tcW w:w="1572" w:type="dxa"/>
                <w:tcBorders>
                  <w:top w:val="single" w:sz="4" w:space="0" w:color="auto"/>
                  <w:bottom w:val="single" w:sz="4" w:space="0" w:color="auto"/>
                </w:tcBorders>
              </w:tcPr>
              <w:p w14:paraId="294DEB6B" w14:textId="57FBFA97">
                <w:pPr>
                  <w:jc w:val="both"/>
                  <w:rPr>
                    <w:color w:val="000000"/>
                    <w:sz w:val="20"/>
                  </w:rPr>
                </w:pPr>
              </w:p>
            </w:tc>
          </w:tr>
          <w:tr w14:paraId="5DA2D278" w14:textId="77777777">
            <w:tc>
              <w:tcPr>
                <w:tcW w:w="8391" w:type="dxa"/>
                <w:tcBorders>
                  <w:top w:val="single" w:sz="4" w:space="0" w:color="auto"/>
                  <w:bottom w:val="single" w:sz="4" w:space="0" w:color="auto"/>
                </w:tcBorders>
              </w:tcPr>
              <w:p w14:paraId="0218BA31" w14:textId="77777777">
                <w:pPr>
                  <w:jc w:val="both"/>
                  <w:rPr>
                    <w:bCs/>
                    <w:sz w:val="20"/>
                  </w:rPr>
                </w:pPr>
                <w:r>
                  <w:rPr>
                    <w:bCs/>
                    <w:sz w:val="20"/>
                  </w:rPr>
                  <w:t>4. Darbo užmokesčio struktūros turi būti tokios, kad būtų galima įvertinti, ar darbuotojai yra panašioje padėtyje darbo vertės atžvilgiu, remiantis objektyviais, lyties požiūriu neutraliais kriterijais, dėl kurių susitarta su darbuotojų atstovais, jei tokie atstovai yra. Tie kriterijai neturi būti tiesiogiai ar netiesiogiai susiję su darbuotojų lytimi. Jie apima įgūdžius, pastangas, atsakomybę ir darbo sąlygas ir, jei tikslinga, visus kitus veiksnius, kurie yra aktualūs konkrečiai darbo vietai ar pareigoms. Jie turi būti taikomi objektyviai ir lyties požiūriu neutraliu būdu, kad juos taikant nebūtų jokios tiesioginės ar netiesioginės diskriminacijos dėl lyties. Visų pirma, juos taikant neturi būti nepakankamai įvertinti atitinkami socialiniai emociniai įgūdžiai.</w:t>
                </w:r>
              </w:p>
              <w:p w14:paraId="317C4D95" w14:textId="77777777">
                <w:pPr>
                  <w:jc w:val="both"/>
                  <w:rPr>
                    <w:bCs/>
                    <w:sz w:val="20"/>
                  </w:rPr>
                </w:pPr>
              </w:p>
              <w:p w14:paraId="77CF1409" w14:textId="1952BACE">
                <w:pPr>
                  <w:jc w:val="both"/>
                  <w:rPr>
                    <w:bCs/>
                    <w:sz w:val="20"/>
                  </w:rPr>
                </w:pPr>
              </w:p>
            </w:tc>
            <w:tc>
              <w:tcPr>
                <w:tcW w:w="5347" w:type="dxa"/>
                <w:tcBorders>
                  <w:top w:val="single" w:sz="4" w:space="0" w:color="auto"/>
                  <w:bottom w:val="single" w:sz="4" w:space="0" w:color="auto"/>
                </w:tcBorders>
              </w:tcPr>
              <w:p w14:paraId="5320CFAE" w14:textId="77777777">
                <w:pPr>
                  <w:jc w:val="both"/>
                  <w:rPr>
                    <w:b/>
                    <w:bCs/>
                    <w:sz w:val="20"/>
                  </w:rPr>
                </w:pPr>
                <w:r>
                  <w:rPr>
                    <w:b/>
                    <w:bCs/>
                    <w:sz w:val="20"/>
                  </w:rPr>
                  <w:t>Darbų ir pareigybių vertinimo metodika</w:t>
                </w:r>
              </w:p>
              <w:p w14:paraId="36943068" w14:textId="77777777">
                <w:pPr>
                  <w:jc w:val="both"/>
                  <w:rPr>
                    <w:sz w:val="20"/>
                  </w:rPr>
                </w:pPr>
                <w:r>
                  <w:rPr>
                    <w:sz w:val="20"/>
                  </w:rPr>
                  <w:t xml:space="preserve">I. Bendros nuostatos </w:t>
                </w:r>
              </w:p>
              <w:p w14:paraId="24E31472" w14:textId="250230D8">
                <w:pPr>
                  <w:jc w:val="both"/>
                  <w:rPr>
                    <w:sz w:val="20"/>
                  </w:rPr>
                </w:pPr>
                <w:r>
                  <w:rPr>
                    <w:sz w:val="20"/>
                  </w:rPr>
                  <w:t>Ši Metodika galėtų būti naudojama įmonėse ir organizacijose tiek diegiant naujas, tiek tobulinant senas darbų (pareigybių) vertinimo bei apmokėjimo sistemas. Pagrindiniais darbų (pareigybių) vertinimo kriterijais ir principais galėtų būti vadovaujamasi ir rengiant šalyje vieningus šakinius susitarimus dėl tarifų.</w:t>
                </w:r>
              </w:p>
              <w:p w14:paraId="2CCC31BC" w14:textId="77777777">
                <w:pPr>
                  <w:jc w:val="both"/>
                  <w:rPr>
                    <w:b/>
                    <w:bCs/>
                    <w:sz w:val="20"/>
                  </w:rPr>
                </w:pPr>
                <w:r>
                  <w:rPr>
                    <w:b/>
                    <w:bCs/>
                    <w:sz w:val="20"/>
                  </w:rPr>
                  <w:t>Darbo apmokėjimo sistemos kūrimo rekomendacijos</w:t>
                </w:r>
              </w:p>
              <w:p w14:paraId="1D4D1CE0" w14:textId="77777777">
                <w:pPr>
                  <w:jc w:val="both"/>
                  <w:rPr>
                    <w:sz w:val="20"/>
                  </w:rPr>
                </w:pPr>
                <w:r>
                  <w:rPr>
                    <w:sz w:val="20"/>
                  </w:rPr>
                  <w:t>Įžanga</w:t>
                </w:r>
              </w:p>
              <w:p w14:paraId="43368305" w14:textId="0A88EF72">
                <w:pPr>
                  <w:jc w:val="both"/>
                  <w:rPr>
                    <w:sz w:val="20"/>
                  </w:rPr>
                </w:pPr>
                <w:r>
                  <w:rPr>
                    <w:sz w:val="20"/>
                  </w:rPr>
                  <w:t>Šiomis metodinėmis rekomendacijomis siekiama suteikti darbdaviams reikiamų kompetencijų rengiant darbo apmokėjimo sistemas ir padėti užtikrinti teisingo apmokėjimo už darbą principo įgyvendinimą</w:t>
                </w:r>
              </w:p>
              <w:p w14:paraId="309CC5E0" w14:textId="77777777">
                <w:pPr>
                  <w:jc w:val="both"/>
                  <w:rPr>
                    <w:b/>
                    <w:bCs/>
                    <w:sz w:val="20"/>
                  </w:rPr>
                </w:pPr>
                <w:r>
                  <w:rPr>
                    <w:b/>
                    <w:bCs/>
                    <w:sz w:val="20"/>
                  </w:rPr>
                  <w:t>Nutarimas Nr. 857</w:t>
                </w:r>
              </w:p>
              <w:p w14:paraId="20D3FECC" w14:textId="77777777">
                <w:pPr>
                  <w:jc w:val="both"/>
                  <w:rPr>
                    <w:b/>
                    <w:bCs/>
                    <w:sz w:val="20"/>
                  </w:rPr>
                </w:pPr>
                <w:r>
                  <w:rPr>
                    <w:b/>
                    <w:bCs/>
                    <w:sz w:val="20"/>
                  </w:rPr>
                  <w:t xml:space="preserve">Darbo apmokėjimo sistemos nustatymo rekomendacijos </w:t>
                </w:r>
              </w:p>
              <w:p w14:paraId="7FE289C9" w14:textId="77777777">
                <w:pPr>
                  <w:jc w:val="both"/>
                  <w:rPr>
                    <w:b/>
                    <w:bCs/>
                    <w:sz w:val="20"/>
                  </w:rPr>
                </w:pPr>
                <w:r>
                  <w:rPr>
                    <w:b/>
                    <w:bCs/>
                    <w:sz w:val="20"/>
                  </w:rPr>
                  <w:t>I skyrius</w:t>
                </w:r>
              </w:p>
              <w:p w14:paraId="30CCCE45" w14:textId="77777777">
                <w:pPr>
                  <w:jc w:val="both"/>
                  <w:rPr>
                    <w:b/>
                    <w:bCs/>
                    <w:sz w:val="20"/>
                  </w:rPr>
                </w:pPr>
                <w:r>
                  <w:rPr>
                    <w:b/>
                    <w:bCs/>
                    <w:sz w:val="20"/>
                  </w:rPr>
                  <w:t>Bendrosios nuostatos</w:t>
                </w:r>
              </w:p>
              <w:p w14:paraId="64083CA4" w14:textId="7838F6B6">
                <w:pPr>
                  <w:jc w:val="both"/>
                  <w:rPr>
                    <w:sz w:val="20"/>
                  </w:rPr>
                </w:pPr>
                <w:r>
                  <w:rPr>
                    <w:sz w:val="20"/>
                  </w:rPr>
                  <w:t>1. Darbo apmokėjimo sistemos nustatymo rekomendacijos (toliau – Rekomendacijos) nustato gaires bei kriterijus, pagal kuriuos formuojami biudžetinės įstaigos (toliau – įstaiga) valstybės tarnautojų ir darbuotojų, dirbančių pagal darbo sutartis, (toliau – darbuotojai) pareigybių struktūra, pareiginės algos koeficientų intervalai, mokamos priemokos, darbuotojams mokama kintamoji dalis, jie skatinami, valstybės tarnautojai apdovanojami, nustatoma pareiginė alga atlikus valstybės tarnautojo tarnybinės veiklos ar darbuotojo veiklos vertinimą</w:t>
                </w:r>
              </w:p>
              <w:p w14:paraId="080533AC" w14:textId="77777777">
                <w:pPr>
                  <w:jc w:val="both"/>
                  <w:rPr>
                    <w:b/>
                    <w:color w:val="000000"/>
                    <w:sz w:val="20"/>
                  </w:rPr>
                </w:pPr>
                <w:r>
                  <w:rPr>
                    <w:b/>
                    <w:color w:val="000000"/>
                    <w:sz w:val="20"/>
                  </w:rPr>
                  <w:t>DK projektas</w:t>
                </w:r>
              </w:p>
              <w:p w14:paraId="4A9BF92B" w14:textId="515D59BC">
                <w:pPr>
                  <w:jc w:val="both"/>
                  <w:rPr>
                    <w:b/>
                    <w:bCs/>
                    <w:sz w:val="20"/>
                    <w:lang w:eastAsia="lt-LT"/>
                  </w:rPr>
                </w:pPr>
                <w:r>
                  <w:rPr>
                    <w:b/>
                    <w:bCs/>
                    <w:sz w:val="20"/>
                    <w:lang w:eastAsia="lt-LT"/>
                  </w:rPr>
                  <w:t>14 straipsnis. 140 straipsnio pakeitimas</w:t>
                </w:r>
              </w:p>
              <w:p w14:paraId="5CB2BC7D" w14:textId="77777777">
                <w:pPr>
                  <w:jc w:val="both"/>
                  <w:rPr>
                    <w:b/>
                    <w:bCs/>
                    <w:sz w:val="20"/>
                    <w:lang w:eastAsia="lt-LT"/>
                  </w:rPr>
                </w:pPr>
                <w:r>
                  <w:rPr>
                    <w:b/>
                    <w:bCs/>
                    <w:sz w:val="20"/>
                    <w:lang w:eastAsia="lt-LT"/>
                  </w:rPr>
                  <w:t>1. Pakeisti 140 straipsnio 3 dalį ir ją išdėstyti taip:</w:t>
                </w:r>
              </w:p>
              <w:p w14:paraId="2CF1581C" w14:textId="4363FC8B">
                <w:pPr>
                  <w:jc w:val="both"/>
                  <w:rPr>
                    <w:b/>
                    <w:bCs/>
                    <w:sz w:val="20"/>
                    <w:lang w:eastAsia="lt-LT"/>
                  </w:rPr>
                </w:pPr>
                <w:r>
                  <w:rPr>
                    <w:b/>
                    <w:bCs/>
                    <w:sz w:val="20"/>
                    <w:lang w:eastAsia="lt-LT"/>
                  </w:rPr>
                  <w:t>„3. Darbo apmokėjimo sistema darbovietėje ar darbdavio įmonėje, įstaigoje, organizacijoje nustatoma kolektyvine sutartimi ir taikoma visiems tos darbovietės ar darbdavio įmonės, įstaigos, organizacijos darbuotojams. Jei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p>
              <w:p w14:paraId="27BADB52" w14:textId="781085FE">
                <w:pPr>
                  <w:jc w:val="both"/>
                  <w:rPr>
                    <w:b/>
                    <w:bCs/>
                    <w:sz w:val="20"/>
                  </w:rPr>
                </w:pPr>
                <w:r>
                  <w:rPr>
                    <w:b/>
                    <w:bCs/>
                    <w:sz w:val="20"/>
                  </w:rPr>
                  <w:t>2. Pakeisti 140 straipsnio 5 dalį ir ją išdėstyti taip:</w:t>
                </w:r>
              </w:p>
              <w:p w14:paraId="17FB3313" w14:textId="101503A0">
                <w:pPr>
                  <w:jc w:val="both"/>
                  <w:rPr>
                    <w:b/>
                    <w:bCs/>
                    <w:sz w:val="20"/>
                  </w:rPr>
                </w:pPr>
                <w:r>
                  <w:rPr>
                    <w:b/>
                    <w:bCs/>
                    <w:sz w:val="20"/>
                  </w:rPr>
                  <w:t>„5.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 pagal objektyvius kriterijus ne mažesnės kvalifikacijos reikalaujantis ir ne mažiau reikšmingas darbdaviui, siekiant savo veiklos tikslų, darbas negu kitas palyginamasis darbas.“</w:t>
                </w:r>
              </w:p>
              <w:p w14:paraId="2A2ADB3D" w14:textId="77777777">
                <w:pPr>
                  <w:jc w:val="both"/>
                  <w:rPr>
                    <w:b/>
                    <w:bCs/>
                    <w:color w:val="000000"/>
                    <w:sz w:val="20"/>
                  </w:rPr>
                </w:pPr>
                <w:r>
                  <w:rPr>
                    <w:b/>
                    <w:bCs/>
                    <w:color w:val="000000"/>
                    <w:sz w:val="20"/>
                  </w:rPr>
                  <w:t>BIDU projektas</w:t>
                </w:r>
              </w:p>
              <w:p w14:paraId="49298641" w14:textId="78BCAAC9">
                <w:pPr>
                  <w:jc w:val="both"/>
                  <w:rPr>
                    <w:b/>
                    <w:bCs/>
                    <w:sz w:val="20"/>
                  </w:rPr>
                </w:pPr>
                <w:r>
                  <w:rPr>
                    <w:b/>
                    <w:bCs/>
                    <w:sz w:val="20"/>
                  </w:rPr>
                  <w:t>2 straipsnis. 5 straipsnio pakeitimas</w:t>
                </w:r>
              </w:p>
              <w:p w14:paraId="5910564F" w14:textId="77777777">
                <w:pPr>
                  <w:jc w:val="both"/>
                  <w:rPr>
                    <w:b/>
                    <w:bCs/>
                    <w:sz w:val="20"/>
                  </w:rPr>
                </w:pPr>
                <w:r>
                  <w:rPr>
                    <w:b/>
                    <w:bCs/>
                    <w:sz w:val="20"/>
                  </w:rPr>
                  <w:t>Pakeisti 5 straipsnio 5 dalį ir ją išdėstyti taip:</w:t>
                </w:r>
              </w:p>
              <w:p w14:paraId="143B6A15" w14:textId="77777777">
                <w:pPr>
                  <w:jc w:val="both"/>
                  <w:rPr>
                    <w:b/>
                    <w:bCs/>
                    <w:sz w:val="20"/>
                    <w:lang w:eastAsia="lt-LT"/>
                  </w:rPr>
                </w:pPr>
                <w:r>
                  <w:rPr>
                    <w:b/>
                    <w:bCs/>
                    <w:sz w:val="20"/>
                    <w:lang w:eastAsia="lt-LT"/>
                  </w:rPr>
                  <w:t>„5. Darbo apmokėjimo sistema nustatoma kolektyvinėje sutartyje ir ji taikoma visiems biudžetinės įstaigos darbuotojams. Jeigu nėra darbo apmokėjimo sistemą nustatančios kolektyvinės sutarties, darbo apmokėjimo sistemą privalo nustatyti biudžetinės įstaigos vadovas. Prieš darbo apmokėjimo sistemos nustatymą ar keitimą biudžetinės įstaigos vadovas Darbo kodekso nustatyta tvarka turi atlikti informavimo ir konsultavimo procedūras. Darbo apmokėjimo sistema viešai skelbiama biudžetinės įstaigos interneto svetainėje. Darbo apmokėjimo sistema nustatoma atsižvelgiant į Vyriausybės patvirtintas darbo apmokėjimo sistemos nustatymo rekomendacijas. Darbo apmokėjimo sistemoje pareigybės, esančios biudžetinės įstaigos pareigybių sąraše, turi būti suskirstytos į pareigybių lygmenis (pakopas)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psichologiniai veiksniai), ir, jei tikslinga, kitus svarbius kriterijus. Pareigybės, kurioms priskirtas toks pats ar vienodos vertės darbas, kaip jis apibrėžtas Darbo kodekso 140 straipsnyje, priskiriamos tam pačiam pareigybių lygmeniui (pakopai). Darbo apmokėjimo sistemoje, atsižvelgiant į šio įstatymo nuostatas, pagal objektyvius ir lyties požiūriu neutralius kriterijus (darbo patirtį, išsilavinimą, veiklos sudėtingumą, atsakomybės ir savarankiškumo lygį, papildomų įgūdžių ar žinių, svarbių einant pareigas, turėjimą, darbo sąlygas ar kitus kriterijus) turi būti nustatyti kiekvieno pareigybių lygmens (pakopos) arba kiekvienos pareigybės pareiginės algos koeficientų, viršijančių šio įstatymo 1 priede nustatytą minimalų pareiginės algos koeficientą,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darbuotojo veiklos rezultatais, aukštesnėmis kompetencijomis, didesne patirtimi ir kt.) kriterijai ir tvarka. Savininko teises ir pareigas įgyvendinanti institucija nustato jos valdymo sričiai priskirtų biudžetinių įstaigų vadovų darbo apmokėjimo sistemą, kurioje biudžetinių įstaigų vadovų pareigybės turi būti suskirstytos į pareigybių lygmenis (pakopas)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biudžetinės įstaigos veiklos pobūdį, jos dydį, veiklos ir sprendimų galiojimo ribas, ir, jei tikslinga, kitus svarbius kriterijus. Šioje darbo apmokėjimo sistemoje taip pat turi būti nurodyti objektyvūs, lyties požiūriu neutralūs biudžetinės įstaigos vadovo pareigybės pareiginės algos koeficiento nustatymo kriterijai (darbo patirtis, išsilavinimas, veiklos sudėtingumas, atsakomybės ir savarankiškumo lygis, papildomų įgūdžių ir žinių, svarbių einant pareigas, turėjimas, darbo sąlygos ir kt.) ir, atsižvelgiant į juos, nustatyti pareiginės algos koeficientų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biudžetinės įstaigos vadovo veiklos rezultatais, aukštesnėmis kompetencijomis, didesne patirtimi ir kt.) kriterijai ir tvarka.“</w:t>
                </w:r>
              </w:p>
              <w:p w14:paraId="4850CA5A" w14:textId="738A1B04">
                <w:pPr>
                  <w:jc w:val="both"/>
                  <w:rPr>
                    <w:b/>
                    <w:bCs/>
                    <w:color w:val="000000"/>
                    <w:sz w:val="20"/>
                  </w:rPr>
                </w:pPr>
                <w:r>
                  <w:rPr>
                    <w:b/>
                    <w:bCs/>
                    <w:color w:val="000000"/>
                    <w:sz w:val="20"/>
                  </w:rPr>
                  <w:t>VTĮ projektas</w:t>
                </w:r>
              </w:p>
              <w:p w14:paraId="5E6FB47D" w14:textId="33EBEF87">
                <w:pPr>
                  <w:jc w:val="both"/>
                  <w:rPr>
                    <w:b/>
                    <w:bCs/>
                    <w:sz w:val="20"/>
                  </w:rPr>
                </w:pPr>
                <w:r>
                  <w:rPr>
                    <w:b/>
                    <w:bCs/>
                    <w:sz w:val="20"/>
                  </w:rPr>
                  <w:t>2 straipsnis. 19 straipsnio pakeitimas</w:t>
                </w:r>
              </w:p>
              <w:p w14:paraId="7E6BF86C" w14:textId="77777777">
                <w:pPr>
                  <w:jc w:val="both"/>
                  <w:rPr>
                    <w:b/>
                    <w:bCs/>
                    <w:sz w:val="20"/>
                  </w:rPr>
                </w:pPr>
                <w:r>
                  <w:rPr>
                    <w:b/>
                    <w:bCs/>
                    <w:sz w:val="20"/>
                  </w:rPr>
                  <w:t>Pakeisti 19 straipsnio 3 dalį ir ją išdėstyti taip:</w:t>
                </w:r>
              </w:p>
              <w:p w14:paraId="2FF1FC3E" w14:textId="77777777">
                <w:pPr>
                  <w:jc w:val="both"/>
                  <w:rPr>
                    <w:b/>
                    <w:bCs/>
                    <w:sz w:val="20"/>
                    <w:lang w:eastAsia="lt-LT"/>
                  </w:rPr>
                </w:pPr>
                <w:r>
                  <w:rPr>
                    <w:b/>
                    <w:bCs/>
                    <w:sz w:val="20"/>
                    <w:lang w:eastAsia="lt-LT"/>
                  </w:rPr>
                  <w:t xml:space="preserve">„3. Darbo apmokėjimo sistema nustatoma kolektyvinėje sutartyje ir ji taikoma visiems valstybės ar savivaldybės institucijos ar įstaigos valstybės tarnautojams. Jeigu nėra darbo apmokėjimo sistemą nustatančios kolektyvinės sutarties, darbo apmokėjimo sistemą nustato valstybės ar savivaldybės institucijos ar įstaigos vadovas. Prieš darbo apmokėjimo sistemos nustatymą ar keitimą valstybės ar savivaldybės institucijos ar įstaigos vadovas Darbo kodekso nustatyta tvarka turi atlikti informavimo ir konsultavimo procedūras. Darbo apmokėjimo sistema viešai skelbiama įstaigos interneto svetainėje. Darbo apmokėjimo sistema nustatoma vadovaujantis Vyriausybės patvirtintomis rekomendacijomis. Darbo apmokėjimo sistemoje, atsižvelgiant į šio įstatymo nuostatas, nustatomi valstybės ar savivaldybės institucijos ar įstaigos pareigybių sąraše esančių pareigybių pareiginės algos koeficientai ar jų intervalai, pareiginės algos koeficientų dydžio nustatymo kriterijai (įgūdžiai (įskaitant įgūdžius, susijusius su bendravimo, bendradarbiavimo įgūdžiais, konfliktų sprendimu, gebėjimu dirbti su kitais žmonėmis ir svarbius atliekant darbo funkciją), pastangos (fizinių, protinių ir emocinių resursų kiekis, reikalingas užduotims pagal valstybės tarnautojo pareigybės aprašymą atlikti), darbo patirtis, veiklos sudėtingumas, atsakomybės lygis, papildomų įgūdžių ar žinių, svarbių einant pareigas, turėjimas, darbo sąlygos (darbo aplinka, intensyvumas, rizika, fiziniai ir psichologiniai veiksniai)) ir, jei tikslinga, kiti objektyvūs, lyties požiūriu neutralūs kriterijai, priemokų dydžiai, jų skyrimo tvarka. Darbo apmokėjimo sistemoje gali būti numatomos papildomos skatinimo ir socialinės garantijos, nenustatytos šiame ar kituose įstatymuose.“ </w:t>
                </w:r>
              </w:p>
              <w:p w14:paraId="716692FD" w14:textId="77777777">
                <w:pPr>
                  <w:jc w:val="both"/>
                  <w:rPr>
                    <w:b/>
                    <w:bCs/>
                    <w:sz w:val="20"/>
                    <w:lang w:eastAsia="lt-LT"/>
                  </w:rPr>
                </w:pPr>
                <w:r>
                  <w:rPr>
                    <w:b/>
                    <w:bCs/>
                    <w:sz w:val="20"/>
                    <w:lang w:eastAsia="lt-LT"/>
                  </w:rPr>
                  <w:t>VĮVDDAĮ projektas</w:t>
                </w:r>
              </w:p>
              <w:p w14:paraId="0721E428" w14:textId="77777777">
                <w:pPr>
                  <w:jc w:val="both"/>
                  <w:rPr>
                    <w:b/>
                    <w:bCs/>
                    <w:sz w:val="20"/>
                    <w:lang w:eastAsia="lt-LT"/>
                  </w:rPr>
                </w:pPr>
                <w:r>
                  <w:rPr>
                    <w:b/>
                    <w:bCs/>
                    <w:sz w:val="20"/>
                    <w:lang w:eastAsia="lt-LT"/>
                  </w:rPr>
                  <w:t>3 straipsnis. 3 straipsnio pakeitimas</w:t>
                </w:r>
              </w:p>
              <w:p w14:paraId="3A3A89E7" w14:textId="77777777">
                <w:pPr>
                  <w:jc w:val="both"/>
                  <w:rPr>
                    <w:b/>
                    <w:bCs/>
                    <w:sz w:val="20"/>
                    <w:lang w:eastAsia="lt-LT"/>
                  </w:rPr>
                </w:pPr>
                <w:r>
                  <w:rPr>
                    <w:b/>
                    <w:bCs/>
                    <w:sz w:val="20"/>
                    <w:lang w:eastAsia="lt-LT"/>
                  </w:rPr>
                  <w:t>Pakeisti 3 straipsnio 3 dalį ir ją išdėstyti taip:</w:t>
                </w:r>
              </w:p>
              <w:p w14:paraId="5E408DCF" w14:textId="0B911F66">
                <w:pPr>
                  <w:jc w:val="both"/>
                  <w:rPr>
                    <w:b/>
                    <w:bCs/>
                    <w:sz w:val="20"/>
                    <w:lang w:eastAsia="lt-LT"/>
                  </w:rPr>
                </w:pPr>
                <w:r>
                  <w:rPr>
                    <w:b/>
                    <w:bCs/>
                    <w:sz w:val="20"/>
                    <w:lang w:eastAsia="lt-LT"/>
                  </w:rPr>
                  <w:t>„3. Viešosios įstaigos darbuotojų pareiginė alga nustatoma iš darbuotojų darbo apmokėjimo sistemoje pareigybei nustatyto pareiginės algos koeficientų intervalo, kurio minimalūs pareiginės algos už nekvalifikuotą darbą koeficientų dydžiai negali būti mažesni negu viena Lietuvos Respublikos Vyriausybės patvirtinta minimalioji mėnesinė alga (toliau – MMA), o už kvalifikuotą darbą negali būti mažesni negu 1,1 MMA. Viešosios įstaigos darbuotojų maksimalus pareiginės algos koeficiento dydis negali viršyti viešosios įstaigos vadovo maksimalaus pareiginės algos koeficiento dydžio, nustatyto šio įstatymo 1 priede, išskyrus atvejus, kai pagal darbuotojų darbo apmokėjimo sistemą, atsižvelgiant į Vyriausybės ar jos įgaliotos institucijos nustatytą tam tikrų profesijų atstovų trūkumą Lietuvos Respublikos darbo rinkoje, darbuotojui numatoma didesnė pareiginė alga, bet ne daugiau negu 100 procentų didesnė už atitinkamai viešųjų įstaigų vadovų kategorijai nustatytą maksimalų pareiginės algos koeficiento dydį. Darbuotojų darbo apmokėjimo sistemoje pareigybės, esančios viešosios įstaigos pareigybių sąraše, turi būti suskirstytos į pareigybių grupes pagal objektyvius ir lyties požiūriu neutralius kriterijus, apimančius tam tikrus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psichologiniai veiksniai), ir, jei tikslinga, kitus svarbius kriterijus. Pareigybės, kai atliekamas toks pats ar vienodos vertės darbas, kaip jis apibrėžtas Darbo kodekso 140 straipsnyje, priskiriamos tai pačiai pareigybių grupei. Darbo apmokėjimo sistemoje, atsižvelgiant į šio įstatymo nuostatas, pagal objektyvius ir lyties požiūriu neutralius kriterijus (darbo patirtį, išsilavinimą, veiklos sudėtingumą, atsakomybės ir savarankiškumo lygį, papildomų įgūdžių ar žinių, svarbių einant pareigas, turėjimą, darbo sąlygas ar kitus kriterijus) turi būti nustatyti kiekvienos pareigybių grupės arba kiekvienos pareigybės pareiginės algos koeficientų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darbuotojo veiklos rezultatais, aukštesnėmis kompetencijomis, didesne patirtimi ir kt.) kriterijai ir tvarka.“</w:t>
                </w:r>
              </w:p>
            </w:tc>
            <w:tc>
              <w:tcPr>
                <w:tcW w:w="1572" w:type="dxa"/>
                <w:tcBorders>
                  <w:top w:val="single" w:sz="4" w:space="0" w:color="auto"/>
                  <w:bottom w:val="single" w:sz="4" w:space="0" w:color="auto"/>
                </w:tcBorders>
              </w:tcPr>
              <w:p w14:paraId="34872DF3" w14:textId="5F22B47D">
                <w:pPr>
                  <w:jc w:val="both"/>
                  <w:rPr>
                    <w:color w:val="000000"/>
                    <w:sz w:val="20"/>
                  </w:rPr>
                </w:pPr>
                <w:r>
                  <w:rPr>
                    <w:color w:val="000000"/>
                    <w:sz w:val="20"/>
                  </w:rPr>
                  <w:t>Visiškas</w:t>
                </w:r>
              </w:p>
              <w:p w14:paraId="67B56D3A" w14:textId="77777777">
                <w:pPr>
                  <w:jc w:val="both"/>
                  <w:rPr>
                    <w:color w:val="000000"/>
                    <w:sz w:val="20"/>
                  </w:rPr>
                </w:pPr>
              </w:p>
              <w:p w14:paraId="362C300C" w14:textId="77777777">
                <w:pPr>
                  <w:jc w:val="both"/>
                  <w:rPr>
                    <w:color w:val="000000"/>
                    <w:sz w:val="20"/>
                  </w:rPr>
                </w:pPr>
              </w:p>
              <w:p w14:paraId="6D8D37CE" w14:textId="3770B455">
                <w:pPr>
                  <w:jc w:val="both"/>
                  <w:rPr>
                    <w:color w:val="000000"/>
                    <w:sz w:val="20"/>
                  </w:rPr>
                </w:pPr>
              </w:p>
            </w:tc>
          </w:tr>
          <w:tr w14:paraId="4AE5DB65" w14:textId="77777777">
            <w:tc>
              <w:tcPr>
                <w:tcW w:w="15310" w:type="dxa"/>
                <w:gridSpan w:val="3"/>
                <w:tcBorders>
                  <w:top w:val="single" w:sz="4" w:space="0" w:color="auto"/>
                  <w:bottom w:val="single" w:sz="4" w:space="0" w:color="auto"/>
                </w:tcBorders>
                <w:shd w:val="clear" w:color="auto" w:fill="D6E3BC" w:themeFill="accent3" w:themeFillTint="66"/>
              </w:tcPr>
              <w:p w14:paraId="46A88AE9" w14:textId="7DB7BF8A">
                <w:pPr>
                  <w:jc w:val="both"/>
                  <w:rPr>
                    <w:b/>
                    <w:bCs/>
                    <w:color w:val="000000"/>
                    <w:sz w:val="20"/>
                  </w:rPr>
                </w:pPr>
                <w:r>
                  <w:rPr>
                    <w:b/>
                    <w:bCs/>
                    <w:color w:val="000000"/>
                    <w:sz w:val="20"/>
                  </w:rPr>
                  <w:t>5 straipsnis. Darbo užmokesčio skaidrumas prieš įdarbinant</w:t>
                </w:r>
              </w:p>
            </w:tc>
          </w:tr>
          <w:tr w14:paraId="1492819A" w14:textId="77777777">
            <w:tc>
              <w:tcPr>
                <w:tcW w:w="8391" w:type="dxa"/>
                <w:tcBorders>
                  <w:top w:val="single" w:sz="4" w:space="0" w:color="auto"/>
                  <w:bottom w:val="single" w:sz="4" w:space="0" w:color="auto"/>
                </w:tcBorders>
              </w:tcPr>
              <w:p w14:paraId="05DB4C82" w14:textId="77777777">
                <w:pPr>
                  <w:jc w:val="both"/>
                  <w:rPr>
                    <w:bCs/>
                    <w:sz w:val="20"/>
                  </w:rPr>
                </w:pPr>
                <w:r>
                  <w:rPr>
                    <w:bCs/>
                    <w:sz w:val="20"/>
                  </w:rPr>
                  <w:t>1. Įsidarbinti norintys asmenys turi teisę iš būsimo darbdavio gauti informaciją apie:</w:t>
                </w:r>
              </w:p>
              <w:p w14:paraId="6F030390" w14:textId="03BABDD2">
                <w:pPr>
                  <w:jc w:val="both"/>
                  <w:rPr>
                    <w:bCs/>
                    <w:sz w:val="20"/>
                  </w:rPr>
                </w:pPr>
                <w:r>
                  <w:rPr>
                    <w:bCs/>
                    <w:sz w:val="20"/>
                  </w:rPr>
                  <w:t>a) pradinį darbo užmokestį arba jo intervalą, pagrįstą objektyviais, lyties požiūriu neutraliais kriterijais ir priskirtiną atitinkamai darbo vietai, ir</w:t>
                </w:r>
              </w:p>
              <w:p w14:paraId="61AC9F3A" w14:textId="63D5A5B2">
                <w:pPr>
                  <w:jc w:val="both"/>
                  <w:rPr>
                    <w:bCs/>
                    <w:sz w:val="20"/>
                  </w:rPr>
                </w:pPr>
                <w:r>
                  <w:rPr>
                    <w:bCs/>
                    <w:sz w:val="20"/>
                  </w:rPr>
                  <w:t>b) kai taikytina, atitinkamas kolektyvinės sutarties nuostatas, kurias darbdavys taiko darbo vietai.</w:t>
                </w:r>
              </w:p>
              <w:p w14:paraId="1E47BB32" w14:textId="2E10C927">
                <w:pPr>
                  <w:jc w:val="both"/>
                  <w:rPr>
                    <w:bCs/>
                    <w:sz w:val="20"/>
                  </w:rPr>
                </w:pPr>
                <w:r>
                  <w:rPr>
                    <w:bCs/>
                    <w:sz w:val="20"/>
                  </w:rPr>
                  <w:t>Tokia informacija pateikiama taip, kad būtų užtikrintos pagrįstos ir skaidrios derybos dėl darbo užmokesčio, pavyzdžiui, paskelbtame pranešime apie laisvą darbo vietą, prieš pokalbį dėl darbo arba kitu būdu.</w:t>
                </w:r>
              </w:p>
            </w:tc>
            <w:tc>
              <w:tcPr>
                <w:tcW w:w="5347" w:type="dxa"/>
                <w:tcBorders>
                  <w:top w:val="single" w:sz="4" w:space="0" w:color="auto"/>
                  <w:bottom w:val="single" w:sz="4" w:space="0" w:color="auto"/>
                </w:tcBorders>
              </w:tcPr>
              <w:p w14:paraId="7B1FC9F2" w14:textId="1CA0D281">
                <w:pPr>
                  <w:rPr>
                    <w:b/>
                    <w:bCs/>
                    <w:sz w:val="20"/>
                  </w:rPr>
                </w:pPr>
                <w:r>
                  <w:rPr>
                    <w:b/>
                    <w:bCs/>
                    <w:sz w:val="20"/>
                  </w:rPr>
                  <w:t>DK</w:t>
                </w:r>
              </w:p>
              <w:p w14:paraId="0D933C28" w14:textId="77777777">
                <w:pPr>
                  <w:jc w:val="both"/>
                  <w:rPr>
                    <w:b/>
                    <w:bCs/>
                    <w:sz w:val="20"/>
                  </w:rPr>
                </w:pPr>
                <w:r>
                  <w:rPr>
                    <w:b/>
                    <w:bCs/>
                    <w:sz w:val="20"/>
                  </w:rPr>
                  <w:t>25 straipsnis. Teisingas informavimas ir konfidencialios informacijos apsauga</w:t>
                </w:r>
              </w:p>
              <w:p w14:paraId="1CBF8850" w14:textId="77777777">
                <w:pPr>
                  <w:jc w:val="both"/>
                  <w:rPr>
                    <w:sz w:val="20"/>
                  </w:rPr>
                </w:pPr>
                <w:r>
                  <w:rPr>
                    <w:sz w:val="20"/>
                  </w:rPr>
                  <w:t xml:space="preserve">&lt;...&gt; </w:t>
                </w:r>
              </w:p>
              <w:p w14:paraId="64778C17" w14:textId="60B8631F">
                <w:pPr>
                  <w:jc w:val="both"/>
                  <w:rPr>
                    <w:sz w:val="20"/>
                  </w:rPr>
                </w:pPr>
                <w:r>
                  <w:rPr>
                    <w:sz w:val="20"/>
                  </w:rPr>
                  <w:t xml:space="preserve">6. Darbo skelbime (informacijos rengėjo, platintojo skelbiamame pranešime apie darbo pasiūlymą) darbdavys privalo nurodyti informaciją apie siūlomo bazinio (tarifinio) darbo užmokesčio (valandinio atlygio arba mėnesinės algos, arba pareiginės algos pastoviosios dalies) dydį ir (arba) dydžio intervalą, išskyrus įstatymuose numatytus atvejus. </w:t>
                </w:r>
              </w:p>
              <w:p w14:paraId="129FB44F" w14:textId="77777777">
                <w:pPr>
                  <w:jc w:val="both"/>
                  <w:rPr>
                    <w:sz w:val="20"/>
                  </w:rPr>
                </w:pPr>
                <w:r>
                  <w:rPr>
                    <w:i/>
                    <w:iCs/>
                    <w:sz w:val="20"/>
                  </w:rPr>
                  <w:t>Straipsnio pakeitimai:</w:t>
                </w:r>
              </w:p>
              <w:p w14:paraId="7778C683" w14:textId="358762AC">
                <w:pPr>
                  <w:jc w:val="both"/>
                  <w:rPr>
                    <w:sz w:val="20"/>
                  </w:rPr>
                </w:pPr>
                <w:r>
                  <w:rPr>
                    <w:i/>
                    <w:iCs/>
                    <w:sz w:val="20"/>
                  </w:rPr>
                  <w:t>Nr. </w:t>
                </w:r>
                <w:hyperlink r:id="rId24" w:tgtFrame="_parent" w:history="1">
                  <w:r>
                    <w:rPr>
                      <w:i/>
                      <w:iCs/>
                      <w:color w:val="0000FF"/>
                      <w:sz w:val="20"/>
                      <w:u w:val="single"/>
                    </w:rPr>
                    <w:t>XIV-1189</w:t>
                  </w:r>
                </w:hyperlink>
                <w:r>
                  <w:rPr>
                    <w:i/>
                    <w:iCs/>
                    <w:sz w:val="20"/>
                  </w:rPr>
                  <w:t>, 2022-06-28, paskelbta TAR 2022-07-11, i. k. 2022-15178</w:t>
                </w:r>
              </w:p>
              <w:p w14:paraId="0E95FCB9" w14:textId="0D300139">
                <w:pPr>
                  <w:jc w:val="both"/>
                  <w:rPr>
                    <w:b/>
                    <w:bCs/>
                    <w:color w:val="000000"/>
                    <w:sz w:val="20"/>
                  </w:rPr>
                </w:pPr>
                <w:r>
                  <w:rPr>
                    <w:b/>
                    <w:bCs/>
                    <w:color w:val="000000"/>
                    <w:sz w:val="20"/>
                  </w:rPr>
                  <w:t>DK projektas</w:t>
                </w:r>
              </w:p>
              <w:p w14:paraId="2B2E88F1" w14:textId="77777777">
                <w:pPr>
                  <w:jc w:val="both"/>
                  <w:rPr>
                    <w:b/>
                    <w:bCs/>
                    <w:sz w:val="20"/>
                    <w:lang w:eastAsia="lt-LT"/>
                  </w:rPr>
                </w:pPr>
                <w:r>
                  <w:rPr>
                    <w:b/>
                    <w:bCs/>
                    <w:sz w:val="20"/>
                    <w:lang w:eastAsia="lt-LT"/>
                  </w:rPr>
                  <w:t>5 straipsnis. 41 straipsnio pakeitimas</w:t>
                </w:r>
              </w:p>
              <w:p w14:paraId="2644072D" w14:textId="77777777">
                <w:pPr>
                  <w:jc w:val="both"/>
                  <w:rPr>
                    <w:b/>
                    <w:bCs/>
                    <w:sz w:val="20"/>
                  </w:rPr>
                </w:pPr>
                <w:r>
                  <w:rPr>
                    <w:b/>
                    <w:bCs/>
                    <w:sz w:val="20"/>
                  </w:rPr>
                  <w:t>Pakeisti 41 straipsnio 1 dalį ir ją išdėstyti taip:</w:t>
                </w:r>
              </w:p>
              <w:p w14:paraId="40E52D01" w14:textId="193C0AD9">
                <w:pPr>
                  <w:jc w:val="both"/>
                  <w:rPr>
                    <w:b/>
                    <w:bCs/>
                    <w:sz w:val="20"/>
                  </w:rPr>
                </w:pPr>
                <w:r>
                  <w:rPr>
                    <w:b/>
                    <w:bCs/>
                    <w:sz w:val="20"/>
                  </w:rPr>
                  <w:t>„1. Darbo sutarties šalys, iki sudarydamos darbo sutartį, taip pat ir tada, kai darbo sutartis nesudaryta, turi laikytis lyčių lygybės, nediskriminavimo kitais pagrindais, sąžiningumo principų, vykdyti sutarčiai sudaryti ir vykdyti reikalingos informacijos suteikimo ir konfidencialios informacijos išsaugojimo pareigas. Draudžiama iš darbuotojo reikalauti informacijos, nesusijusios su jo sveikatos būkle, kvalifikacija ar aplinkybėmis, nesusijusiomis su tiesioginio darbo atlikimu, taip pat informacijos apie dabartiniuose ar ankstesniuose darbo santykiuose jo gautą darbo užmokestį. Jei įmonėje, įstaigoje ar organizacijoje yra galiojanti kolektyvinė sutartis, būsimas darbdavys įsidarbinti norinčiam asmeniui iki darbo sutarties sudarymo turi pateikti ne tik šio kodekso 25 straipsnio 6 dalyje nurodytą informaciją, bet ir kolektyvinės sutarties nuostatas, kurios būtų taikomos sudarius darbo sutartį. Tokia informacija įsidarbinti norinčiam asmeniui pateikiama taip, kad būtų užtikrintos pagrįstos ir skaidrios derybos dėl darbo užmokesčio.“</w:t>
                </w:r>
              </w:p>
            </w:tc>
            <w:tc>
              <w:tcPr>
                <w:tcW w:w="1572" w:type="dxa"/>
                <w:tcBorders>
                  <w:top w:val="single" w:sz="4" w:space="0" w:color="auto"/>
                  <w:bottom w:val="single" w:sz="4" w:space="0" w:color="auto"/>
                </w:tcBorders>
              </w:tcPr>
              <w:p w14:paraId="54D1C3CB" w14:textId="77777777">
                <w:pPr>
                  <w:jc w:val="both"/>
                  <w:rPr>
                    <w:color w:val="000000"/>
                    <w:sz w:val="20"/>
                  </w:rPr>
                </w:pPr>
                <w:r>
                  <w:rPr>
                    <w:color w:val="000000"/>
                    <w:sz w:val="20"/>
                  </w:rPr>
                  <w:t>Visiškas</w:t>
                </w:r>
              </w:p>
              <w:p w14:paraId="5AA8424F" w14:textId="77777777">
                <w:pPr>
                  <w:jc w:val="both"/>
                  <w:rPr>
                    <w:color w:val="000000"/>
                    <w:sz w:val="20"/>
                  </w:rPr>
                </w:pPr>
              </w:p>
              <w:p w14:paraId="53BDBC5A" w14:textId="77777777">
                <w:pPr>
                  <w:jc w:val="both"/>
                  <w:rPr>
                    <w:color w:val="000000"/>
                    <w:sz w:val="20"/>
                  </w:rPr>
                </w:pPr>
              </w:p>
              <w:p w14:paraId="32FC4FEA" w14:textId="29CBD493">
                <w:pPr>
                  <w:jc w:val="both"/>
                  <w:rPr>
                    <w:color w:val="000000"/>
                    <w:sz w:val="20"/>
                  </w:rPr>
                </w:pPr>
              </w:p>
            </w:tc>
          </w:tr>
          <w:tr w14:paraId="60DB1EAE" w14:textId="77777777">
            <w:tc>
              <w:tcPr>
                <w:tcW w:w="8391" w:type="dxa"/>
                <w:tcBorders>
                  <w:top w:val="single" w:sz="4" w:space="0" w:color="auto"/>
                  <w:bottom w:val="single" w:sz="4" w:space="0" w:color="auto"/>
                </w:tcBorders>
              </w:tcPr>
              <w:p w14:paraId="7A3F98C5" w14:textId="099AD420">
                <w:pPr>
                  <w:jc w:val="both"/>
                  <w:rPr>
                    <w:bCs/>
                    <w:sz w:val="20"/>
                  </w:rPr>
                </w:pPr>
                <w:r>
                  <w:rPr>
                    <w:bCs/>
                    <w:sz w:val="20"/>
                  </w:rPr>
                  <w:t>2. Darbdavys neklausia įsidarbinti norinčių asmenų apie dabartiniuose ar ankstesniuose darbo santykiuose jų gautą darbo užmokestį.</w:t>
                </w:r>
              </w:p>
            </w:tc>
            <w:tc>
              <w:tcPr>
                <w:tcW w:w="5347" w:type="dxa"/>
                <w:tcBorders>
                  <w:top w:val="single" w:sz="4" w:space="0" w:color="auto"/>
                  <w:bottom w:val="single" w:sz="4" w:space="0" w:color="auto"/>
                </w:tcBorders>
              </w:tcPr>
              <w:p w14:paraId="0F162F66" w14:textId="77777777">
                <w:pPr>
                  <w:jc w:val="both"/>
                  <w:rPr>
                    <w:b/>
                    <w:bCs/>
                    <w:color w:val="000000"/>
                    <w:sz w:val="20"/>
                  </w:rPr>
                </w:pPr>
                <w:r>
                  <w:rPr>
                    <w:b/>
                    <w:bCs/>
                    <w:color w:val="000000"/>
                    <w:sz w:val="20"/>
                  </w:rPr>
                  <w:t>DK projektas</w:t>
                </w:r>
              </w:p>
              <w:p w14:paraId="7B2C8027" w14:textId="705B3A48">
                <w:pPr>
                  <w:jc w:val="both"/>
                  <w:rPr>
                    <w:b/>
                    <w:bCs/>
                    <w:sz w:val="20"/>
                    <w:lang w:eastAsia="lt-LT"/>
                  </w:rPr>
                </w:pPr>
                <w:r>
                  <w:rPr>
                    <w:b/>
                    <w:bCs/>
                    <w:sz w:val="20"/>
                    <w:lang w:eastAsia="lt-LT"/>
                  </w:rPr>
                  <w:t>5 straipsnis. Pakeisti 41 straipsnio 1 dalį ir ją išdėstyti taip:</w:t>
                </w:r>
              </w:p>
              <w:p w14:paraId="74D4B779" w14:textId="346F8986">
                <w:pPr>
                  <w:jc w:val="both"/>
                  <w:rPr>
                    <w:b/>
                    <w:bCs/>
                    <w:sz w:val="20"/>
                  </w:rPr>
                </w:pPr>
                <w:r>
                  <w:rPr>
                    <w:b/>
                    <w:bCs/>
                    <w:sz w:val="20"/>
                    <w:lang w:eastAsia="lt-LT"/>
                  </w:rPr>
                  <w:t>„1. Darbo sutarties šalys, iki sudarydamos darbo sutartį, taip pat ir tada, kai darbo sutartis nesudaryta, turi laikytis lyčių lygybės, nediskriminavimo kitais pagrindais, sąžiningumo principų, vykdyti sutarčiai sudaryti ir vykdyti reikalingos informacijos suteikimo ir konfidencialios informacijos išsaugojimo pareigas. Draudžiama iš darbuotojo reikalauti informacijos, nesusijusios su jo sveikatos būkle, kvalifikacija ar aplinkybėmis, nesusijusiomis su tiesioginio darbo atlikimu, taip pat informacijos apie dabartiniuose ar ankstesniuose darbo santykiuose jo gautą darbo užmokestį. Jei įmonėje, įstaigoje ar organizacijoje yra galiojanti kolektyvinė sutartis, būsimas darbdavys įsidarbinti norinčiam asmeniui iki darbo sutarties sudarymo turi pateikti ne tik šio kodekso 25 straipsnio 6 dalyje nurodytą informaciją, bet ir kolektyvinės sutarties nuostatas, kurios būtų taikomos sudarius darbo sutartį. Tokia informacija įsidarbinti norinčiam asmeniui pateikiama taip, kad būtų užtikrintos pagrįstos ir skaidrios derybos dėl darbo užmokesčio.“</w:t>
                </w:r>
              </w:p>
            </w:tc>
            <w:tc>
              <w:tcPr>
                <w:tcW w:w="1572" w:type="dxa"/>
                <w:tcBorders>
                  <w:top w:val="single" w:sz="4" w:space="0" w:color="auto"/>
                  <w:bottom w:val="single" w:sz="4" w:space="0" w:color="auto"/>
                </w:tcBorders>
              </w:tcPr>
              <w:p w14:paraId="0755576F" w14:textId="77777777">
                <w:pPr>
                  <w:jc w:val="both"/>
                  <w:rPr>
                    <w:color w:val="000000"/>
                    <w:sz w:val="20"/>
                  </w:rPr>
                </w:pPr>
                <w:r>
                  <w:rPr>
                    <w:color w:val="000000"/>
                    <w:sz w:val="20"/>
                  </w:rPr>
                  <w:t>Visiškas</w:t>
                </w:r>
              </w:p>
              <w:p w14:paraId="7007E4F5" w14:textId="77777777">
                <w:pPr>
                  <w:jc w:val="both"/>
                  <w:rPr>
                    <w:color w:val="000000"/>
                    <w:sz w:val="20"/>
                  </w:rPr>
                </w:pPr>
              </w:p>
              <w:p w14:paraId="1F8F8B2E" w14:textId="6A629548">
                <w:pPr>
                  <w:jc w:val="both"/>
                  <w:rPr>
                    <w:color w:val="000000"/>
                    <w:sz w:val="20"/>
                  </w:rPr>
                </w:pPr>
              </w:p>
            </w:tc>
          </w:tr>
          <w:tr w14:paraId="3DC0CB7F" w14:textId="77777777">
            <w:tc>
              <w:tcPr>
                <w:tcW w:w="8391" w:type="dxa"/>
                <w:tcBorders>
                  <w:top w:val="single" w:sz="4" w:space="0" w:color="auto"/>
                  <w:bottom w:val="single" w:sz="4" w:space="0" w:color="auto"/>
                </w:tcBorders>
              </w:tcPr>
              <w:p w14:paraId="3F2A69B4" w14:textId="3B1350D7">
                <w:pPr>
                  <w:jc w:val="both"/>
                  <w:rPr>
                    <w:bCs/>
                    <w:sz w:val="20"/>
                  </w:rPr>
                </w:pPr>
                <w:r>
                  <w:rPr>
                    <w:bCs/>
                    <w:sz w:val="20"/>
                  </w:rPr>
                  <w:t>3. Darbdaviai užtikrina, kad pranešimai apie laisvas darbo vietas ir pareigybių pavadinimai būtų lyties požiūriu neutralūs, o įdarbinimo procesai būtų vykdomi nediskriminuojant, kad nebūtų pažeista teisė į vienodą darbo užmokestį už vienodą arba vienodos vertės darbą (toliau – teisė į vienodą darbo užmokestį).</w:t>
                </w:r>
              </w:p>
            </w:tc>
            <w:tc>
              <w:tcPr>
                <w:tcW w:w="5347" w:type="dxa"/>
                <w:tcBorders>
                  <w:top w:val="single" w:sz="4" w:space="0" w:color="auto"/>
                  <w:bottom w:val="single" w:sz="4" w:space="0" w:color="auto"/>
                </w:tcBorders>
              </w:tcPr>
              <w:p w14:paraId="08288C94" w14:textId="3CD493F8">
                <w:pPr>
                  <w:jc w:val="both"/>
                  <w:rPr>
                    <w:b/>
                    <w:bCs/>
                    <w:color w:val="000000"/>
                    <w:sz w:val="20"/>
                  </w:rPr>
                </w:pPr>
                <w:r>
                  <w:rPr>
                    <w:b/>
                    <w:bCs/>
                    <w:color w:val="000000"/>
                    <w:sz w:val="20"/>
                  </w:rPr>
                  <w:t>MVLGĮ</w:t>
                </w:r>
              </w:p>
              <w:p w14:paraId="1FDF4963" w14:textId="0B95F47D">
                <w:pPr>
                  <w:jc w:val="both"/>
                  <w:rPr>
                    <w:b/>
                    <w:bCs/>
                    <w:color w:val="000000"/>
                    <w:sz w:val="20"/>
                  </w:rPr>
                </w:pPr>
                <w:r>
                  <w:rPr>
                    <w:b/>
                    <w:bCs/>
                    <w:color w:val="000000"/>
                    <w:sz w:val="20"/>
                  </w:rPr>
                  <w:t>16 straipsnis. Diskriminaciniai skelbimai</w:t>
                </w:r>
              </w:p>
              <w:p w14:paraId="5925FB73" w14:textId="575EE531">
                <w:pPr>
                  <w:jc w:val="both"/>
                  <w:rPr>
                    <w:color w:val="000000"/>
                    <w:sz w:val="20"/>
                  </w:rPr>
                </w:pPr>
                <w:r>
                  <w:rPr>
                    <w:color w:val="000000"/>
                    <w:sz w:val="20"/>
                  </w:rPr>
                  <w:t>Skelbimuose priimti į darbą, valstybės tarnybą arba mokytis draudžiama nurodyti reikalavimus, suteikiančius pirmenybę vienai iš lyčių, išskyrus šio įstatymo 10 straipsnio 5 punkte nurodytą atvejį, reikalauti iš darbo ieškančių asmenų informacijos apie jų šeiminę padėtį, amžių (išskyrus šiame įstatyme numatytus atvejus), privatų gyvenimą ar šeimos planus.</w:t>
                </w:r>
              </w:p>
            </w:tc>
            <w:tc>
              <w:tcPr>
                <w:tcW w:w="1572" w:type="dxa"/>
                <w:tcBorders>
                  <w:top w:val="single" w:sz="4" w:space="0" w:color="auto"/>
                  <w:bottom w:val="single" w:sz="4" w:space="0" w:color="auto"/>
                </w:tcBorders>
              </w:tcPr>
              <w:p w14:paraId="212C5B8C" w14:textId="22326B19">
                <w:pPr>
                  <w:jc w:val="both"/>
                  <w:rPr>
                    <w:color w:val="000000"/>
                    <w:sz w:val="20"/>
                  </w:rPr>
                </w:pPr>
                <w:r>
                  <w:rPr>
                    <w:color w:val="000000"/>
                    <w:sz w:val="20"/>
                  </w:rPr>
                  <w:t>Visiškas</w:t>
                </w:r>
              </w:p>
            </w:tc>
          </w:tr>
          <w:tr w14:paraId="32681F1A" w14:textId="77777777">
            <w:tc>
              <w:tcPr>
                <w:tcW w:w="15310" w:type="dxa"/>
                <w:gridSpan w:val="3"/>
                <w:tcBorders>
                  <w:top w:val="single" w:sz="4" w:space="0" w:color="auto"/>
                  <w:bottom w:val="single" w:sz="4" w:space="0" w:color="auto"/>
                </w:tcBorders>
                <w:shd w:val="clear" w:color="auto" w:fill="D6E3BC" w:themeFill="accent3" w:themeFillTint="66"/>
              </w:tcPr>
              <w:p w14:paraId="7D7CA8E4" w14:textId="2EA116EE">
                <w:pPr>
                  <w:jc w:val="both"/>
                  <w:rPr>
                    <w:b/>
                    <w:bCs/>
                    <w:color w:val="000000"/>
                    <w:sz w:val="20"/>
                  </w:rPr>
                </w:pPr>
                <w:r>
                  <w:rPr>
                    <w:b/>
                    <w:bCs/>
                    <w:color w:val="000000"/>
                    <w:sz w:val="20"/>
                  </w:rPr>
                  <w:t>6 straipsnis. Darbo užmokesčio nustatymo ir darbo užmokesčio didinimo politikos skaidrumas</w:t>
                </w:r>
              </w:p>
            </w:tc>
          </w:tr>
          <w:tr w14:paraId="14A8D207" w14:textId="77777777">
            <w:tc>
              <w:tcPr>
                <w:tcW w:w="8391" w:type="dxa"/>
                <w:tcBorders>
                  <w:top w:val="single" w:sz="4" w:space="0" w:color="auto"/>
                  <w:bottom w:val="single" w:sz="4" w:space="0" w:color="auto"/>
                </w:tcBorders>
                <w:shd w:val="clear" w:color="auto" w:fill="FFFFFF" w:themeFill="background1"/>
              </w:tcPr>
              <w:p w14:paraId="3E5A83BE" w14:textId="1CC597F0">
                <w:pPr>
                  <w:jc w:val="both"/>
                  <w:rPr>
                    <w:bCs/>
                    <w:sz w:val="20"/>
                  </w:rPr>
                </w:pPr>
                <w:r>
                  <w:rPr>
                    <w:bCs/>
                    <w:sz w:val="20"/>
                  </w:rPr>
                  <w:t>1. Darbdaviai savo darbuotojams pateikia lengvai prieinamus kriterijus, kurie taikomi nustatant darbuotojų darbo užmokestį, darbo užmokesčio dydžius ir darbo užmokesčio didinimą. Tie kriterijai turi būti objektyvūs ir lyties požiūriu neutralūs.</w:t>
                </w:r>
              </w:p>
            </w:tc>
            <w:tc>
              <w:tcPr>
                <w:tcW w:w="5347" w:type="dxa"/>
                <w:tcBorders>
                  <w:top w:val="single" w:sz="4" w:space="0" w:color="auto"/>
                  <w:bottom w:val="single" w:sz="4" w:space="0" w:color="auto"/>
                </w:tcBorders>
                <w:shd w:val="clear" w:color="auto" w:fill="FFFFFF" w:themeFill="background1"/>
              </w:tcPr>
              <w:p w14:paraId="2D0DDC20" w14:textId="77777777">
                <w:pPr>
                  <w:jc w:val="both"/>
                  <w:rPr>
                    <w:b/>
                    <w:bCs/>
                    <w:sz w:val="20"/>
                  </w:rPr>
                </w:pPr>
                <w:r>
                  <w:rPr>
                    <w:b/>
                    <w:bCs/>
                    <w:sz w:val="20"/>
                  </w:rPr>
                  <w:t>Darbų ir pareigybių vertinimo metodika</w:t>
                </w:r>
              </w:p>
              <w:p w14:paraId="74B4359C" w14:textId="77777777">
                <w:pPr>
                  <w:jc w:val="both"/>
                  <w:rPr>
                    <w:sz w:val="20"/>
                  </w:rPr>
                </w:pPr>
                <w:r>
                  <w:rPr>
                    <w:sz w:val="20"/>
                  </w:rPr>
                  <w:t xml:space="preserve">I. Bendros nuostatos </w:t>
                </w:r>
              </w:p>
              <w:p w14:paraId="7C5C1C3C" w14:textId="220927CF">
                <w:pPr>
                  <w:jc w:val="both"/>
                  <w:rPr>
                    <w:sz w:val="20"/>
                  </w:rPr>
                </w:pPr>
                <w:r>
                  <w:rPr>
                    <w:sz w:val="20"/>
                  </w:rPr>
                  <w:t>Ši Metodika galėtų būti naudojama įmonėse ir organizacijose tiek diegiant naujas, tiek tobulinant senas darbų (pareigybių) vertinimo bei apmokėjimo sistemas. Pagrindiniais darbų (pareigybių) vertinimo kriterijais ir principais galėtų būti vadovaujamasi ir rengiant šalyje vieningus šakinius susitarimus dėl tarifų.</w:t>
                </w:r>
              </w:p>
              <w:p w14:paraId="07C27778" w14:textId="77777777">
                <w:pPr>
                  <w:jc w:val="both"/>
                  <w:rPr>
                    <w:b/>
                    <w:bCs/>
                    <w:sz w:val="20"/>
                  </w:rPr>
                </w:pPr>
                <w:r>
                  <w:rPr>
                    <w:b/>
                    <w:bCs/>
                    <w:sz w:val="20"/>
                  </w:rPr>
                  <w:t>Darbo apmokėjimo sistemos kūrimo rekomendacijos</w:t>
                </w:r>
              </w:p>
              <w:p w14:paraId="6E0E8670" w14:textId="77777777">
                <w:pPr>
                  <w:jc w:val="both"/>
                  <w:rPr>
                    <w:sz w:val="20"/>
                  </w:rPr>
                </w:pPr>
                <w:r>
                  <w:rPr>
                    <w:sz w:val="20"/>
                  </w:rPr>
                  <w:t>Įžanga</w:t>
                </w:r>
              </w:p>
              <w:p w14:paraId="4A77B95A" w14:textId="29D659D9">
                <w:pPr>
                  <w:jc w:val="both"/>
                  <w:rPr>
                    <w:sz w:val="20"/>
                  </w:rPr>
                </w:pPr>
                <w:r>
                  <w:rPr>
                    <w:sz w:val="20"/>
                  </w:rPr>
                  <w:t>Šiomis metodinėmis rekomendacijomis siekiama suteikti darbdaviams reikiamų kompetencijų rengiant darbo apmokėjimo sistemas ir padėti užtikrinti teisingo apmokėjimo už darbą principo įgyvendinimą</w:t>
                </w:r>
              </w:p>
              <w:p w14:paraId="4A6DE0C7" w14:textId="77777777">
                <w:pPr>
                  <w:jc w:val="both"/>
                  <w:rPr>
                    <w:b/>
                    <w:bCs/>
                    <w:sz w:val="20"/>
                  </w:rPr>
                </w:pPr>
                <w:r>
                  <w:rPr>
                    <w:b/>
                    <w:bCs/>
                    <w:sz w:val="20"/>
                  </w:rPr>
                  <w:t>Nutarimas Nr. 857</w:t>
                </w:r>
              </w:p>
              <w:p w14:paraId="39AA4116" w14:textId="77777777">
                <w:pPr>
                  <w:jc w:val="both"/>
                  <w:rPr>
                    <w:b/>
                    <w:bCs/>
                    <w:sz w:val="20"/>
                  </w:rPr>
                </w:pPr>
                <w:r>
                  <w:rPr>
                    <w:b/>
                    <w:bCs/>
                    <w:sz w:val="20"/>
                  </w:rPr>
                  <w:t xml:space="preserve">Darbo apmokėjimo sistemos nustatymo rekomendacijos </w:t>
                </w:r>
              </w:p>
              <w:p w14:paraId="538FB186" w14:textId="77777777">
                <w:pPr>
                  <w:jc w:val="both"/>
                  <w:rPr>
                    <w:b/>
                    <w:bCs/>
                    <w:sz w:val="20"/>
                  </w:rPr>
                </w:pPr>
                <w:r>
                  <w:rPr>
                    <w:b/>
                    <w:bCs/>
                    <w:sz w:val="20"/>
                  </w:rPr>
                  <w:t>I skyrius</w:t>
                </w:r>
              </w:p>
              <w:p w14:paraId="4A9A34ED" w14:textId="77777777">
                <w:pPr>
                  <w:jc w:val="both"/>
                  <w:rPr>
                    <w:b/>
                    <w:bCs/>
                    <w:sz w:val="20"/>
                  </w:rPr>
                </w:pPr>
                <w:r>
                  <w:rPr>
                    <w:b/>
                    <w:bCs/>
                    <w:sz w:val="20"/>
                  </w:rPr>
                  <w:t>Bendrosios nuostatos</w:t>
                </w:r>
              </w:p>
              <w:p w14:paraId="67246F3A" w14:textId="5692C010">
                <w:pPr>
                  <w:jc w:val="both"/>
                  <w:rPr>
                    <w:sz w:val="20"/>
                  </w:rPr>
                </w:pPr>
                <w:r>
                  <w:rPr>
                    <w:sz w:val="20"/>
                  </w:rPr>
                  <w:t>1. Darbo apmokėjimo sistemos nustatymo rekomendacijos (toliau – Rekomendacijos) nustato gaires bei kriterijus, pagal kuriuos formuojami biudžetinės įstaigos (toliau – įstaiga) valstybės tarnautojų ir darbuotojų, dirbančių pagal darbo sutartis, (toliau – darbuotojai) pareigybių struktūra, pareiginės algos koeficientų intervalai, mokamos priemokos, darbuotojams mokama kintamoji dalis, jie skatinami, valstybės tarnautojai apdovanojami, nustatoma pareiginė alga atlikus valstybės tarnautojo tarnybinės veiklos ar darbuotojo veiklos vertinimą</w:t>
                </w:r>
              </w:p>
              <w:p w14:paraId="7455163F" w14:textId="77777777">
                <w:pPr>
                  <w:jc w:val="both"/>
                  <w:rPr>
                    <w:b/>
                    <w:color w:val="000000"/>
                    <w:sz w:val="20"/>
                  </w:rPr>
                </w:pPr>
                <w:r>
                  <w:rPr>
                    <w:b/>
                    <w:color w:val="000000"/>
                    <w:sz w:val="20"/>
                  </w:rPr>
                  <w:t>DK projektas</w:t>
                </w:r>
              </w:p>
              <w:p w14:paraId="7F435490" w14:textId="6FBF466A">
                <w:pPr>
                  <w:jc w:val="both"/>
                  <w:rPr>
                    <w:b/>
                    <w:bCs/>
                    <w:sz w:val="20"/>
                    <w:lang w:eastAsia="lt-LT"/>
                  </w:rPr>
                </w:pPr>
                <w:r>
                  <w:rPr>
                    <w:b/>
                    <w:bCs/>
                    <w:sz w:val="20"/>
                    <w:lang w:eastAsia="lt-LT"/>
                  </w:rPr>
                  <w:t>14 straipsnis. 140 straipsnio pakeitimas</w:t>
                </w:r>
              </w:p>
              <w:p w14:paraId="551004E2" w14:textId="77777777">
                <w:pPr>
                  <w:jc w:val="both"/>
                  <w:rPr>
                    <w:b/>
                    <w:bCs/>
                    <w:sz w:val="20"/>
                    <w:lang w:eastAsia="lt-LT"/>
                  </w:rPr>
                </w:pPr>
                <w:r>
                  <w:rPr>
                    <w:b/>
                    <w:bCs/>
                    <w:sz w:val="20"/>
                    <w:lang w:eastAsia="lt-LT"/>
                  </w:rPr>
                  <w:t>1. Pakeisti 140 straipsnio 3 dalį ir ją išdėstyti taip:</w:t>
                </w:r>
              </w:p>
              <w:p w14:paraId="7E80642F" w14:textId="08BAA85F">
                <w:pPr>
                  <w:jc w:val="both"/>
                  <w:rPr>
                    <w:b/>
                    <w:bCs/>
                    <w:sz w:val="20"/>
                    <w:lang w:eastAsia="lt-LT"/>
                  </w:rPr>
                </w:pPr>
                <w:r>
                  <w:rPr>
                    <w:b/>
                    <w:bCs/>
                    <w:sz w:val="20"/>
                    <w:lang w:eastAsia="lt-LT"/>
                  </w:rPr>
                  <w:t>„3. Darbo apmokėjimo sistema darbovietėje ar darbdavio įmonėje, įstaigoje, organizacijoje nustatoma kolektyvine sutartimi ir taikoma visiems tos darbovietės ar darbdavio įmonės, įstaigos, organizacijos darbuotojams. Jei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p>
              <w:p w14:paraId="74ED5296" w14:textId="77777777">
                <w:pPr>
                  <w:jc w:val="both"/>
                  <w:rPr>
                    <w:b/>
                    <w:bCs/>
                    <w:sz w:val="20"/>
                    <w:lang w:eastAsia="lt-LT"/>
                  </w:rPr>
                </w:pPr>
                <w:r>
                  <w:rPr>
                    <w:b/>
                    <w:bCs/>
                    <w:sz w:val="20"/>
                    <w:lang w:eastAsia="lt-LT"/>
                  </w:rPr>
                  <w:t>2. Pakeisti 140 straipsnio 5 dalį ir ją išdėstyti taip:</w:t>
                </w:r>
              </w:p>
              <w:p w14:paraId="2472EF3B" w14:textId="10675A86">
                <w:pPr>
                  <w:jc w:val="both"/>
                  <w:rPr>
                    <w:b/>
                    <w:bCs/>
                    <w:sz w:val="20"/>
                    <w:lang w:eastAsia="lt-LT"/>
                  </w:rPr>
                </w:pPr>
                <w:r>
                  <w:rPr>
                    <w:b/>
                    <w:bCs/>
                    <w:sz w:val="20"/>
                    <w:lang w:eastAsia="lt-LT"/>
                  </w:rPr>
                  <w:t>„5.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 pagal objektyvius kriterijus ne mažesnės kvalifikacijos reikalaujantis ir ne mažiau reikšmingas darbdaviui, siekiant savo veiklos tikslų, darbas negu kitas palyginamasis darbas.“</w:t>
                </w:r>
              </w:p>
              <w:p w14:paraId="798553FC" w14:textId="77777777">
                <w:pPr>
                  <w:jc w:val="both"/>
                  <w:rPr>
                    <w:b/>
                    <w:bCs/>
                    <w:color w:val="000000"/>
                    <w:sz w:val="20"/>
                  </w:rPr>
                </w:pPr>
                <w:r>
                  <w:rPr>
                    <w:b/>
                    <w:bCs/>
                    <w:color w:val="000000"/>
                    <w:sz w:val="20"/>
                  </w:rPr>
                  <w:t>BIDU projektas</w:t>
                </w:r>
              </w:p>
              <w:p w14:paraId="0AF3F518" w14:textId="7EB24F77">
                <w:pPr>
                  <w:jc w:val="both"/>
                  <w:rPr>
                    <w:b/>
                    <w:bCs/>
                    <w:sz w:val="20"/>
                  </w:rPr>
                </w:pPr>
                <w:r>
                  <w:rPr>
                    <w:b/>
                    <w:bCs/>
                    <w:sz w:val="20"/>
                  </w:rPr>
                  <w:t>2 straipsnis. 5 straipsnio pakeitimas</w:t>
                </w:r>
              </w:p>
              <w:p w14:paraId="4C0E47A6" w14:textId="77777777">
                <w:pPr>
                  <w:jc w:val="both"/>
                  <w:rPr>
                    <w:b/>
                    <w:bCs/>
                    <w:sz w:val="20"/>
                  </w:rPr>
                </w:pPr>
                <w:r>
                  <w:rPr>
                    <w:b/>
                    <w:bCs/>
                    <w:sz w:val="20"/>
                  </w:rPr>
                  <w:t>Pakeisti 5 straipsnio 5 dalį ir ją išdėstyti taip:</w:t>
                </w:r>
              </w:p>
              <w:p w14:paraId="243D2672" w14:textId="77777777">
                <w:pPr>
                  <w:jc w:val="both"/>
                  <w:rPr>
                    <w:b/>
                    <w:bCs/>
                    <w:sz w:val="20"/>
                    <w:lang w:eastAsia="lt-LT"/>
                  </w:rPr>
                </w:pPr>
                <w:r>
                  <w:rPr>
                    <w:b/>
                    <w:bCs/>
                    <w:sz w:val="20"/>
                    <w:lang w:eastAsia="lt-LT"/>
                  </w:rPr>
                  <w:t>„5. Darbo apmokėjimo sistema nustatoma kolektyvinėje sutartyje ir ji taikoma visiems biudžetinės įstaigos darbuotojams. Jeigu nėra darbo apmokėjimo sistemą nustatančios kolektyvinės sutarties, darbo apmokėjimo sistemą privalo nustatyti biudžetinės įstaigos vadovas. Prieš darbo apmokėjimo sistemos nustatymą ar keitimą biudžetinės įstaigos vadovas Darbo kodekso nustatyta tvarka turi atlikti informavimo ir konsultavimo procedūras. Darbo apmokėjimo sistema viešai skelbiama biudžetinės įstaigos interneto svetainėje. Darbo apmokėjimo sistema nustatoma atsižvelgiant į Vyriausybės patvirtintas darbo apmokėjimo sistemos nustatymo rekomendacijas. Darbo apmokėjimo sistemoje pareigybės, esančios biudžetinės įstaigos pareigybių sąraše, turi būti suskirstytos į pareigybių lygmenis (pakopas)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psichologiniai veiksniai), ir, jei tikslinga, kitus svarbius kriterijus. Pareigybės, kurioms priskirtas toks pats ar vienodos vertės darbas, kaip jis apibrėžtas Darbo kodekso 140 straipsnyje, priskiriamos tam pačiam pareigybių lygmeniui (pakopai). Darbo apmokėjimo sistemoje, atsižvelgiant į šio įstatymo nuostatas, pagal objektyvius ir lyties požiūriu neutralius kriterijus (darbo patirtį, išsilavinimą, veiklos sudėtingumą, atsakomybės ir savarankiškumo lygį, papildomų įgūdžių ar žinių, svarbių einant pareigas, turėjimą, darbo sąlygas ar kitus kriterijus) turi būti nustatyti kiekvieno pareigybių lygmens (pakopos) arba kiekvienos pareigybės pareiginės algos koeficientų, viršijančių šio įstatymo 1 priede nustatytą minimalų pareiginės algos koeficientą,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darbuotojo veiklos rezultatais, aukštesnėmis kompetencijomis, didesne patirtimi ir kt.) kriterijai ir tvarka. Savininko teises ir pareigas įgyvendinanti institucija nustato jos valdymo sričiai priskirtų biudžetinių įstaigų vadovų darbo apmokėjimo sistemą, kurioje biudžetinių įstaigų vadovų pareigybės turi būti suskirstytos į pareigybių lygmenis (pakopas)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biudžetinės įstaigos veiklos pobūdį, jos dydį, veiklos ir sprendimų galiojimo ribas, ir, jei tikslinga, kitus svarbius kriterijus. Šioje darbo apmokėjimo sistemoje taip pat turi būti nurodyti objektyvūs, lyties požiūriu neutralūs biudžetinės įstaigos vadovo pareigybės pareiginės algos koeficiento nustatymo kriterijai (darbo patirtis, išsilavinimas, veiklos sudėtingumas, atsakomybės ir savarankiškumo lygis, papildomų įgūdžių ir žinių, svarbių einant pareigas, turėjimas, darbo sąlygos ir kt.) ir, atsižvelgiant į juos, nustatyti pareiginės algos koeficientų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biudžetinės įstaigos vadovo veiklos rezultatais, aukštesnėmis kompetencijomis, didesne patirtimi ir kt.) kriterijai ir tvarka.“</w:t>
                </w:r>
              </w:p>
              <w:p w14:paraId="4E007739" w14:textId="484899B2">
                <w:pPr>
                  <w:jc w:val="both"/>
                  <w:rPr>
                    <w:b/>
                    <w:bCs/>
                    <w:color w:val="000000"/>
                    <w:sz w:val="20"/>
                  </w:rPr>
                </w:pPr>
                <w:r>
                  <w:rPr>
                    <w:b/>
                    <w:bCs/>
                    <w:color w:val="000000"/>
                    <w:sz w:val="20"/>
                  </w:rPr>
                  <w:t>VTĮ projektas</w:t>
                </w:r>
              </w:p>
              <w:p w14:paraId="02EA9E93" w14:textId="155C0C15">
                <w:pPr>
                  <w:jc w:val="both"/>
                  <w:rPr>
                    <w:b/>
                    <w:bCs/>
                    <w:sz w:val="20"/>
                  </w:rPr>
                </w:pPr>
                <w:r>
                  <w:rPr>
                    <w:b/>
                    <w:bCs/>
                    <w:sz w:val="20"/>
                  </w:rPr>
                  <w:t>2 straipsnis. 19 straipsnio pakeitimas</w:t>
                </w:r>
              </w:p>
              <w:p w14:paraId="63DDEF1A" w14:textId="77777777">
                <w:pPr>
                  <w:jc w:val="both"/>
                  <w:rPr>
                    <w:sz w:val="22"/>
                    <w:szCs w:val="22"/>
                  </w:rPr>
                </w:pPr>
                <w:r>
                  <w:rPr>
                    <w:b/>
                    <w:bCs/>
                    <w:sz w:val="20"/>
                  </w:rPr>
                  <w:t>Pakeisti 19 straipsnio 3 dalį ir ją išdėstyti taip:</w:t>
                </w:r>
                <w:r>
                  <w:rPr>
                    <w:sz w:val="22"/>
                    <w:szCs w:val="22"/>
                  </w:rPr>
                  <w:t xml:space="preserve"> </w:t>
                </w:r>
              </w:p>
              <w:p w14:paraId="4BF1639E" w14:textId="77777777">
                <w:pPr>
                  <w:jc w:val="both"/>
                  <w:rPr>
                    <w:b/>
                    <w:bCs/>
                    <w:sz w:val="20"/>
                  </w:rPr>
                </w:pPr>
                <w:r>
                  <w:rPr>
                    <w:b/>
                    <w:bCs/>
                    <w:sz w:val="20"/>
                  </w:rPr>
                  <w:t xml:space="preserve">„3. Darbo apmokėjimo sistema nustatoma kolektyvinėje sutartyje ir ji taikoma visiems valstybės ar savivaldybės institucijos ar įstaigos valstybės tarnautojams. Jeigu nėra darbo apmokėjimo sistemą nustatančios kolektyvinės sutarties, darbo apmokėjimo sistemą nustato valstybės ar savivaldybės institucijos ar įstaigos vadovas. Prieš darbo apmokėjimo sistemos nustatymą ar keitimą valstybės ar savivaldybės institucijos ar įstaigos vadovas Darbo kodekso nustatyta tvarka turi atlikti informavimo ir konsultavimo procedūras. Darbo apmokėjimo sistema viešai skelbiama įstaigos interneto svetainėje. Darbo apmokėjimo sistema nustatoma vadovaujantis Vyriausybės patvirtintomis rekomendacijomis. Darbo apmokėjimo sistemoje, atsižvelgiant į šio įstatymo nuostatas, nustatomi valstybės ar savivaldybės institucijos ar įstaigos pareigybių sąraše esančių pareigybių pareiginės algos koeficientai ar jų intervalai, pareiginės algos koeficientų dydžio nustatymo kriterijai (įgūdžiai (įskaitant įgūdžius, susijusius su bendravimo, bendradarbiavimo įgūdžiais, konfliktų sprendimu, gebėjimu dirbti su kitais žmonėmis ir svarbius atliekant darbo funkciją), pastangos (fizinių, protinių ir emocinių resursų kiekis, reikalingas užduotims pagal valstybės tarnautojo pareigybės aprašymą atlikti), darbo patirtis, veiklos sudėtingumas, atsakomybės lygis, papildomų įgūdžių ar žinių, svarbių einant pareigas, turėjimas, darbo sąlygos (darbo aplinka, intensyvumas, rizika, fiziniai ir psichologiniai veiksniai)) ir, jei tikslinga, kiti objektyvūs, lyties požiūriu neutralūs kriterijai, priemokų dydžiai, jų skyrimo tvarka. Darbo apmokėjimo sistemoje gali būti numatomos papildomos skatinimo ir socialinės garantijos, nenustatytos šiame ar kituose įstatymuose.“ </w:t>
                </w:r>
              </w:p>
              <w:p w14:paraId="06878908" w14:textId="77777777">
                <w:pPr>
                  <w:jc w:val="both"/>
                  <w:rPr>
                    <w:b/>
                    <w:bCs/>
                    <w:sz w:val="20"/>
                    <w:lang w:eastAsia="lt-LT"/>
                  </w:rPr>
                </w:pPr>
                <w:r>
                  <w:rPr>
                    <w:b/>
                    <w:bCs/>
                    <w:sz w:val="20"/>
                    <w:lang w:eastAsia="lt-LT"/>
                  </w:rPr>
                  <w:t>VĮVDDAĮ projektas</w:t>
                </w:r>
              </w:p>
              <w:p w14:paraId="18A0A936" w14:textId="77777777">
                <w:pPr>
                  <w:jc w:val="both"/>
                  <w:rPr>
                    <w:b/>
                    <w:bCs/>
                    <w:sz w:val="20"/>
                    <w:lang w:eastAsia="lt-LT"/>
                  </w:rPr>
                </w:pPr>
                <w:r>
                  <w:rPr>
                    <w:b/>
                    <w:bCs/>
                    <w:sz w:val="20"/>
                    <w:lang w:eastAsia="lt-LT"/>
                  </w:rPr>
                  <w:t>3 straipsnis. 3 straipsnio pakeitimas</w:t>
                </w:r>
              </w:p>
              <w:p w14:paraId="66884406" w14:textId="77777777">
                <w:pPr>
                  <w:jc w:val="both"/>
                  <w:rPr>
                    <w:b/>
                    <w:bCs/>
                    <w:sz w:val="20"/>
                    <w:lang w:eastAsia="lt-LT"/>
                  </w:rPr>
                </w:pPr>
                <w:r>
                  <w:rPr>
                    <w:b/>
                    <w:bCs/>
                    <w:sz w:val="20"/>
                    <w:lang w:eastAsia="lt-LT"/>
                  </w:rPr>
                  <w:t>Pakeisti 3 straipsnio 3 dalį ir ją išdėstyti taip:</w:t>
                </w:r>
              </w:p>
              <w:p w14:paraId="317CF674" w14:textId="2BCE9971">
                <w:pPr>
                  <w:jc w:val="both"/>
                  <w:rPr>
                    <w:b/>
                    <w:bCs/>
                    <w:sz w:val="20"/>
                    <w:lang w:eastAsia="lt-LT"/>
                  </w:rPr>
                </w:pPr>
                <w:r>
                  <w:rPr>
                    <w:b/>
                    <w:bCs/>
                    <w:sz w:val="20"/>
                    <w:lang w:eastAsia="lt-LT"/>
                  </w:rPr>
                  <w:t>„3. Viešosios įstaigos darbuotojų pareiginė alga nustatoma iš darbuotojų darbo apmokėjimo sistemoje pareigybei nustatyto pareiginės algos koeficientų intervalo, kurio minimalūs pareiginės algos už nekvalifikuotą darbą koeficientų dydžiai negali būti mažesni negu viena Lietuvos Respublikos Vyriausybės patvirtinta minimalioji mėnesinė alga (toliau – MMA), o už kvalifikuotą darbą negali būti mažesni negu 1,1 MMA. Viešosios įstaigos darbuotojų maksimalus pareiginės algos koeficiento dydis negali viršyti viešosios įstaigos vadovo maksimalaus pareiginės algos koeficiento dydžio, nustatyto šio įstatymo 1 priede, išskyrus atvejus, kai pagal darbuotojų darbo apmokėjimo sistemą, atsižvelgiant į Vyriausybės ar jos įgaliotos institucijos nustatytą tam tikrų profesijų atstovų trūkumą Lietuvos Respublikos darbo rinkoje, darbuotojui numatoma didesnė pareiginė alga, bet ne daugiau negu 100 procentų didesnė už atitinkamai viešųjų įstaigų vadovų kategorijai nustatytą maksimalų pareiginės algos koeficiento dydį. Darbuotojų darbo apmokėjimo sistemoje pareigybės, esančios viešosios įstaigos pareigybių sąraše, turi būti suskirstytos į pareigybių grupes pagal objektyvius ir lyties požiūriu neutralius kriterijus, apimančius tam tikrus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psichologiniai veiksniai), ir, jei tikslinga, kitus svarbius kriterijus. Pareigybės, kai atliekamas toks pats ar vienodos vertės darbas, kaip jis apibrėžtas Darbo kodekso 140 straipsnyje, priskiriamos tai pačiai pareigybių grupei. Darbo apmokėjimo sistemoje, atsižvelgiant į šio įstatymo nuostatas, pagal objektyvius ir lyties požiūriu neutralius kriterijus (darbo patirtį, išsilavinimą, veiklos sudėtingumą, atsakomybės ir savarankiškumo lygį, papildomų įgūdžių ar žinių, svarbių einant pareigas, turėjimą, darbo sąlygas ar kitus kriterijus) turi būti nustatyti kiekvienos pareigybių grupės arba kiekvienos pareigybės pareiginės algos koeficientų dydžiai ar jų intervalai (minimali ir maksimali intervalų riba), priemokų dydžiai ir jų skyrimo tvarka, kintamosios dalies dydžiai ir jos skyrimo tvarka (jeigu tokia darbo užmokesčio sudedamoji dalis numatyta), piniginių išmokų dydžiai, jų skyrimo atvejai (už atliktą darbą ar siekiant paskatinti) ir tvarka, darbo užmokesčio didinimo (darbdavio sprendimas, susijęs su geresniais darbuotojo veiklos rezultatais, aukštesnėmis kompetencijomis, didesne patirtimi ir kt.) kriterijai ir tvarka.“</w:t>
                </w:r>
              </w:p>
            </w:tc>
            <w:tc>
              <w:tcPr>
                <w:tcW w:w="1572" w:type="dxa"/>
                <w:tcBorders>
                  <w:top w:val="single" w:sz="4" w:space="0" w:color="auto"/>
                  <w:bottom w:val="single" w:sz="4" w:space="0" w:color="auto"/>
                </w:tcBorders>
                <w:shd w:val="clear" w:color="auto" w:fill="FFFFFF" w:themeFill="background1"/>
              </w:tcPr>
              <w:p w14:paraId="19B611E1" w14:textId="77777777">
                <w:pPr>
                  <w:jc w:val="both"/>
                  <w:rPr>
                    <w:color w:val="000000"/>
                    <w:sz w:val="20"/>
                  </w:rPr>
                </w:pPr>
                <w:r>
                  <w:rPr>
                    <w:color w:val="000000"/>
                    <w:sz w:val="20"/>
                  </w:rPr>
                  <w:t>Visiškas</w:t>
                </w:r>
              </w:p>
              <w:p w14:paraId="2AE969E9" w14:textId="77777777">
                <w:pPr>
                  <w:jc w:val="both"/>
                  <w:rPr>
                    <w:color w:val="000000"/>
                    <w:sz w:val="20"/>
                  </w:rPr>
                </w:pPr>
              </w:p>
              <w:p w14:paraId="519B335E" w14:textId="77777777">
                <w:pPr>
                  <w:jc w:val="both"/>
                  <w:rPr>
                    <w:color w:val="000000"/>
                    <w:sz w:val="20"/>
                  </w:rPr>
                </w:pPr>
              </w:p>
              <w:p w14:paraId="22077F3B" w14:textId="63B10CCE">
                <w:pPr>
                  <w:jc w:val="both"/>
                  <w:rPr>
                    <w:color w:val="000000"/>
                    <w:sz w:val="20"/>
                  </w:rPr>
                </w:pPr>
              </w:p>
            </w:tc>
          </w:tr>
          <w:tr w14:paraId="0556C345" w14:textId="77777777">
            <w:tc>
              <w:tcPr>
                <w:tcW w:w="8391" w:type="dxa"/>
                <w:tcBorders>
                  <w:top w:val="single" w:sz="4" w:space="0" w:color="auto"/>
                  <w:bottom w:val="single" w:sz="4" w:space="0" w:color="auto"/>
                </w:tcBorders>
                <w:shd w:val="clear" w:color="auto" w:fill="FFFFFF" w:themeFill="background1"/>
              </w:tcPr>
              <w:p w14:paraId="78F7583F" w14:textId="52E4FC41">
                <w:pPr>
                  <w:jc w:val="both"/>
                  <w:rPr>
                    <w:bCs/>
                    <w:sz w:val="20"/>
                  </w:rPr>
                </w:pPr>
                <w:r>
                  <w:rPr>
                    <w:bCs/>
                    <w:sz w:val="20"/>
                  </w:rPr>
                  <w:t>2. Valstybės narės gali atleisti mažiau nei 50 darbuotojų turinčius darbdavius nuo pareigos, susijusios su darbo užmokesčio didinimu, nustatytu 1 dalyje.</w:t>
                </w:r>
              </w:p>
            </w:tc>
            <w:tc>
              <w:tcPr>
                <w:tcW w:w="5347" w:type="dxa"/>
                <w:tcBorders>
                  <w:top w:val="single" w:sz="4" w:space="0" w:color="auto"/>
                  <w:bottom w:val="single" w:sz="4" w:space="0" w:color="auto"/>
                </w:tcBorders>
                <w:shd w:val="clear" w:color="auto" w:fill="FFFFFF" w:themeFill="background1"/>
              </w:tcPr>
              <w:p w14:paraId="4C85963F" w14:textId="334883AF">
                <w:pPr>
                  <w:rPr>
                    <w:b/>
                    <w:bCs/>
                    <w:color w:val="000000"/>
                    <w:sz w:val="20"/>
                    <w:lang w:eastAsia="lt-LT"/>
                  </w:rPr>
                </w:pPr>
                <w:r>
                  <w:rPr>
                    <w:b/>
                    <w:bCs/>
                    <w:color w:val="000000"/>
                    <w:sz w:val="20"/>
                    <w:lang w:eastAsia="lt-LT"/>
                  </w:rPr>
                  <w:t>DK projektas</w:t>
                </w:r>
              </w:p>
              <w:p w14:paraId="171F96A2" w14:textId="1BFFBA50">
                <w:pPr>
                  <w:jc w:val="both"/>
                  <w:rPr>
                    <w:b/>
                    <w:bCs/>
                    <w:sz w:val="20"/>
                    <w:lang w:eastAsia="lt-LT"/>
                  </w:rPr>
                </w:pPr>
                <w:r>
                  <w:rPr>
                    <w:b/>
                    <w:bCs/>
                    <w:sz w:val="20"/>
                    <w:lang w:eastAsia="lt-LT"/>
                  </w:rPr>
                  <w:t>14 straipsnis. 140 straipsnio pakeitimas</w:t>
                </w:r>
              </w:p>
              <w:p w14:paraId="31E27A47" w14:textId="77777777">
                <w:pPr>
                  <w:jc w:val="both"/>
                  <w:rPr>
                    <w:b/>
                    <w:bCs/>
                    <w:sz w:val="20"/>
                    <w:lang w:eastAsia="lt-LT"/>
                  </w:rPr>
                </w:pPr>
                <w:r>
                  <w:rPr>
                    <w:b/>
                    <w:bCs/>
                    <w:sz w:val="20"/>
                    <w:lang w:eastAsia="lt-LT"/>
                  </w:rPr>
                  <w:t>1. Pakeisti 140 straipsnio 3 dalį ir ją išdėstyti taip:</w:t>
                </w:r>
              </w:p>
              <w:p w14:paraId="4401608C" w14:textId="44A4757B">
                <w:pPr>
                  <w:jc w:val="both"/>
                  <w:rPr>
                    <w:b/>
                    <w:bCs/>
                    <w:sz w:val="20"/>
                    <w:lang w:eastAsia="lt-LT"/>
                  </w:rPr>
                </w:pPr>
                <w:r>
                  <w:rPr>
                    <w:b/>
                    <w:bCs/>
                    <w:sz w:val="20"/>
                    <w:lang w:eastAsia="lt-LT"/>
                  </w:rPr>
                  <w:t>„3. Darbo apmokėjimo sistema darbovietėje ar darbdavio įmonėje, įstaigoje, organizacijoje nustatoma kolektyvine sutartimi ir taikoma visiems tos darbovietės ar darbdavio įmonės, įstaigos, organizacijos darbuotojams. Jei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p>
            </w:tc>
            <w:tc>
              <w:tcPr>
                <w:tcW w:w="1572" w:type="dxa"/>
                <w:tcBorders>
                  <w:top w:val="single" w:sz="4" w:space="0" w:color="auto"/>
                  <w:bottom w:val="single" w:sz="4" w:space="0" w:color="auto"/>
                </w:tcBorders>
                <w:shd w:val="clear" w:color="auto" w:fill="FFFFFF" w:themeFill="background1"/>
              </w:tcPr>
              <w:p w14:paraId="4D5526DE" w14:textId="77777777">
                <w:pPr>
                  <w:jc w:val="both"/>
                  <w:rPr>
                    <w:color w:val="000000"/>
                    <w:sz w:val="20"/>
                  </w:rPr>
                </w:pPr>
                <w:r>
                  <w:rPr>
                    <w:color w:val="000000"/>
                    <w:sz w:val="20"/>
                  </w:rPr>
                  <w:t>Visiškas</w:t>
                </w:r>
              </w:p>
              <w:p w14:paraId="44DDEAD2" w14:textId="77777777">
                <w:pPr>
                  <w:jc w:val="both"/>
                  <w:rPr>
                    <w:color w:val="000000"/>
                    <w:sz w:val="20"/>
                  </w:rPr>
                </w:pPr>
              </w:p>
              <w:p w14:paraId="03E1B7D9" w14:textId="73436752">
                <w:pPr>
                  <w:jc w:val="both"/>
                  <w:rPr>
                    <w:color w:val="000000"/>
                    <w:sz w:val="20"/>
                  </w:rPr>
                </w:pPr>
              </w:p>
            </w:tc>
          </w:tr>
          <w:tr w14:paraId="5B2ED33F" w14:textId="77777777">
            <w:tc>
              <w:tcPr>
                <w:tcW w:w="15310" w:type="dxa"/>
                <w:gridSpan w:val="3"/>
                <w:tcBorders>
                  <w:top w:val="single" w:sz="4" w:space="0" w:color="auto"/>
                  <w:bottom w:val="single" w:sz="4" w:space="0" w:color="auto"/>
                </w:tcBorders>
                <w:shd w:val="clear" w:color="auto" w:fill="D6E3BC" w:themeFill="accent3" w:themeFillTint="66"/>
              </w:tcPr>
              <w:p w14:paraId="2DE23C44" w14:textId="0E2E9AA9">
                <w:pPr>
                  <w:jc w:val="both"/>
                  <w:rPr>
                    <w:b/>
                    <w:bCs/>
                    <w:color w:val="000000"/>
                    <w:sz w:val="20"/>
                  </w:rPr>
                </w:pPr>
                <w:r>
                  <w:rPr>
                    <w:b/>
                    <w:bCs/>
                    <w:color w:val="000000"/>
                    <w:sz w:val="20"/>
                  </w:rPr>
                  <w:t>7 straipsnis. Teisė į informaciją</w:t>
                </w:r>
              </w:p>
            </w:tc>
          </w:tr>
          <w:tr w14:paraId="3BE47ED5" w14:textId="77777777">
            <w:tc>
              <w:tcPr>
                <w:tcW w:w="8391" w:type="dxa"/>
                <w:tcBorders>
                  <w:top w:val="single" w:sz="4" w:space="0" w:color="auto"/>
                  <w:bottom w:val="single" w:sz="4" w:space="0" w:color="auto"/>
                </w:tcBorders>
              </w:tcPr>
              <w:p w14:paraId="416B9389" w14:textId="7A36B80F">
                <w:pPr>
                  <w:jc w:val="both"/>
                  <w:rPr>
                    <w:bCs/>
                    <w:sz w:val="20"/>
                  </w:rPr>
                </w:pPr>
                <w:r>
                  <w:rPr>
                    <w:bCs/>
                    <w:sz w:val="20"/>
                  </w:rPr>
                  <w:t xml:space="preserve">1. Darbuotojai pagal 2 ir 4 dalis turi teisę prašyti informacijos apie jų pačių </w:t>
                </w:r>
                <w:r>
                  <w:rPr>
                    <w:sz w:val="20"/>
                  </w:rPr>
                  <w:t>darbo užmokesčio dyd</w:t>
                </w:r>
                <w:r>
                  <w:rPr>
                    <w:bCs/>
                    <w:sz w:val="20"/>
                  </w:rPr>
                  <w:t>į ir vidutinio darbo užmokesčio dydžius pagal darbuotojo lytį ir vienodą arba vienodos vertės darbą atliekančių darbuotojų kategorijas ir tokią informaciją gauti raštu.</w:t>
                </w:r>
              </w:p>
            </w:tc>
            <w:tc>
              <w:tcPr>
                <w:tcW w:w="5347" w:type="dxa"/>
                <w:tcBorders>
                  <w:top w:val="single" w:sz="4" w:space="0" w:color="auto"/>
                  <w:bottom w:val="single" w:sz="4" w:space="0" w:color="auto"/>
                </w:tcBorders>
              </w:tcPr>
              <w:p w14:paraId="2CA31FA9" w14:textId="71361642">
                <w:pPr>
                  <w:jc w:val="both"/>
                  <w:rPr>
                    <w:b/>
                    <w:bCs/>
                    <w:sz w:val="20"/>
                  </w:rPr>
                </w:pPr>
                <w:r>
                  <w:rPr>
                    <w:b/>
                    <w:bCs/>
                    <w:sz w:val="20"/>
                  </w:rPr>
                  <w:t>DK projektas</w:t>
                </w:r>
              </w:p>
              <w:p w14:paraId="531CEED7" w14:textId="4D2C44BC">
                <w:pPr>
                  <w:jc w:val="both"/>
                  <w:rPr>
                    <w:b/>
                    <w:sz w:val="20"/>
                    <w:lang w:eastAsia="lt-LT"/>
                  </w:rPr>
                </w:pPr>
                <w:r>
                  <w:rPr>
                    <w:b/>
                    <w:sz w:val="20"/>
                    <w:lang w:eastAsia="lt-LT"/>
                  </w:rPr>
                  <w:t>16 straipsnis. 148 straipsnio pakeitimas</w:t>
                </w:r>
              </w:p>
              <w:p w14:paraId="18038E51" w14:textId="77777777">
                <w:pPr>
                  <w:jc w:val="both"/>
                  <w:rPr>
                    <w:b/>
                    <w:sz w:val="20"/>
                    <w:lang w:eastAsia="lt-LT"/>
                  </w:rPr>
                </w:pPr>
                <w:r>
                  <w:rPr>
                    <w:b/>
                    <w:sz w:val="20"/>
                    <w:lang w:eastAsia="lt-LT"/>
                  </w:rPr>
                  <w:t>Papildyti 148 straipsnį 4-9 dalimis:</w:t>
                </w:r>
              </w:p>
              <w:p w14:paraId="5B777598" w14:textId="477F1812">
                <w:pPr>
                  <w:jc w:val="both"/>
                  <w:rPr>
                    <w:b/>
                    <w:bCs/>
                    <w:sz w:val="20"/>
                    <w:lang w:eastAsia="lt-LT"/>
                  </w:rPr>
                </w:pPr>
                <w:r>
                  <w:rPr>
                    <w:bCs/>
                    <w:sz w:val="20"/>
                    <w:lang w:eastAsia="lt-LT"/>
                  </w:rPr>
                  <w:t>„</w:t>
                </w:r>
                <w:r>
                  <w:rPr>
                    <w:b/>
                    <w:bCs/>
                    <w:sz w:val="20"/>
                    <w:lang w:eastAsia="lt-LT"/>
                  </w:rPr>
                  <w:t>&lt;...&gt;</w:t>
                </w:r>
              </w:p>
              <w:p w14:paraId="3C84A314" w14:textId="77777777">
                <w:pPr>
                  <w:jc w:val="both"/>
                  <w:rPr>
                    <w:b/>
                    <w:sz w:val="20"/>
                    <w:lang w:eastAsia="lt-LT"/>
                  </w:rPr>
                </w:pPr>
                <w:r>
                  <w:rPr>
                    <w:b/>
                    <w:sz w:val="20"/>
                    <w:lang w:eastAsia="lt-LT"/>
                  </w:rPr>
                  <w:t>5. Darbdavys darbuotojo prašymu privalo iš Valstybinio socialinio draudimo fondo valdybos pagal šio kodekso 23 straipsnio 5 dalį gautus duomenis apie tokius rodiklius kaip darbuotojo metinis darbo užmokestis, mėnesinis vidutinis valandinis ir metų vidutinis valandinis darbo užmokestis, taip pat darbdavio darbuotojų vidutinis metinis darbo užmokestis, mėnesio vidutinis valandinis ir metų vidutinis valandinis darbo užmokestis pagal lytį toje pačioje pareigybių grupėje, kuriai priskirta jo pareigybė, pateikti jam raštu per vieną mėnesį nuo jo prašymo pateikti duomenis apie šio straipsnio 4 dalyje nurodytus rodiklius gavimo dienos. Jei iš darbdavio raštu gauti duomenys apie šio straipsnio 4 dalyje nurodytus rodiklius yra netikslūs ar neišsamūs, darbuotojas turi teisę asmeniškai ar per darbuotojų atstovus reikalauti, kad darbdavys pateiktų papildomų paaiškinimų, ir gauti pagrįstą darbdavio atsakymą. Papildomų paaiškinimų teikimas negali trukti ilgiau kaip 2 mėnesius nuo darbuotojo prašymo pateikti duomenis apie šio straipsnio 4 dalyje nurodytus rodiklius gavimo dienos. Laikinieji darbuotojai duomenis apie šio straipsnio 4 dalyje nurodytus rodiklius ir paaiškinimus gali prašyti pateikti laikinojo darbo įmonę arba laikinojo darbo naudotoją šioje dalyje nurodytais terminais.</w:t>
                </w:r>
              </w:p>
              <w:p w14:paraId="0434FAD5" w14:textId="4770FB33">
                <w:pPr>
                  <w:jc w:val="both"/>
                  <w:rPr>
                    <w:b/>
                    <w:sz w:val="20"/>
                    <w:lang w:eastAsia="lt-LT"/>
                  </w:rPr>
                </w:pPr>
                <w:r>
                  <w:rPr>
                    <w:b/>
                    <w:sz w:val="20"/>
                    <w:lang w:eastAsia="lt-LT"/>
                  </w:rPr>
                  <w:t>6. Duomenis apie šio straipsnio 4 dalyje nurodytus rodiklius darbuotojas taip pat turi teisę gauti iš darbdavio per darbuotojų atstovus, Valstybinę darbo inspekciją ir Lygių galimybių kontrolieriaus tarnybą. Darbdaviai duomenis apie šio straipsnio 4 dalyje nurodytus rodiklius, Valstybinei darbo inspekcijai ar Lygių galimybių kontrolieriaus tarnybai pareikalavus, turi pateikti per jos nustatytą terminą, bet ne vėliau kaip per 10 darbo dienų nuo prašymo pateikti duomenis apie šio straipsnio 4 dalyje nurodytus rodiklius gavimo dienos.</w:t>
                </w:r>
              </w:p>
              <w:p w14:paraId="5707CE74" w14:textId="4617D7D7">
                <w:pPr>
                  <w:jc w:val="both"/>
                  <w:rPr>
                    <w:b/>
                    <w:bCs/>
                    <w:color w:val="000000"/>
                    <w:sz w:val="20"/>
                    <w:lang w:eastAsia="lt-LT"/>
                  </w:rPr>
                </w:pPr>
                <w:r>
                  <w:rPr>
                    <w:b/>
                    <w:bCs/>
                    <w:color w:val="000000"/>
                    <w:sz w:val="20"/>
                    <w:lang w:eastAsia="lt-LT"/>
                  </w:rPr>
                  <w:t>&lt;...&gt;“</w:t>
                </w:r>
              </w:p>
            </w:tc>
            <w:tc>
              <w:tcPr>
                <w:tcW w:w="1572" w:type="dxa"/>
                <w:tcBorders>
                  <w:top w:val="single" w:sz="4" w:space="0" w:color="auto"/>
                  <w:bottom w:val="single" w:sz="4" w:space="0" w:color="auto"/>
                </w:tcBorders>
              </w:tcPr>
              <w:p w14:paraId="445662D2" w14:textId="5C37A9C0">
                <w:pPr>
                  <w:jc w:val="both"/>
                  <w:rPr>
                    <w:color w:val="000000"/>
                    <w:sz w:val="20"/>
                  </w:rPr>
                </w:pPr>
                <w:r>
                  <w:rPr>
                    <w:color w:val="000000"/>
                    <w:sz w:val="20"/>
                  </w:rPr>
                  <w:t>Visiškas</w:t>
                </w:r>
              </w:p>
              <w:p w14:paraId="3DE77FEF" w14:textId="77777777">
                <w:pPr>
                  <w:jc w:val="both"/>
                  <w:rPr>
                    <w:color w:val="000000"/>
                    <w:sz w:val="20"/>
                  </w:rPr>
                </w:pPr>
              </w:p>
              <w:p w14:paraId="6BD0DEF2" w14:textId="77777777">
                <w:pPr>
                  <w:jc w:val="both"/>
                  <w:rPr>
                    <w:color w:val="000000"/>
                    <w:sz w:val="20"/>
                    <w:highlight w:val="lightGray"/>
                  </w:rPr>
                </w:pPr>
              </w:p>
              <w:p w14:paraId="61881041" w14:textId="3F6ECA72">
                <w:pPr>
                  <w:jc w:val="both"/>
                  <w:rPr>
                    <w:color w:val="000000"/>
                    <w:sz w:val="20"/>
                  </w:rPr>
                </w:pPr>
              </w:p>
            </w:tc>
          </w:tr>
          <w:tr w14:paraId="28C2C181" w14:textId="77777777">
            <w:tc>
              <w:tcPr>
                <w:tcW w:w="8391" w:type="dxa"/>
                <w:tcBorders>
                  <w:top w:val="single" w:sz="4" w:space="0" w:color="auto"/>
                  <w:bottom w:val="single" w:sz="4" w:space="0" w:color="auto"/>
                </w:tcBorders>
              </w:tcPr>
              <w:p w14:paraId="45D85B98" w14:textId="3D2B5BB3">
                <w:pPr>
                  <w:jc w:val="both"/>
                  <w:rPr>
                    <w:bCs/>
                    <w:sz w:val="20"/>
                  </w:rPr>
                </w:pPr>
                <w:r>
                  <w:rPr>
                    <w:bCs/>
                    <w:sz w:val="20"/>
                  </w:rPr>
                  <w:t xml:space="preserve">2. Darbuotojams suteikiama galimybė prašyti 1 dalyje nurodytos informacijos ir ją gauti per darbuotojų atstovus, laikantis nacionalinės teisės ir (arba) praktikos. Jiems taip pat suteikiama galimybė prašyti informacijos ir ją gauti per lygybės instituciją. </w:t>
                </w:r>
              </w:p>
              <w:p w14:paraId="0B8967FF" w14:textId="46F7CC3F">
                <w:pPr>
                  <w:jc w:val="both"/>
                  <w:rPr>
                    <w:bCs/>
                    <w:sz w:val="20"/>
                  </w:rPr>
                </w:pPr>
                <w:r>
                  <w:rPr>
                    <w:bCs/>
                    <w:sz w:val="20"/>
                  </w:rPr>
                  <w:t>Jei gauta informacija yra netiksli ar neišsami, darbuotojai turi teisę asmeniškai arba per savo darbuotojų atstovus paprašyti pateikti papildomų ir pagrįstų paaiškinimų ir išsamesnės informacijos apie visus suteiktus duomenis ir gauti pagrįstą atsakymą.</w:t>
                </w:r>
              </w:p>
            </w:tc>
            <w:tc>
              <w:tcPr>
                <w:tcW w:w="5347" w:type="dxa"/>
                <w:tcBorders>
                  <w:top w:val="single" w:sz="4" w:space="0" w:color="auto"/>
                  <w:bottom w:val="single" w:sz="4" w:space="0" w:color="auto"/>
                </w:tcBorders>
              </w:tcPr>
              <w:p w14:paraId="49AC8F88" w14:textId="77777777">
                <w:pPr>
                  <w:jc w:val="both"/>
                  <w:rPr>
                    <w:b/>
                    <w:bCs/>
                    <w:sz w:val="20"/>
                  </w:rPr>
                </w:pPr>
                <w:r>
                  <w:rPr>
                    <w:b/>
                    <w:bCs/>
                    <w:sz w:val="20"/>
                  </w:rPr>
                  <w:t>DK projektas</w:t>
                </w:r>
              </w:p>
              <w:p w14:paraId="7C0B3536" w14:textId="02FFDCB7">
                <w:pPr>
                  <w:jc w:val="both"/>
                  <w:rPr>
                    <w:b/>
                    <w:sz w:val="20"/>
                    <w:lang w:eastAsia="lt-LT"/>
                  </w:rPr>
                </w:pPr>
                <w:r>
                  <w:rPr>
                    <w:b/>
                    <w:sz w:val="20"/>
                    <w:lang w:eastAsia="lt-LT"/>
                  </w:rPr>
                  <w:t>16 straipsnis. 148 straipsnio pakeitimas</w:t>
                </w:r>
              </w:p>
              <w:p w14:paraId="55054C88" w14:textId="77777777">
                <w:pPr>
                  <w:jc w:val="both"/>
                  <w:rPr>
                    <w:bCs/>
                    <w:sz w:val="20"/>
                    <w:lang w:eastAsia="lt-LT"/>
                  </w:rPr>
                </w:pPr>
                <w:r>
                  <w:rPr>
                    <w:bCs/>
                    <w:sz w:val="20"/>
                    <w:lang w:eastAsia="lt-LT"/>
                  </w:rPr>
                  <w:t>Papildyti 148 straipsnį 4-9 dalimis:</w:t>
                </w:r>
              </w:p>
              <w:p w14:paraId="4755D73F" w14:textId="77777777">
                <w:pPr>
                  <w:jc w:val="both"/>
                  <w:rPr>
                    <w:b/>
                    <w:bCs/>
                    <w:sz w:val="20"/>
                    <w:lang w:eastAsia="lt-LT"/>
                  </w:rPr>
                </w:pPr>
                <w:r>
                  <w:rPr>
                    <w:bCs/>
                    <w:sz w:val="20"/>
                    <w:lang w:eastAsia="lt-LT"/>
                  </w:rPr>
                  <w:t>„</w:t>
                </w:r>
                <w:r>
                  <w:rPr>
                    <w:b/>
                    <w:bCs/>
                    <w:sz w:val="20"/>
                    <w:lang w:eastAsia="lt-LT"/>
                  </w:rPr>
                  <w:t>&lt;...&gt;</w:t>
                </w:r>
              </w:p>
              <w:p w14:paraId="1E095B16" w14:textId="77777777">
                <w:pPr>
                  <w:jc w:val="both"/>
                  <w:rPr>
                    <w:b/>
                    <w:sz w:val="20"/>
                    <w:lang w:eastAsia="lt-LT"/>
                  </w:rPr>
                </w:pPr>
                <w:r>
                  <w:rPr>
                    <w:b/>
                    <w:sz w:val="20"/>
                    <w:lang w:eastAsia="lt-LT"/>
                  </w:rPr>
                  <w:t>5. Darbdavys darbuotojo prašymu privalo iš Valstybinio socialinio draudimo fondo valdybos pagal šio kodekso 23 straipsnio 5 dalį gautus duomenis apie tokius rodiklius kaip darbuotojo metinis darbo užmokestis, mėnesinis vidutinis valandinis ir metų vidutinis valandinis darbo užmokestis, taip pat darbdavio darbuotojų vidutinis metinis darbo užmokestis, mėnesio vidutinis valandinis ir metų vidutinis valandinis darbo užmokestis pagal lytį toje pačioje pareigybių grupėje, kuriai priskirta jo pareigybė, pateikti jam raštu per vieną mėnesį nuo jo prašymo pateikti duomenis apie šio straipsnio 4 dalyje nurodytus rodiklius gavimo dienos. Jei iš darbdavio raštu gauti duomenys apie šio straipsnio 4 dalyje nurodytus rodiklius yra netikslūs ar neišsamūs, darbuotojas turi teisę asmeniškai ar per darbuotojų atstovus reikalauti, kad darbdavys pateiktų papildomų paaiškinimų, ir gauti pagrįstą darbdavio atsakymą. Papildomų paaiškinimų teikimas negali trukti ilgiau kaip 2 mėnesius nuo darbuotojo prašymo pateikti duomenis apie šio straipsnio 4 dalyje nurodytus rodiklius gavimo dienos. Laikinieji darbuotojai duomenis apie šio straipsnio 4 dalyje nurodytus rodiklius ir paaiškinimus gali prašyti pateikti laikinojo darbo įmonę arba laikinojo darbo naudotoją šioje dalyje nurodytais terminais.</w:t>
                </w:r>
              </w:p>
              <w:p w14:paraId="7082C0F3" w14:textId="67F82DDC">
                <w:pPr>
                  <w:jc w:val="both"/>
                  <w:rPr>
                    <w:b/>
                    <w:sz w:val="20"/>
                    <w:lang w:eastAsia="lt-LT"/>
                  </w:rPr>
                </w:pPr>
                <w:r>
                  <w:rPr>
                    <w:b/>
                    <w:sz w:val="20"/>
                    <w:lang w:eastAsia="lt-LT"/>
                  </w:rPr>
                  <w:t>6. Duomenis apie šio straipsnio 4 dalyje nurodytus rodiklius darbuotojas taip pat turi teisę gauti iš darbdavio per darbuotojų atstovus, Valstybinę darbo inspekciją ir Lygių galimybių kontrolieriaus tarnybą. Darbdaviai duomenis apie šio straipsnio 4 dalyje nurodytus rodiklius, Valstybinei darbo inspekcijai ar Lygių galimybių kontrolieriaus tarnybai pareikalavus, turi pateikti per jos nustatytą terminą, bet ne vėliau kaip per 10 darbo dienų nuo prašymo pateikti duomenis apie šio straipsnio 4 dalyje nurodytus rodiklius gavimo dienos.</w:t>
                </w:r>
              </w:p>
              <w:p w14:paraId="316753D7" w14:textId="27F0A7D5">
                <w:pPr>
                  <w:jc w:val="both"/>
                  <w:rPr>
                    <w:sz w:val="20"/>
                  </w:rPr>
                </w:pPr>
                <w:r>
                  <w:rPr>
                    <w:b/>
                    <w:bCs/>
                    <w:color w:val="000000"/>
                    <w:sz w:val="20"/>
                    <w:lang w:eastAsia="lt-LT"/>
                  </w:rPr>
                  <w:t>&lt;...&gt;“</w:t>
                </w:r>
              </w:p>
            </w:tc>
            <w:tc>
              <w:tcPr>
                <w:tcW w:w="1572" w:type="dxa"/>
                <w:tcBorders>
                  <w:top w:val="single" w:sz="4" w:space="0" w:color="auto"/>
                  <w:bottom w:val="single" w:sz="4" w:space="0" w:color="auto"/>
                </w:tcBorders>
              </w:tcPr>
              <w:p w14:paraId="34F78F8E" w14:textId="77777777">
                <w:pPr>
                  <w:jc w:val="both"/>
                  <w:rPr>
                    <w:color w:val="000000"/>
                    <w:sz w:val="20"/>
                  </w:rPr>
                </w:pPr>
                <w:r>
                  <w:rPr>
                    <w:color w:val="000000"/>
                    <w:sz w:val="20"/>
                  </w:rPr>
                  <w:t>Visiškas</w:t>
                </w:r>
              </w:p>
              <w:p w14:paraId="02513F4F" w14:textId="77777777">
                <w:pPr>
                  <w:jc w:val="both"/>
                  <w:rPr>
                    <w:color w:val="000000"/>
                    <w:sz w:val="20"/>
                    <w:highlight w:val="lightGray"/>
                  </w:rPr>
                </w:pPr>
              </w:p>
              <w:p w14:paraId="64082D67" w14:textId="70E339E8">
                <w:pPr>
                  <w:jc w:val="both"/>
                  <w:rPr>
                    <w:color w:val="000000"/>
                    <w:sz w:val="20"/>
                  </w:rPr>
                </w:pPr>
              </w:p>
            </w:tc>
          </w:tr>
          <w:tr w14:paraId="170109F9" w14:textId="77777777">
            <w:tc>
              <w:tcPr>
                <w:tcW w:w="8391" w:type="dxa"/>
                <w:tcBorders>
                  <w:top w:val="single" w:sz="4" w:space="0" w:color="auto"/>
                  <w:bottom w:val="single" w:sz="4" w:space="0" w:color="auto"/>
                </w:tcBorders>
              </w:tcPr>
              <w:p w14:paraId="5ADD3EB0" w14:textId="5137FE22">
                <w:pPr>
                  <w:jc w:val="both"/>
                  <w:rPr>
                    <w:bCs/>
                    <w:sz w:val="20"/>
                  </w:rPr>
                </w:pPr>
                <w:r>
                  <w:rPr>
                    <w:bCs/>
                    <w:sz w:val="20"/>
                  </w:rPr>
                  <w:t>3. Darbdaviai kasmet informuoja visus darbuotojus apie jų teisę gauti 1 dalyje nurodytą informaciją ir apie veiksmus, kurių darbuotojai turėtų imtis norėdami pasinaudoti šia teise.</w:t>
                </w:r>
              </w:p>
            </w:tc>
            <w:tc>
              <w:tcPr>
                <w:tcW w:w="5347" w:type="dxa"/>
                <w:tcBorders>
                  <w:top w:val="single" w:sz="4" w:space="0" w:color="auto"/>
                  <w:bottom w:val="single" w:sz="4" w:space="0" w:color="auto"/>
                </w:tcBorders>
              </w:tcPr>
              <w:p w14:paraId="2D5CBA11" w14:textId="15D137EB">
                <w:pPr>
                  <w:jc w:val="both"/>
                  <w:rPr>
                    <w:b/>
                    <w:bCs/>
                    <w:color w:val="000000"/>
                    <w:sz w:val="20"/>
                  </w:rPr>
                </w:pPr>
                <w:r>
                  <w:rPr>
                    <w:b/>
                    <w:bCs/>
                    <w:color w:val="000000"/>
                    <w:sz w:val="20"/>
                  </w:rPr>
                  <w:t>DK projektas</w:t>
                </w:r>
              </w:p>
              <w:p w14:paraId="6F5F23DA" w14:textId="62FA0992">
                <w:pPr>
                  <w:jc w:val="both"/>
                  <w:rPr>
                    <w:b/>
                    <w:sz w:val="20"/>
                    <w:lang w:eastAsia="lt-LT"/>
                  </w:rPr>
                </w:pPr>
                <w:r>
                  <w:rPr>
                    <w:b/>
                    <w:sz w:val="20"/>
                    <w:lang w:eastAsia="lt-LT"/>
                  </w:rPr>
                  <w:t>16 straipsnis. 148 straipsnio pakeitimas</w:t>
                </w:r>
              </w:p>
              <w:p w14:paraId="2FEF5669" w14:textId="77777777">
                <w:pPr>
                  <w:jc w:val="both"/>
                  <w:rPr>
                    <w:b/>
                    <w:sz w:val="20"/>
                    <w:lang w:eastAsia="lt-LT"/>
                  </w:rPr>
                </w:pPr>
                <w:r>
                  <w:rPr>
                    <w:b/>
                    <w:sz w:val="20"/>
                    <w:lang w:eastAsia="lt-LT"/>
                  </w:rPr>
                  <w:t>Papildyti 148 straipsnį 4-9 dalimis:</w:t>
                </w:r>
              </w:p>
              <w:p w14:paraId="68A1A8F3" w14:textId="1F82B782">
                <w:pPr>
                  <w:jc w:val="both"/>
                  <w:rPr>
                    <w:b/>
                    <w:bCs/>
                    <w:sz w:val="20"/>
                    <w:lang w:eastAsia="lt-LT"/>
                  </w:rPr>
                </w:pPr>
                <w:r>
                  <w:rPr>
                    <w:b/>
                    <w:sz w:val="20"/>
                    <w:lang w:eastAsia="lt-LT"/>
                  </w:rPr>
                  <w:t>„</w:t>
                </w:r>
                <w:r>
                  <w:rPr>
                    <w:b/>
                    <w:bCs/>
                    <w:sz w:val="20"/>
                    <w:lang w:eastAsia="lt-LT"/>
                  </w:rPr>
                  <w:t>&lt;...&gt;</w:t>
                </w:r>
              </w:p>
              <w:p w14:paraId="14227F08" w14:textId="77777777">
                <w:pPr>
                  <w:jc w:val="both"/>
                  <w:rPr>
                    <w:b/>
                    <w:sz w:val="20"/>
                    <w:lang w:eastAsia="lt-LT"/>
                  </w:rPr>
                </w:pPr>
                <w:r>
                  <w:rPr>
                    <w:b/>
                    <w:sz w:val="20"/>
                    <w:lang w:eastAsia="lt-LT"/>
                  </w:rPr>
                  <w:t>4. Darbuotojas turi teisę raštu iš darbdavio gauti duomenis apie šiuos rodiklius: savo metinį darbo užmokestį, mėnesio vidutinį valandinį ir metų vidutinį valandinį darbo užmokestį, taip pat darbdavio darbuotojų vidutinį metinį darbo užmokestį, mėnesio vidutinį valandinį ir metų vidutinį valandinį darbo užmokestį pagal lytį toje pačioje pareigybių grupėje, kuriai priskirta jo pareigybė. Darbdaviai privalo kasmet informuoti darbuotojus apie jų teisę gauti šiuos duomenis apie rodiklius ir apie jų teikimo tvarką.</w:t>
                </w:r>
              </w:p>
              <w:p w14:paraId="74BAD26E" w14:textId="534EE135">
                <w:pPr>
                  <w:jc w:val="both"/>
                  <w:rPr>
                    <w:b/>
                    <w:sz w:val="20"/>
                    <w:lang w:eastAsia="lt-LT"/>
                  </w:rPr>
                </w:pPr>
                <w:r>
                  <w:rPr>
                    <w:b/>
                    <w:sz w:val="20"/>
                    <w:lang w:eastAsia="lt-LT"/>
                  </w:rPr>
                  <w:t>&lt;...&gt;“</w:t>
                </w:r>
              </w:p>
            </w:tc>
            <w:tc>
              <w:tcPr>
                <w:tcW w:w="1572" w:type="dxa"/>
                <w:tcBorders>
                  <w:top w:val="single" w:sz="4" w:space="0" w:color="auto"/>
                  <w:bottom w:val="single" w:sz="4" w:space="0" w:color="auto"/>
                </w:tcBorders>
              </w:tcPr>
              <w:p w14:paraId="68978026" w14:textId="77777777">
                <w:pPr>
                  <w:jc w:val="both"/>
                  <w:rPr>
                    <w:color w:val="000000"/>
                    <w:sz w:val="20"/>
                  </w:rPr>
                </w:pPr>
                <w:r>
                  <w:rPr>
                    <w:color w:val="000000"/>
                    <w:sz w:val="20"/>
                  </w:rPr>
                  <w:t>Visiškas</w:t>
                </w:r>
              </w:p>
              <w:p w14:paraId="171C11DE" w14:textId="77777777">
                <w:pPr>
                  <w:jc w:val="both"/>
                  <w:rPr>
                    <w:color w:val="000000"/>
                    <w:sz w:val="20"/>
                  </w:rPr>
                </w:pPr>
              </w:p>
              <w:p w14:paraId="3E27C6C3" w14:textId="5A015DB6">
                <w:pPr>
                  <w:jc w:val="both"/>
                  <w:rPr>
                    <w:color w:val="000000"/>
                    <w:sz w:val="20"/>
                  </w:rPr>
                </w:pPr>
              </w:p>
            </w:tc>
          </w:tr>
          <w:tr w14:paraId="08B7B128" w14:textId="77777777">
            <w:tc>
              <w:tcPr>
                <w:tcW w:w="8391" w:type="dxa"/>
                <w:tcBorders>
                  <w:top w:val="single" w:sz="4" w:space="0" w:color="auto"/>
                  <w:bottom w:val="single" w:sz="4" w:space="0" w:color="auto"/>
                </w:tcBorders>
              </w:tcPr>
              <w:p w14:paraId="15218782" w14:textId="5A2545F1">
                <w:pPr>
                  <w:jc w:val="both"/>
                  <w:rPr>
                    <w:bCs/>
                    <w:sz w:val="20"/>
                  </w:rPr>
                </w:pPr>
                <w:r>
                  <w:rPr>
                    <w:bCs/>
                    <w:sz w:val="20"/>
                  </w:rPr>
                  <w:t>4. 1 dalyje nurodytą informaciją darbdaviai pateikia per pagrįstą laikotarpį, tačiau bet kuriuo atveju per du mėnesius nuo prašymo pateikimo dienos.</w:t>
                </w:r>
              </w:p>
            </w:tc>
            <w:tc>
              <w:tcPr>
                <w:tcW w:w="5347" w:type="dxa"/>
                <w:tcBorders>
                  <w:top w:val="single" w:sz="4" w:space="0" w:color="auto"/>
                  <w:bottom w:val="single" w:sz="4" w:space="0" w:color="auto"/>
                </w:tcBorders>
              </w:tcPr>
              <w:p w14:paraId="04BF9030" w14:textId="69814B45">
                <w:pPr>
                  <w:jc w:val="both"/>
                  <w:rPr>
                    <w:b/>
                    <w:bCs/>
                    <w:sz w:val="20"/>
                  </w:rPr>
                </w:pPr>
                <w:r>
                  <w:rPr>
                    <w:b/>
                    <w:bCs/>
                    <w:sz w:val="20"/>
                  </w:rPr>
                  <w:t>DK projektas</w:t>
                </w:r>
              </w:p>
              <w:p w14:paraId="2A557E0A" w14:textId="161C9BB5">
                <w:pPr>
                  <w:jc w:val="both"/>
                  <w:rPr>
                    <w:b/>
                    <w:sz w:val="20"/>
                    <w:lang w:eastAsia="lt-LT"/>
                  </w:rPr>
                </w:pPr>
                <w:r>
                  <w:rPr>
                    <w:b/>
                    <w:sz w:val="20"/>
                    <w:lang w:eastAsia="lt-LT"/>
                  </w:rPr>
                  <w:t>16 straipsnis. 148 straipsnio pakeitimas</w:t>
                </w:r>
              </w:p>
              <w:p w14:paraId="2CD121F2" w14:textId="77777777">
                <w:pPr>
                  <w:jc w:val="both"/>
                  <w:rPr>
                    <w:b/>
                    <w:sz w:val="20"/>
                    <w:lang w:eastAsia="lt-LT"/>
                  </w:rPr>
                </w:pPr>
                <w:r>
                  <w:rPr>
                    <w:b/>
                    <w:sz w:val="20"/>
                    <w:lang w:eastAsia="lt-LT"/>
                  </w:rPr>
                  <w:t>Papildyti 148 straipsnį 4-9 dalimis:</w:t>
                </w:r>
              </w:p>
              <w:p w14:paraId="2622CBFC" w14:textId="1E348EFA">
                <w:pPr>
                  <w:jc w:val="both"/>
                  <w:rPr>
                    <w:b/>
                    <w:sz w:val="20"/>
                  </w:rPr>
                </w:pPr>
                <w:r>
                  <w:rPr>
                    <w:b/>
                    <w:sz w:val="20"/>
                  </w:rPr>
                  <w:t>&lt;...&gt;</w:t>
                </w:r>
              </w:p>
              <w:p w14:paraId="1E292D32" w14:textId="77777777">
                <w:pPr>
                  <w:jc w:val="both"/>
                  <w:rPr>
                    <w:b/>
                    <w:bCs/>
                    <w:color w:val="000000"/>
                    <w:sz w:val="20"/>
                    <w:lang w:eastAsia="lt-LT"/>
                  </w:rPr>
                </w:pPr>
                <w:r>
                  <w:rPr>
                    <w:b/>
                    <w:bCs/>
                    <w:color w:val="000000"/>
                    <w:sz w:val="20"/>
                    <w:lang w:eastAsia="lt-LT"/>
                  </w:rPr>
                  <w:t>5. Darbdavys darbuotojo prašymu privalo iš Valstybinio socialinio draudimo fondo valdybos pagal šio kodekso 23 straipsnio 5 dalį gautus duomenis apie tokius rodiklius kaip darbuotojo metinis darbo užmokestis, mėnesinis vidutinis valandinis ir metų vidutinis valandinis darbo užmokestis, taip pat darbdavio darbuotojų vidutinis metinis darbo užmokestis, mėnesio vidutinis valandinis ir metų vidutinis valandinis darbo užmokestis pagal lytį toje pačioje pareigybių grupėje, kuriai priskirta jo pareigybė, pateikti jam raštu per vieną mėnesį nuo jo prašymo pateikti duomenis apie šio straipsnio 4 dalyje nurodytus rodiklius gavimo dienos. Jei iš darbdavio raštu gauti duomenys apie šio straipsnio 4 dalyje nurodytus rodiklius yra netikslūs ar neišsamūs, darbuotojas turi teisę asmeniškai ar per darbuotojų atstovus reikalauti, kad darbdavys pateiktų papildomų paaiškinimų, ir gauti pagrįstą darbdavio atsakymą. Papildomų paaiškinimų teikimas negali trukti ilgiau kaip 2 mėnesius nuo darbuotojo prašymo pateikti duomenis apie šio straipsnio 4 dalyje nurodytus rodiklius gavimo dienos. Laikinieji darbuotojai duomenis apie šio straipsnio 4 dalyje nurodytus rodiklius ir paaiškinimus gali prašyti pateikti laikinojo darbo įmonę arba laikinojo darbo naudotoją šioje dalyje nurodytais terminais.</w:t>
                </w:r>
              </w:p>
              <w:p w14:paraId="425853C7" w14:textId="36921B2C">
                <w:pPr>
                  <w:jc w:val="both"/>
                  <w:rPr>
                    <w:b/>
                    <w:bCs/>
                    <w:color w:val="000000"/>
                    <w:sz w:val="20"/>
                    <w:lang w:eastAsia="lt-LT"/>
                  </w:rPr>
                </w:pPr>
                <w:r>
                  <w:rPr>
                    <w:b/>
                    <w:bCs/>
                    <w:color w:val="000000"/>
                    <w:sz w:val="20"/>
                    <w:lang w:eastAsia="lt-LT"/>
                  </w:rPr>
                  <w:t>&lt;...&gt;“</w:t>
                </w:r>
              </w:p>
            </w:tc>
            <w:tc>
              <w:tcPr>
                <w:tcW w:w="1572" w:type="dxa"/>
                <w:tcBorders>
                  <w:top w:val="single" w:sz="4" w:space="0" w:color="auto"/>
                  <w:bottom w:val="single" w:sz="4" w:space="0" w:color="auto"/>
                </w:tcBorders>
              </w:tcPr>
              <w:p w14:paraId="79C8624F" w14:textId="77777777">
                <w:pPr>
                  <w:jc w:val="both"/>
                  <w:rPr>
                    <w:color w:val="000000"/>
                    <w:sz w:val="20"/>
                  </w:rPr>
                </w:pPr>
                <w:r>
                  <w:rPr>
                    <w:color w:val="000000"/>
                    <w:sz w:val="20"/>
                  </w:rPr>
                  <w:t>Visiškas</w:t>
                </w:r>
              </w:p>
              <w:p w14:paraId="1770752D" w14:textId="77777777">
                <w:pPr>
                  <w:jc w:val="both"/>
                  <w:rPr>
                    <w:color w:val="000000"/>
                    <w:sz w:val="20"/>
                  </w:rPr>
                </w:pPr>
              </w:p>
              <w:p w14:paraId="5192D30E" w14:textId="182D976B">
                <w:pPr>
                  <w:jc w:val="both"/>
                  <w:rPr>
                    <w:color w:val="000000"/>
                    <w:sz w:val="20"/>
                    <w:highlight w:val="green"/>
                  </w:rPr>
                </w:pPr>
              </w:p>
            </w:tc>
          </w:tr>
          <w:tr w14:paraId="20AA2693" w14:textId="77777777">
            <w:tc>
              <w:tcPr>
                <w:tcW w:w="8391" w:type="dxa"/>
                <w:tcBorders>
                  <w:top w:val="single" w:sz="4" w:space="0" w:color="auto"/>
                  <w:bottom w:val="single" w:sz="4" w:space="0" w:color="auto"/>
                </w:tcBorders>
              </w:tcPr>
              <w:p w14:paraId="7FC28661" w14:textId="440F8A23">
                <w:pPr>
                  <w:jc w:val="both"/>
                  <w:rPr>
                    <w:bCs/>
                    <w:sz w:val="20"/>
                  </w:rPr>
                </w:pPr>
                <w:r>
                  <w:rPr>
                    <w:bCs/>
                    <w:sz w:val="20"/>
                  </w:rPr>
                  <w:t>5. Darbuotojams neužkertamas kelias atskleisti informaciją apie savo darbo užmokestį siekiant užtikrinti vienodo darbo užmokesčio principo laikymąsi. Visų pirma, valstybės narės nustato priemones, kuriomis būtų draudžiamos sutarčių sąlygos, kuriomis siekiama apriboti darbuotojų teisę atskleisti informaciją apie savo darbo užmokestį.</w:t>
                </w:r>
              </w:p>
            </w:tc>
            <w:tc>
              <w:tcPr>
                <w:tcW w:w="5347" w:type="dxa"/>
                <w:tcBorders>
                  <w:top w:val="single" w:sz="4" w:space="0" w:color="auto"/>
                  <w:bottom w:val="single" w:sz="4" w:space="0" w:color="auto"/>
                </w:tcBorders>
              </w:tcPr>
              <w:p w14:paraId="7095508D" w14:textId="77777777">
                <w:pPr>
                  <w:jc w:val="both"/>
                  <w:rPr>
                    <w:b/>
                    <w:bCs/>
                    <w:sz w:val="20"/>
                    <w:lang w:eastAsia="lt-LT"/>
                  </w:rPr>
                </w:pPr>
                <w:r>
                  <w:rPr>
                    <w:b/>
                    <w:bCs/>
                    <w:sz w:val="20"/>
                    <w:lang w:eastAsia="lt-LT"/>
                  </w:rPr>
                  <w:t>DK projektas</w:t>
                </w:r>
              </w:p>
              <w:p w14:paraId="7B08611D" w14:textId="77777777">
                <w:pPr>
                  <w:jc w:val="both"/>
                  <w:rPr>
                    <w:b/>
                    <w:bCs/>
                    <w:sz w:val="20"/>
                  </w:rPr>
                </w:pPr>
                <w:r>
                  <w:rPr>
                    <w:b/>
                    <w:bCs/>
                    <w:sz w:val="20"/>
                  </w:rPr>
                  <w:t>3 straipsnis. 39 straipsnio pakeitimas</w:t>
                </w:r>
              </w:p>
              <w:p w14:paraId="0B829AFD" w14:textId="77777777">
                <w:pPr>
                  <w:jc w:val="both"/>
                  <w:rPr>
                    <w:b/>
                    <w:bCs/>
                    <w:sz w:val="20"/>
                  </w:rPr>
                </w:pPr>
                <w:r>
                  <w:rPr>
                    <w:b/>
                    <w:bCs/>
                    <w:sz w:val="20"/>
                  </w:rPr>
                  <w:t>Pakeisti 39 straipsnio 1 dalį ir ją išdėstyti taip:</w:t>
                </w:r>
              </w:p>
              <w:p w14:paraId="64AA37F7" w14:textId="4095C991">
                <w:pPr>
                  <w:jc w:val="both"/>
                  <w:rPr>
                    <w:b/>
                    <w:bCs/>
                    <w:sz w:val="20"/>
                    <w:lang w:eastAsia="lt-LT"/>
                  </w:rPr>
                </w:pPr>
                <w:r>
                  <w:rPr>
                    <w:b/>
                    <w:bCs/>
                    <w:sz w:val="20"/>
                    <w:lang w:eastAsia="lt-LT"/>
                  </w:rPr>
                  <w:t>„1.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susitarime dėl konfidencialios informacijos apsaugos įvardys konfidencialia. Konfidencialia informacija negali būti laikomi viešai prieinami duomenys, taip pat duomenys, kurie pagal teisės aktus ar pagal jų paskirtį negali būti laikomi konfidencialiais ar kurių apsaugai darbdavys nesiima protingų priemonių. Konfidencialia informacija taip pat negali būti laikomi duomenys apie savo darbo užmokestį, jei darbuotojas tokius duomenis atskleidžia siekdamas užtikrinti savo teisę už tokį patį ar vienodos vertės darbą gauti vienodą darbo užmokestį. Konfidencialios informacijos atskleidimo draudimas netaikomas, jei valstybės ar savivaldybės institucijai, įstaigai teikiama informacija apie darbdavio daromus darbo ar kitų teisės normų pažeidimus, taip pat jei informacija teikiama teismui ar kitam ginčus nagrinėjančiam organui.“</w:t>
                </w:r>
              </w:p>
            </w:tc>
            <w:tc>
              <w:tcPr>
                <w:tcW w:w="1572" w:type="dxa"/>
                <w:tcBorders>
                  <w:top w:val="single" w:sz="4" w:space="0" w:color="auto"/>
                  <w:bottom w:val="single" w:sz="4" w:space="0" w:color="auto"/>
                </w:tcBorders>
              </w:tcPr>
              <w:p w14:paraId="0B4AEDA4" w14:textId="04FDA382">
                <w:pPr>
                  <w:jc w:val="both"/>
                  <w:rPr>
                    <w:color w:val="000000"/>
                    <w:sz w:val="20"/>
                  </w:rPr>
                </w:pPr>
                <w:r>
                  <w:rPr>
                    <w:color w:val="000000"/>
                    <w:sz w:val="20"/>
                  </w:rPr>
                  <w:t>Visiškas</w:t>
                </w:r>
              </w:p>
              <w:p w14:paraId="59A42490" w14:textId="77777777">
                <w:pPr>
                  <w:jc w:val="both"/>
                  <w:rPr>
                    <w:color w:val="000000"/>
                    <w:sz w:val="20"/>
                  </w:rPr>
                </w:pPr>
              </w:p>
              <w:p w14:paraId="7131DAF7" w14:textId="2EE6AB50">
                <w:pPr>
                  <w:jc w:val="both"/>
                  <w:rPr>
                    <w:color w:val="000000"/>
                    <w:sz w:val="20"/>
                  </w:rPr>
                </w:pPr>
              </w:p>
            </w:tc>
          </w:tr>
          <w:tr w14:paraId="34DA6D3A" w14:textId="77777777">
            <w:tc>
              <w:tcPr>
                <w:tcW w:w="8391" w:type="dxa"/>
                <w:tcBorders>
                  <w:top w:val="single" w:sz="4" w:space="0" w:color="auto"/>
                  <w:bottom w:val="single" w:sz="4" w:space="0" w:color="auto"/>
                </w:tcBorders>
              </w:tcPr>
              <w:p w14:paraId="35000C65" w14:textId="72676B4F">
                <w:pPr>
                  <w:jc w:val="both"/>
                  <w:rPr>
                    <w:bCs/>
                    <w:sz w:val="20"/>
                  </w:rPr>
                </w:pPr>
                <w:r>
                  <w:rPr>
                    <w:bCs/>
                    <w:sz w:val="20"/>
                  </w:rPr>
                  <w:t xml:space="preserve">6. Darbdaviai gali reikalauti, kad darbuotojai, gavę informacijos pagal šį straipsnį, išskyrus informaciją apie savo darbo užmokestį ar darbo užmokesčio dydį, tos informacijos nenaudotų jokiais kitais tikslais,  išskyrus naudojimosi savo teise į vienodą darbo užmokestį tikslą.</w:t>
                </w:r>
              </w:p>
            </w:tc>
            <w:tc>
              <w:tcPr>
                <w:tcW w:w="5347" w:type="dxa"/>
                <w:tcBorders>
                  <w:top w:val="single" w:sz="4" w:space="0" w:color="auto"/>
                  <w:bottom w:val="single" w:sz="4" w:space="0" w:color="auto"/>
                </w:tcBorders>
              </w:tcPr>
              <w:p w14:paraId="6E690E82" w14:textId="23FA3C08">
                <w:pPr>
                  <w:jc w:val="both"/>
                  <w:rPr>
                    <w:b/>
                    <w:bCs/>
                    <w:sz w:val="20"/>
                    <w:lang w:eastAsia="lt-LT"/>
                  </w:rPr>
                </w:pPr>
                <w:r>
                  <w:rPr>
                    <w:b/>
                    <w:bCs/>
                    <w:sz w:val="20"/>
                    <w:lang w:eastAsia="lt-LT"/>
                  </w:rPr>
                  <w:t>DK projektas</w:t>
                </w:r>
              </w:p>
              <w:p w14:paraId="4F5E7987" w14:textId="2DE53A8F">
                <w:pPr>
                  <w:jc w:val="both"/>
                  <w:rPr>
                    <w:b/>
                    <w:bCs/>
                    <w:sz w:val="20"/>
                    <w:lang w:eastAsia="lt-LT"/>
                  </w:rPr>
                </w:pPr>
                <w:r>
                  <w:rPr>
                    <w:b/>
                    <w:bCs/>
                    <w:sz w:val="20"/>
                    <w:lang w:eastAsia="lt-LT"/>
                  </w:rPr>
                  <w:t>16 straipsnis. 148 straipsnio pakeitimas</w:t>
                </w:r>
              </w:p>
              <w:p w14:paraId="766903E2" w14:textId="77777777">
                <w:pPr>
                  <w:jc w:val="both"/>
                  <w:rPr>
                    <w:b/>
                    <w:bCs/>
                    <w:sz w:val="20"/>
                    <w:lang w:eastAsia="lt-LT"/>
                  </w:rPr>
                </w:pPr>
                <w:r>
                  <w:rPr>
                    <w:b/>
                    <w:bCs/>
                    <w:sz w:val="20"/>
                    <w:lang w:eastAsia="lt-LT"/>
                  </w:rPr>
                  <w:t>Papildyti 148 straipsnį 4-9 dalimis:</w:t>
                </w:r>
              </w:p>
              <w:p w14:paraId="79C7D1AF" w14:textId="77777777">
                <w:pPr>
                  <w:jc w:val="both"/>
                  <w:rPr>
                    <w:b/>
                    <w:bCs/>
                    <w:sz w:val="20"/>
                    <w:lang w:eastAsia="lt-LT"/>
                  </w:rPr>
                </w:pPr>
                <w:r>
                  <w:rPr>
                    <w:b/>
                    <w:bCs/>
                    <w:sz w:val="20"/>
                    <w:lang w:eastAsia="lt-LT"/>
                  </w:rPr>
                  <w:t>&lt;...&gt;</w:t>
                </w:r>
              </w:p>
              <w:p w14:paraId="08E4DAE0" w14:textId="77777777">
                <w:pPr>
                  <w:jc w:val="both"/>
                  <w:rPr>
                    <w:b/>
                    <w:bCs/>
                    <w:sz w:val="20"/>
                    <w:lang w:eastAsia="lt-LT"/>
                  </w:rPr>
                </w:pPr>
                <w:r>
                  <w:rPr>
                    <w:b/>
                    <w:bCs/>
                    <w:sz w:val="20"/>
                    <w:lang w:eastAsia="lt-LT"/>
                  </w:rPr>
                  <w:t>8. Darbdaviai turi teisę reikalauti, kad darbuotojai, gavę duomenis apie šio straipsnio 4 dalyje nurodytus rodiklius, išskyrus duomenis apie savo darbo užmokestį, jų nenaudotų jokiais kitais tikslais, tik teisei į vienodą darbo užmokestį už tokį patį ar vienodos vertės darbą įgyvendinti. Šio reikalavimo nesilaikymas gali būti laikomas darbo pareigų, kurias nustato darbo teisės normos ar darbo sutartis, pažeidimu.</w:t>
                </w:r>
              </w:p>
              <w:p w14:paraId="5DE84B1E" w14:textId="147C8AC8">
                <w:pPr>
                  <w:jc w:val="both"/>
                  <w:rPr>
                    <w:b/>
                    <w:bCs/>
                    <w:sz w:val="20"/>
                    <w:lang w:eastAsia="lt-LT"/>
                  </w:rPr>
                </w:pPr>
                <w:r>
                  <w:rPr>
                    <w:b/>
                    <w:bCs/>
                    <w:sz w:val="20"/>
                    <w:lang w:eastAsia="lt-LT"/>
                  </w:rPr>
                  <w:t>&lt;...&gt;“</w:t>
                </w:r>
              </w:p>
            </w:tc>
            <w:tc>
              <w:tcPr>
                <w:tcW w:w="1572" w:type="dxa"/>
                <w:tcBorders>
                  <w:top w:val="single" w:sz="4" w:space="0" w:color="auto"/>
                  <w:bottom w:val="single" w:sz="4" w:space="0" w:color="auto"/>
                </w:tcBorders>
              </w:tcPr>
              <w:p w14:paraId="3F669968" w14:textId="04FC3F9A">
                <w:pPr>
                  <w:jc w:val="both"/>
                  <w:rPr>
                    <w:color w:val="000000"/>
                    <w:sz w:val="20"/>
                  </w:rPr>
                </w:pPr>
                <w:r>
                  <w:rPr>
                    <w:color w:val="000000"/>
                    <w:sz w:val="20"/>
                  </w:rPr>
                  <w:t>Visiškas</w:t>
                </w:r>
              </w:p>
              <w:p w14:paraId="52198BC2" w14:textId="77777777">
                <w:pPr>
                  <w:jc w:val="both"/>
                  <w:rPr>
                    <w:color w:val="000000"/>
                    <w:sz w:val="20"/>
                  </w:rPr>
                </w:pPr>
              </w:p>
              <w:p w14:paraId="3396A23A" w14:textId="0E634D21">
                <w:pPr>
                  <w:jc w:val="both"/>
                  <w:rPr>
                    <w:color w:val="000000"/>
                    <w:sz w:val="20"/>
                  </w:rPr>
                </w:pPr>
              </w:p>
            </w:tc>
          </w:tr>
          <w:tr w14:paraId="2A3F9B1D" w14:textId="77777777">
            <w:tc>
              <w:tcPr>
                <w:tcW w:w="15310" w:type="dxa"/>
                <w:gridSpan w:val="3"/>
                <w:tcBorders>
                  <w:top w:val="single" w:sz="4" w:space="0" w:color="auto"/>
                  <w:bottom w:val="single" w:sz="4" w:space="0" w:color="auto"/>
                </w:tcBorders>
                <w:shd w:val="clear" w:color="auto" w:fill="D6E3BC" w:themeFill="accent3" w:themeFillTint="66"/>
              </w:tcPr>
              <w:p w14:paraId="71321AEB" w14:textId="26A9E695">
                <w:pPr>
                  <w:jc w:val="both"/>
                  <w:rPr>
                    <w:color w:val="000000"/>
                    <w:sz w:val="20"/>
                  </w:rPr>
                </w:pPr>
                <w:r>
                  <w:rPr>
                    <w:b/>
                    <w:color w:val="000000"/>
                    <w:sz w:val="20"/>
                  </w:rPr>
                  <w:t>8 straipsnis. Informacijos prieinamumas</w:t>
                </w:r>
              </w:p>
            </w:tc>
          </w:tr>
          <w:tr w14:paraId="2A55959E" w14:textId="77777777">
            <w:tc>
              <w:tcPr>
                <w:tcW w:w="8391" w:type="dxa"/>
                <w:tcBorders>
                  <w:top w:val="single" w:sz="4" w:space="0" w:color="auto"/>
                  <w:bottom w:val="single" w:sz="4" w:space="0" w:color="auto"/>
                </w:tcBorders>
              </w:tcPr>
              <w:p w14:paraId="06BE26E7" w14:textId="6728A108">
                <w:pPr>
                  <w:jc w:val="both"/>
                  <w:rPr>
                    <w:bCs/>
                    <w:sz w:val="20"/>
                  </w:rPr>
                </w:pPr>
                <w:r>
                  <w:rPr>
                    <w:bCs/>
                    <w:sz w:val="20"/>
                  </w:rPr>
                  <w:t>Darbdaviai visą informaciją, kuria dalijamasi su darbuotojais arba įsidarbinti norinčiais asmenimis pagal 5, 6 ir 7 straipsnius, teikia tokia forma, kuri būtų prieinama neįgaliesiems ir kuria būtų atsižvelgiama į jų konkrečius poreikius.</w:t>
                </w:r>
              </w:p>
            </w:tc>
            <w:tc>
              <w:tcPr>
                <w:tcW w:w="5347" w:type="dxa"/>
                <w:tcBorders>
                  <w:top w:val="single" w:sz="4" w:space="0" w:color="auto"/>
                  <w:bottom w:val="single" w:sz="4" w:space="0" w:color="auto"/>
                </w:tcBorders>
              </w:tcPr>
              <w:p w14:paraId="1C698305" w14:textId="378D8AE4">
                <w:pPr>
                  <w:jc w:val="both"/>
                  <w:rPr>
                    <w:b/>
                    <w:bCs/>
                    <w:color w:val="000000"/>
                    <w:sz w:val="20"/>
                  </w:rPr>
                </w:pPr>
                <w:r>
                  <w:rPr>
                    <w:b/>
                    <w:bCs/>
                    <w:color w:val="000000"/>
                    <w:sz w:val="20"/>
                  </w:rPr>
                  <w:t>DK</w:t>
                </w:r>
              </w:p>
              <w:p w14:paraId="5BAA1234" w14:textId="1A3F1237">
                <w:pPr>
                  <w:jc w:val="both"/>
                  <w:rPr>
                    <w:b/>
                    <w:bCs/>
                    <w:color w:val="000000"/>
                    <w:sz w:val="20"/>
                  </w:rPr>
                </w:pPr>
                <w:r>
                  <w:rPr>
                    <w:b/>
                    <w:bCs/>
                    <w:color w:val="000000"/>
                    <w:sz w:val="20"/>
                  </w:rPr>
                  <w:t>25 straipsnis. Teisingas informavimas ir konfidencialios informacijos apsauga</w:t>
                </w:r>
              </w:p>
              <w:p w14:paraId="703CE79F" w14:textId="77777777">
                <w:pPr>
                  <w:jc w:val="both"/>
                  <w:rPr>
                    <w:color w:val="000000"/>
                    <w:sz w:val="20"/>
                  </w:rPr>
                </w:pPr>
                <w:r>
                  <w:rPr>
                    <w:color w:val="000000"/>
                    <w:sz w:val="20"/>
                  </w:rPr>
                  <w:t>&lt;...&gt;</w:t>
                </w:r>
              </w:p>
              <w:p w14:paraId="2408EEBE" w14:textId="77777777">
                <w:pPr>
                  <w:jc w:val="both"/>
                  <w:rPr>
                    <w:color w:val="000000"/>
                    <w:sz w:val="20"/>
                  </w:rPr>
                </w:pPr>
                <w:r>
                  <w:rPr>
                    <w:color w:val="000000"/>
                    <w:sz w:val="20"/>
                  </w:rPr>
                  <w:t>2. Darbo sutarties šalies kitai darbo sutarties šaliai, taip pat norinčiam įsidarbinti asmeniui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14:paraId="30024D51" w14:textId="78CB22F4">
                <w:pPr>
                  <w:jc w:val="both"/>
                  <w:rPr>
                    <w:color w:val="000000"/>
                    <w:sz w:val="20"/>
                  </w:rPr>
                </w:pPr>
                <w:r>
                  <w:rPr>
                    <w:i/>
                    <w:iCs/>
                    <w:color w:val="000000"/>
                    <w:sz w:val="20"/>
                  </w:rPr>
                  <w:t>Straipsnio dalies pakeitimai:</w:t>
                </w:r>
              </w:p>
              <w:p w14:paraId="537B30D2" w14:textId="56A4283D">
                <w:pPr>
                  <w:rPr>
                    <w:color w:val="000000"/>
                    <w:sz w:val="20"/>
                  </w:rPr>
                </w:pPr>
                <w:r>
                  <w:rPr>
                    <w:i/>
                    <w:iCs/>
                    <w:color w:val="000000"/>
                    <w:sz w:val="20"/>
                  </w:rPr>
                  <w:t>Nr. </w:t>
                </w:r>
                <w:hyperlink r:id="rId25" w:tgtFrame="_parent" w:history="1">
                  <w:r>
                    <w:rPr>
                      <w:i/>
                      <w:iCs/>
                      <w:color w:val="0000FF"/>
                      <w:sz w:val="20"/>
                      <w:u w:val="single"/>
                    </w:rPr>
                    <w:t>XIV-1187</w:t>
                  </w:r>
                </w:hyperlink>
                <w:r>
                  <w:rPr>
                    <w:i/>
                    <w:iCs/>
                    <w:color w:val="000000"/>
                    <w:sz w:val="20"/>
                  </w:rPr>
                  <w:t>, 2022-06-28, paskelbta TAR 2022-07-11, i. k. 2022-15174</w:t>
                </w:r>
              </w:p>
              <w:p w14:paraId="2C46974B" w14:textId="7C869E7E">
                <w:pPr>
                  <w:jc w:val="both"/>
                  <w:rPr>
                    <w:color w:val="000000"/>
                    <w:sz w:val="20"/>
                  </w:rPr>
                </w:pPr>
                <w:r>
                  <w:rPr>
                    <w:color w:val="000000"/>
                    <w:sz w:val="20"/>
                  </w:rPr>
                  <w:t>&lt;...&gt;</w:t>
                </w:r>
              </w:p>
              <w:p w14:paraId="6C6C04DF" w14:textId="77777777">
                <w:pPr>
                  <w:jc w:val="both"/>
                  <w:rPr>
                    <w:color w:val="000000"/>
                    <w:sz w:val="20"/>
                  </w:rPr>
                </w:pPr>
                <w:r>
                  <w:rPr>
                    <w:color w:val="000000"/>
                    <w:sz w:val="20"/>
                  </w:rPr>
                  <w:t>4. Šio straipsnio 1 ir 2 dalyse nurodytais atvejais informacija turi būti perduota lietuvių kalba, o jei darbuotojas yra užsienietis arba asmuo su negalia, – lietuvių kalba ir kita šiam darbuotojui suprantama kalba.</w:t>
                </w:r>
              </w:p>
              <w:p w14:paraId="4F44A042" w14:textId="77777777">
                <w:pPr>
                  <w:jc w:val="both"/>
                  <w:rPr>
                    <w:color w:val="000000"/>
                    <w:sz w:val="20"/>
                    <w:u w:val="single"/>
                  </w:rPr>
                </w:pPr>
                <w:r>
                  <w:rPr>
                    <w:i/>
                    <w:iCs/>
                    <w:color w:val="000000"/>
                    <w:sz w:val="20"/>
                    <w:u w:val="single"/>
                  </w:rPr>
                  <w:t>Straipsnio pakeitimai:</w:t>
                </w:r>
              </w:p>
              <w:p w14:paraId="47E723E4" w14:textId="759CF769">
                <w:pPr>
                  <w:rPr>
                    <w:color w:val="000000"/>
                    <w:sz w:val="20"/>
                    <w:u w:val="single"/>
                  </w:rPr>
                </w:pPr>
                <w:r>
                  <w:rPr>
                    <w:i/>
                    <w:iCs/>
                    <w:color w:val="000000"/>
                    <w:sz w:val="20"/>
                    <w:u w:val="single"/>
                  </w:rPr>
                  <w:t>Nr. </w:t>
                </w:r>
                <w:hyperlink r:id="rId26" w:tgtFrame="_parent" w:history="1">
                  <w:r>
                    <w:rPr>
                      <w:i/>
                      <w:iCs/>
                      <w:color w:val="0000FF"/>
                      <w:sz w:val="20"/>
                      <w:u w:val="single"/>
                    </w:rPr>
                    <w:t>XIV-1189</w:t>
                  </w:r>
                </w:hyperlink>
                <w:r>
                  <w:rPr>
                    <w:i/>
                    <w:iCs/>
                    <w:color w:val="000000"/>
                    <w:sz w:val="20"/>
                    <w:u w:val="single"/>
                  </w:rPr>
                  <w:t>, 2022-06-28, paskelbta TAR 2022-07-11, i. k. 2022-15178</w:t>
                </w:r>
              </w:p>
            </w:tc>
            <w:tc>
              <w:tcPr>
                <w:tcW w:w="1572" w:type="dxa"/>
                <w:tcBorders>
                  <w:top w:val="single" w:sz="4" w:space="0" w:color="auto"/>
                  <w:bottom w:val="single" w:sz="4" w:space="0" w:color="auto"/>
                </w:tcBorders>
              </w:tcPr>
              <w:p w14:paraId="0958AF9B" w14:textId="012A4339">
                <w:pPr>
                  <w:jc w:val="both"/>
                  <w:rPr>
                    <w:color w:val="000000"/>
                    <w:sz w:val="20"/>
                  </w:rPr>
                </w:pPr>
                <w:r>
                  <w:rPr>
                    <w:color w:val="000000"/>
                    <w:sz w:val="20"/>
                  </w:rPr>
                  <w:t>Visiškas</w:t>
                </w:r>
              </w:p>
            </w:tc>
          </w:tr>
          <w:tr w14:paraId="4F71A3B2" w14:textId="77777777">
            <w:tc>
              <w:tcPr>
                <w:tcW w:w="15310" w:type="dxa"/>
                <w:gridSpan w:val="3"/>
                <w:tcBorders>
                  <w:top w:val="single" w:sz="4" w:space="0" w:color="auto"/>
                  <w:bottom w:val="single" w:sz="4" w:space="0" w:color="auto"/>
                </w:tcBorders>
                <w:shd w:val="clear" w:color="auto" w:fill="D6E3BC" w:themeFill="accent3" w:themeFillTint="66"/>
              </w:tcPr>
              <w:p w14:paraId="735CF00A" w14:textId="6826F3BD">
                <w:pPr>
                  <w:jc w:val="both"/>
                  <w:rPr>
                    <w:b/>
                    <w:color w:val="000000"/>
                    <w:sz w:val="20"/>
                  </w:rPr>
                </w:pPr>
                <w:r>
                  <w:rPr>
                    <w:b/>
                    <w:color w:val="000000"/>
                    <w:sz w:val="20"/>
                  </w:rPr>
                  <w:t>9 straipsnis. Pranešimas apie darbuotojų moterų ir darbuotojų vyrų darbo užmokesčio atotrūkį</w:t>
                </w:r>
              </w:p>
            </w:tc>
          </w:tr>
          <w:tr w14:paraId="23223567" w14:textId="77777777">
            <w:tc>
              <w:tcPr>
                <w:tcW w:w="8391" w:type="dxa"/>
                <w:tcBorders>
                  <w:top w:val="single" w:sz="4" w:space="0" w:color="auto"/>
                  <w:bottom w:val="single" w:sz="4" w:space="0" w:color="auto"/>
                </w:tcBorders>
              </w:tcPr>
              <w:p w14:paraId="26B2CD46" w14:textId="77777777">
                <w:pPr>
                  <w:jc w:val="both"/>
                  <w:rPr>
                    <w:bCs/>
                    <w:sz w:val="20"/>
                  </w:rPr>
                </w:pPr>
                <w:r>
                  <w:rPr>
                    <w:bCs/>
                    <w:sz w:val="20"/>
                  </w:rPr>
                  <w:t>1. Valstybės narės užtikrina, kad darbdaviai pateiktų toliau nurodytą informaciją apie savo organizaciją, kaip numatyta šiame straipsnyje:</w:t>
                </w:r>
              </w:p>
              <w:p w14:paraId="0127FCD7" w14:textId="0C864266">
                <w:pPr>
                  <w:jc w:val="both"/>
                  <w:rPr>
                    <w:bCs/>
                    <w:sz w:val="20"/>
                  </w:rPr>
                </w:pPr>
              </w:p>
            </w:tc>
            <w:tc>
              <w:tcPr>
                <w:tcW w:w="5347" w:type="dxa"/>
                <w:vMerge w:val="restart"/>
                <w:tcBorders>
                  <w:top w:val="single" w:sz="4" w:space="0" w:color="auto"/>
                </w:tcBorders>
                <w:shd w:val="clear" w:color="auto" w:fill="FFFFFF" w:themeFill="background1"/>
              </w:tcPr>
              <w:p w14:paraId="181E1485" w14:textId="5CC838E4">
                <w:pPr>
                  <w:jc w:val="both"/>
                  <w:rPr>
                    <w:b/>
                    <w:bCs/>
                    <w:sz w:val="20"/>
                  </w:rPr>
                </w:pPr>
                <w:r>
                  <w:rPr>
                    <w:b/>
                    <w:bCs/>
                    <w:sz w:val="20"/>
                  </w:rPr>
                  <w:t>DK projektas</w:t>
                </w:r>
              </w:p>
              <w:p w14:paraId="1662CF3F" w14:textId="77777777">
                <w:pPr>
                  <w:jc w:val="both"/>
                  <w:rPr>
                    <w:b/>
                    <w:bCs/>
                    <w:sz w:val="20"/>
                  </w:rPr>
                </w:pPr>
                <w:r>
                  <w:rPr>
                    <w:b/>
                    <w:bCs/>
                    <w:sz w:val="20"/>
                  </w:rPr>
                  <w:t>1 straipsnis. 23 straipsnio pakeitimas</w:t>
                </w:r>
              </w:p>
              <w:p w14:paraId="692254FF" w14:textId="67B56DC4">
                <w:pPr>
                  <w:jc w:val="both"/>
                  <w:rPr>
                    <w:b/>
                    <w:bCs/>
                    <w:sz w:val="20"/>
                  </w:rPr>
                </w:pPr>
                <w:r>
                  <w:rPr>
                    <w:b/>
                    <w:bCs/>
                    <w:sz w:val="20"/>
                  </w:rPr>
                  <w:t>Pakeisti 23 straipsnį ir jį išdėstyti taip:</w:t>
                </w:r>
              </w:p>
              <w:p w14:paraId="13E15340" w14:textId="2C5A3AA7">
                <w:pPr>
                  <w:jc w:val="both"/>
                  <w:rPr>
                    <w:b/>
                    <w:bCs/>
                    <w:sz w:val="20"/>
                  </w:rPr>
                </w:pPr>
                <w:r>
                  <w:rPr>
                    <w:b/>
                    <w:bCs/>
                    <w:sz w:val="20"/>
                  </w:rPr>
                  <w:t>„&lt;...&gt;</w:t>
                </w:r>
              </w:p>
              <w:p w14:paraId="582EB044" w14:textId="77777777">
                <w:pPr>
                  <w:jc w:val="both"/>
                  <w:rPr>
                    <w:b/>
                    <w:bCs/>
                    <w:sz w:val="20"/>
                  </w:rPr>
                </w:pPr>
                <w:r>
                  <w:rPr>
                    <w:b/>
                    <w:bCs/>
                    <w:sz w:val="20"/>
                  </w:rPr>
                  <w:t>3. Darbdaviai kas mėnesį Valstybinio socialinio draudimo fondo valdybai prie Socialinės apsaugos ir darbo ministerijos (toliau – Valstybinio socialinio draudimo fondo valdyba) privalo teikti duomenis apie darbuotojų (išskyrus pareigūnus, statutinius valstybės tarnautojus ir kitus asmenis, kurių duomenys (ar bent dalis jų) sudaro valstybės tarnybos paslaptį, taip pat darbuotojus, su kuriais šio kodekso 72 straipsnyje nustatyta tvarka sudaryta laikinojo darbo sutartis ir kurių darbo užmokesčio rodikliai teikiami šio straipsnio 8 dalyje nustatyta tvarka) darbo užmokestį, darbo laiką ir darbovietės ar darbdavio įmonės, įstaigos, organizacijos darbo apmokėjimo sistemoje nurodytą pareigybės grupę. Valstybinio socialinio draudimo fondo valdyba šioje dalyje nurodytus duomenis teikia Valstybinei darbo inspekcijai ir Lygių galimybių kontrolieriaus tarnybai.</w:t>
                </w:r>
              </w:p>
              <w:p w14:paraId="122D0436" w14:textId="014BC3F3">
                <w:pPr>
                  <w:jc w:val="both"/>
                  <w:rPr>
                    <w:b/>
                    <w:bCs/>
                    <w:sz w:val="20"/>
                  </w:rPr>
                </w:pPr>
                <w:r>
                  <w:rPr>
                    <w:b/>
                    <w:bCs/>
                    <w:sz w:val="20"/>
                  </w:rPr>
                  <w:t>4.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taip pat kas trejus metus – šiuos darbdavių, turinčių nuo 100 iki 249 apdraustųjų asmenų, draudžiamų pagal Lietuvos Respublikos valstybinio socialinio draudimo įstatymo 4 straipsnio 1 ir 2 dalis (toliau – apdraustieji asmenys), ir mažiau apdraustųjų asmenų turinčių darbdavių, pageidaujančių, kad jiems būtų taikomos tokios pačios šiame straipsnyje numatytų duomenų tvarkymo taisyklės, kaip ir darbdaviams, kurių apdraustųjų asmenų skaičius – nuo 100 iki 249, kasmet – darbdavių, kurių apdraustųjų asmenų skaičius – 250 ir daugiau, praėjusių kalendorinių metų rodiklius:</w:t>
                </w:r>
              </w:p>
              <w:p w14:paraId="6407477C" w14:textId="77777777">
                <w:pPr>
                  <w:jc w:val="both"/>
                  <w:rPr>
                    <w:b/>
                    <w:bCs/>
                    <w:sz w:val="20"/>
                  </w:rPr>
                </w:pPr>
                <w:r>
                  <w:rPr>
                    <w:b/>
                    <w:bCs/>
                    <w:sz w:val="20"/>
                  </w:rPr>
                  <w:t>1) vyrų ir moterų darbo užmokesčio atotrūkį;</w:t>
                </w:r>
              </w:p>
              <w:p w14:paraId="064E3EE9" w14:textId="77777777">
                <w:pPr>
                  <w:jc w:val="both"/>
                  <w:rPr>
                    <w:b/>
                    <w:bCs/>
                    <w:sz w:val="20"/>
                  </w:rPr>
                </w:pPr>
                <w:r>
                  <w:rPr>
                    <w:b/>
                    <w:bCs/>
                    <w:sz w:val="20"/>
                  </w:rPr>
                  <w:t>2) vyrų ir moterų darbo užmokesčio atotrūkį, įvertinus papildomą darbo užmokestį, nurodytą šio kodekso 139 straipsnio 2 dalies 2–6 punktuose ir 144 straipsnio 1–4 ir 7 dalyse (toliau – papildomas darbo užmokestis);</w:t>
                </w:r>
              </w:p>
              <w:p w14:paraId="02D0227A" w14:textId="77777777">
                <w:pPr>
                  <w:jc w:val="both"/>
                  <w:rPr>
                    <w:b/>
                    <w:bCs/>
                    <w:sz w:val="20"/>
                  </w:rPr>
                </w:pPr>
                <w:r>
                  <w:rPr>
                    <w:b/>
                    <w:bCs/>
                    <w:sz w:val="20"/>
                  </w:rPr>
                  <w:t>3) vyrų ir moterų darbo užmokesčio medianų atotrūkį;</w:t>
                </w:r>
              </w:p>
              <w:p w14:paraId="05C74DC8" w14:textId="77777777">
                <w:pPr>
                  <w:jc w:val="both"/>
                  <w:rPr>
                    <w:b/>
                    <w:bCs/>
                    <w:sz w:val="20"/>
                  </w:rPr>
                </w:pPr>
                <w:r>
                  <w:rPr>
                    <w:b/>
                    <w:bCs/>
                    <w:sz w:val="20"/>
                  </w:rPr>
                  <w:t>4) vyrų ir moterų darbo užmokesčio medianų atotrūkį, įvertinus papildomą darbo užmokestį;</w:t>
                </w:r>
              </w:p>
              <w:p w14:paraId="49FFB29F" w14:textId="77777777">
                <w:pPr>
                  <w:jc w:val="both"/>
                  <w:rPr>
                    <w:b/>
                    <w:bCs/>
                    <w:sz w:val="20"/>
                  </w:rPr>
                </w:pPr>
                <w:r>
                  <w:rPr>
                    <w:b/>
                    <w:bCs/>
                    <w:sz w:val="20"/>
                  </w:rPr>
                  <w:t>5) vyrų ir moterų, gaunančių papildomą darbo užmokestį, dalį;</w:t>
                </w:r>
              </w:p>
              <w:p w14:paraId="71745ABC" w14:textId="77777777">
                <w:pPr>
                  <w:jc w:val="both"/>
                  <w:rPr>
                    <w:b/>
                    <w:bCs/>
                    <w:sz w:val="20"/>
                  </w:rPr>
                </w:pPr>
                <w:r>
                  <w:rPr>
                    <w:b/>
                    <w:bCs/>
                    <w:sz w:val="20"/>
                  </w:rPr>
                  <w:t xml:space="preserve">6) vyrų ir moterų dalį kiekviename darbo užmokesčio kvartilyje; </w:t>
                </w:r>
              </w:p>
              <w:p w14:paraId="45450768" w14:textId="26FCB38F">
                <w:pPr>
                  <w:jc w:val="both"/>
                  <w:rPr>
                    <w:b/>
                    <w:bCs/>
                    <w:sz w:val="20"/>
                  </w:rPr>
                </w:pPr>
                <w:r>
                  <w:rPr>
                    <w:b/>
                    <w:bCs/>
                    <w:sz w:val="20"/>
                  </w:rPr>
                  <w:t>7) vyrų ir moterų darbo užmokesčio atotrūkį pagal bazinį (tarifinį) darbo užmokestį ir papildomą darbo užmokestį pagal pareigybių grupes.</w:t>
                </w:r>
              </w:p>
              <w:p w14:paraId="761B66A6" w14:textId="3EFCA73E">
                <w:pPr>
                  <w:jc w:val="both"/>
                  <w:rPr>
                    <w:b/>
                    <w:bCs/>
                    <w:sz w:val="20"/>
                  </w:rPr>
                </w:pPr>
                <w:r>
                  <w:rPr>
                    <w:b/>
                    <w:bCs/>
                    <w:sz w:val="20"/>
                  </w:rPr>
                  <w:t>&lt;...&gt;“</w:t>
                </w:r>
              </w:p>
            </w:tc>
            <w:tc>
              <w:tcPr>
                <w:tcW w:w="1572" w:type="dxa"/>
                <w:vMerge w:val="restart"/>
                <w:tcBorders>
                  <w:top w:val="single" w:sz="4" w:space="0" w:color="auto"/>
                </w:tcBorders>
              </w:tcPr>
              <w:p w14:paraId="143DD507" w14:textId="363471D1">
                <w:pPr>
                  <w:jc w:val="both"/>
                  <w:rPr>
                    <w:color w:val="000000"/>
                    <w:sz w:val="20"/>
                  </w:rPr>
                </w:pPr>
                <w:r>
                  <w:rPr>
                    <w:color w:val="000000"/>
                    <w:sz w:val="20"/>
                  </w:rPr>
                  <w:t>Dalinis, Visiškas, kai SADM priims poįstatyminius teisės aktus iki 2026-06-06</w:t>
                </w:r>
              </w:p>
            </w:tc>
          </w:tr>
          <w:tr w14:paraId="6F20B190" w14:textId="77777777">
            <w:tc>
              <w:tcPr>
                <w:tcW w:w="8391" w:type="dxa"/>
                <w:tcBorders>
                  <w:top w:val="single" w:sz="4" w:space="0" w:color="auto"/>
                  <w:bottom w:val="single" w:sz="4" w:space="0" w:color="auto"/>
                </w:tcBorders>
              </w:tcPr>
              <w:p w14:paraId="34FBAAE8" w14:textId="46C5A92A">
                <w:pPr>
                  <w:jc w:val="both"/>
                  <w:rPr>
                    <w:bCs/>
                    <w:sz w:val="20"/>
                  </w:rPr>
                </w:pPr>
                <w:r>
                  <w:rPr>
                    <w:bCs/>
                    <w:sz w:val="20"/>
                  </w:rPr>
                  <w:t>a) vyrų ir moterų darbo užmokesčio atotrūkį ;</w:t>
                </w:r>
              </w:p>
            </w:tc>
            <w:tc>
              <w:tcPr>
                <w:tcW w:w="5347" w:type="dxa"/>
                <w:vMerge/>
              </w:tcPr>
              <w:p w14:paraId="35D852DC" w14:textId="55BE6CDB">
                <w:pPr>
                  <w:jc w:val="both"/>
                  <w:rPr>
                    <w:b/>
                    <w:bCs/>
                    <w:sz w:val="20"/>
                  </w:rPr>
                </w:pPr>
              </w:p>
            </w:tc>
            <w:tc>
              <w:tcPr>
                <w:tcW w:w="1572" w:type="dxa"/>
                <w:vMerge/>
              </w:tcPr>
              <w:p w14:paraId="46EF8DD3" w14:textId="64CF36B4">
                <w:pPr>
                  <w:jc w:val="both"/>
                  <w:rPr>
                    <w:color w:val="000000"/>
                    <w:sz w:val="20"/>
                  </w:rPr>
                </w:pPr>
              </w:p>
            </w:tc>
          </w:tr>
          <w:tr w14:paraId="0EDA8E93" w14:textId="77777777">
            <w:tc>
              <w:tcPr>
                <w:tcW w:w="8391" w:type="dxa"/>
                <w:tcBorders>
                  <w:top w:val="single" w:sz="4" w:space="0" w:color="auto"/>
                  <w:bottom w:val="single" w:sz="4" w:space="0" w:color="auto"/>
                </w:tcBorders>
              </w:tcPr>
              <w:p w14:paraId="351629D3" w14:textId="51D0C331">
                <w:pPr>
                  <w:jc w:val="both"/>
                  <w:rPr>
                    <w:bCs/>
                    <w:sz w:val="20"/>
                  </w:rPr>
                </w:pPr>
                <w:r>
                  <w:rPr>
                    <w:bCs/>
                    <w:sz w:val="20"/>
                  </w:rPr>
                  <w:t>b) vyrų ir moterų darbo užmokesčio atotrūkį vertinant papildomus arba kintamuosius komponentus;</w:t>
                </w:r>
              </w:p>
            </w:tc>
            <w:tc>
              <w:tcPr>
                <w:tcW w:w="5347" w:type="dxa"/>
                <w:vMerge/>
              </w:tcPr>
              <w:p w14:paraId="2E4F61C4" w14:textId="4788D206">
                <w:pPr>
                  <w:jc w:val="both"/>
                  <w:rPr>
                    <w:sz w:val="20"/>
                  </w:rPr>
                </w:pPr>
              </w:p>
            </w:tc>
            <w:tc>
              <w:tcPr>
                <w:tcW w:w="1572" w:type="dxa"/>
                <w:vMerge/>
              </w:tcPr>
              <w:p w14:paraId="36665513" w14:textId="4E3B9643">
                <w:pPr>
                  <w:jc w:val="both"/>
                  <w:rPr>
                    <w:color w:val="000000"/>
                    <w:sz w:val="20"/>
                  </w:rPr>
                </w:pPr>
              </w:p>
            </w:tc>
          </w:tr>
          <w:tr w14:paraId="173C524D" w14:textId="77777777">
            <w:tc>
              <w:tcPr>
                <w:tcW w:w="8391" w:type="dxa"/>
                <w:tcBorders>
                  <w:top w:val="single" w:sz="4" w:space="0" w:color="auto"/>
                  <w:bottom w:val="single" w:sz="4" w:space="0" w:color="auto"/>
                </w:tcBorders>
              </w:tcPr>
              <w:p w14:paraId="0F9E525C" w14:textId="0A860CB6">
                <w:pPr>
                  <w:jc w:val="both"/>
                  <w:rPr>
                    <w:bCs/>
                    <w:sz w:val="20"/>
                  </w:rPr>
                </w:pPr>
                <w:r>
                  <w:rPr>
                    <w:bCs/>
                    <w:sz w:val="20"/>
                  </w:rPr>
                  <w:t>c) vyrų ir moterų darbo užmokesčio atotrūkio medianą;</w:t>
                </w:r>
              </w:p>
            </w:tc>
            <w:tc>
              <w:tcPr>
                <w:tcW w:w="5347" w:type="dxa"/>
                <w:vMerge/>
              </w:tcPr>
              <w:p w14:paraId="47CA3B5C" w14:textId="2C6358FC">
                <w:pPr>
                  <w:jc w:val="both"/>
                  <w:rPr>
                    <w:sz w:val="20"/>
                  </w:rPr>
                </w:pPr>
              </w:p>
            </w:tc>
            <w:tc>
              <w:tcPr>
                <w:tcW w:w="1572" w:type="dxa"/>
                <w:vMerge/>
              </w:tcPr>
              <w:p w14:paraId="34540B25" w14:textId="04F096B4">
                <w:pPr>
                  <w:jc w:val="both"/>
                  <w:rPr>
                    <w:color w:val="000000"/>
                    <w:sz w:val="20"/>
                  </w:rPr>
                </w:pPr>
              </w:p>
            </w:tc>
          </w:tr>
          <w:tr w14:paraId="732BBA87" w14:textId="77777777">
            <w:tc>
              <w:tcPr>
                <w:tcW w:w="8391" w:type="dxa"/>
                <w:tcBorders>
                  <w:top w:val="single" w:sz="4" w:space="0" w:color="auto"/>
                  <w:bottom w:val="single" w:sz="4" w:space="0" w:color="auto"/>
                </w:tcBorders>
              </w:tcPr>
              <w:p w14:paraId="1B314B4C" w14:textId="4D1BCA7B">
                <w:pPr>
                  <w:jc w:val="both"/>
                  <w:rPr>
                    <w:bCs/>
                    <w:sz w:val="20"/>
                  </w:rPr>
                </w:pPr>
                <w:r>
                  <w:rPr>
                    <w:bCs/>
                    <w:sz w:val="20"/>
                  </w:rPr>
                  <w:t>d) vyrų ir moterų darbo užmokesčio atotrūkio medianą vertinant papildomus arba kintamuosius komponentus;</w:t>
                </w:r>
              </w:p>
            </w:tc>
            <w:tc>
              <w:tcPr>
                <w:tcW w:w="5347" w:type="dxa"/>
                <w:vMerge/>
              </w:tcPr>
              <w:p w14:paraId="4D226645" w14:textId="13AF13BE">
                <w:pPr>
                  <w:jc w:val="both"/>
                  <w:rPr>
                    <w:sz w:val="20"/>
                  </w:rPr>
                </w:pPr>
              </w:p>
            </w:tc>
            <w:tc>
              <w:tcPr>
                <w:tcW w:w="1572" w:type="dxa"/>
                <w:vMerge/>
              </w:tcPr>
              <w:p w14:paraId="3BBA3FBB" w14:textId="12E7E71F">
                <w:pPr>
                  <w:jc w:val="both"/>
                  <w:rPr>
                    <w:color w:val="000000"/>
                    <w:sz w:val="20"/>
                  </w:rPr>
                </w:pPr>
              </w:p>
            </w:tc>
          </w:tr>
          <w:tr w14:paraId="68F10BA1" w14:textId="77777777">
            <w:tc>
              <w:tcPr>
                <w:tcW w:w="8391" w:type="dxa"/>
                <w:tcBorders>
                  <w:top w:val="single" w:sz="4" w:space="0" w:color="auto"/>
                  <w:bottom w:val="single" w:sz="4" w:space="0" w:color="auto"/>
                </w:tcBorders>
              </w:tcPr>
              <w:p w14:paraId="43CFDB7A" w14:textId="60A4984A">
                <w:pPr>
                  <w:jc w:val="both"/>
                  <w:rPr>
                    <w:bCs/>
                    <w:sz w:val="20"/>
                  </w:rPr>
                </w:pPr>
                <w:r>
                  <w:rPr>
                    <w:bCs/>
                    <w:sz w:val="20"/>
                  </w:rPr>
                  <w:t>e) darbuotojų moterų ir darbuotojų vyrų, gaunančių papildomus arba kintamuosius komponentus, dalį;</w:t>
                </w:r>
              </w:p>
            </w:tc>
            <w:tc>
              <w:tcPr>
                <w:tcW w:w="5347" w:type="dxa"/>
                <w:vMerge/>
              </w:tcPr>
              <w:p w14:paraId="1823B642" w14:textId="2327B76C">
                <w:pPr>
                  <w:jc w:val="both"/>
                  <w:rPr>
                    <w:sz w:val="20"/>
                  </w:rPr>
                </w:pPr>
              </w:p>
            </w:tc>
            <w:tc>
              <w:tcPr>
                <w:tcW w:w="1572" w:type="dxa"/>
                <w:vMerge/>
              </w:tcPr>
              <w:p w14:paraId="2D13BAC6" w14:textId="68903FCC">
                <w:pPr>
                  <w:jc w:val="both"/>
                  <w:rPr>
                    <w:color w:val="000000"/>
                    <w:sz w:val="20"/>
                  </w:rPr>
                </w:pPr>
              </w:p>
            </w:tc>
          </w:tr>
          <w:tr w14:paraId="22F16E44" w14:textId="77777777">
            <w:tc>
              <w:tcPr>
                <w:tcW w:w="8391" w:type="dxa"/>
                <w:tcBorders>
                  <w:top w:val="single" w:sz="4" w:space="0" w:color="auto"/>
                  <w:bottom w:val="single" w:sz="4" w:space="0" w:color="auto"/>
                </w:tcBorders>
              </w:tcPr>
              <w:p w14:paraId="6F10C6BE" w14:textId="6ADDE3B5">
                <w:pPr>
                  <w:jc w:val="both"/>
                  <w:rPr>
                    <w:bCs/>
                    <w:sz w:val="20"/>
                  </w:rPr>
                </w:pPr>
                <w:r>
                  <w:rPr>
                    <w:bCs/>
                    <w:sz w:val="20"/>
                  </w:rPr>
                  <w:t>f) darbuotojų moterų ir darbuotojų vyrų dalį kiekviename darbo užmokesčio kvartilyje;</w:t>
                </w:r>
              </w:p>
            </w:tc>
            <w:tc>
              <w:tcPr>
                <w:tcW w:w="5347" w:type="dxa"/>
                <w:vMerge/>
              </w:tcPr>
              <w:p w14:paraId="71A567F9" w14:textId="297F2379">
                <w:pPr>
                  <w:jc w:val="both"/>
                  <w:rPr>
                    <w:sz w:val="20"/>
                  </w:rPr>
                </w:pPr>
              </w:p>
            </w:tc>
            <w:tc>
              <w:tcPr>
                <w:tcW w:w="1572" w:type="dxa"/>
                <w:vMerge/>
              </w:tcPr>
              <w:p w14:paraId="7192AC85" w14:textId="6A86B181">
                <w:pPr>
                  <w:jc w:val="both"/>
                  <w:rPr>
                    <w:color w:val="000000"/>
                    <w:sz w:val="20"/>
                  </w:rPr>
                </w:pPr>
              </w:p>
            </w:tc>
          </w:tr>
          <w:tr w14:paraId="6B417BA0" w14:textId="77777777">
            <w:tc>
              <w:tcPr>
                <w:tcW w:w="8391" w:type="dxa"/>
                <w:tcBorders>
                  <w:top w:val="single" w:sz="4" w:space="0" w:color="auto"/>
                  <w:bottom w:val="single" w:sz="4" w:space="0" w:color="auto"/>
                </w:tcBorders>
              </w:tcPr>
              <w:p w14:paraId="231E28EF" w14:textId="0F4F8CF6">
                <w:pPr>
                  <w:jc w:val="both"/>
                  <w:rPr>
                    <w:bCs/>
                    <w:sz w:val="20"/>
                  </w:rPr>
                </w:pPr>
                <w:r>
                  <w:rPr>
                    <w:bCs/>
                    <w:sz w:val="20"/>
                  </w:rPr>
                  <w:t>g) darbuotojų vyrų ir moterų darbo užmokesčio atotrūkį pagal pagrindinį bazinį darbo užmokestį arba atlyginimą ir papildomus arba kintamuosius komponentus pagal darbuotojų kategorijas.</w:t>
                </w:r>
              </w:p>
            </w:tc>
            <w:tc>
              <w:tcPr>
                <w:tcW w:w="5347" w:type="dxa"/>
                <w:vMerge/>
                <w:tcBorders>
                  <w:bottom w:val="single" w:sz="4" w:space="0" w:color="auto"/>
                </w:tcBorders>
              </w:tcPr>
              <w:p w14:paraId="571526D3" w14:textId="1DBC2A56">
                <w:pPr>
                  <w:jc w:val="both"/>
                  <w:rPr>
                    <w:sz w:val="20"/>
                  </w:rPr>
                </w:pPr>
              </w:p>
            </w:tc>
            <w:tc>
              <w:tcPr>
                <w:tcW w:w="1572" w:type="dxa"/>
                <w:vMerge/>
                <w:tcBorders>
                  <w:bottom w:val="single" w:sz="4" w:space="0" w:color="auto"/>
                </w:tcBorders>
              </w:tcPr>
              <w:p w14:paraId="617F49DD" w14:textId="2D147B99">
                <w:pPr>
                  <w:jc w:val="both"/>
                  <w:rPr>
                    <w:color w:val="000000"/>
                    <w:sz w:val="20"/>
                  </w:rPr>
                </w:pPr>
              </w:p>
            </w:tc>
          </w:tr>
          <w:tr w14:paraId="2DC5BE46" w14:textId="77777777">
            <w:tc>
              <w:tcPr>
                <w:tcW w:w="8391" w:type="dxa"/>
                <w:tcBorders>
                  <w:top w:val="single" w:sz="4" w:space="0" w:color="auto"/>
                  <w:bottom w:val="single" w:sz="4" w:space="0" w:color="auto"/>
                </w:tcBorders>
              </w:tcPr>
              <w:p w14:paraId="161F563A" w14:textId="28534993">
                <w:pPr>
                  <w:jc w:val="both"/>
                  <w:rPr>
                    <w:bCs/>
                    <w:sz w:val="20"/>
                  </w:rPr>
                </w:pPr>
                <w:r>
                  <w:rPr>
                    <w:bCs/>
                    <w:sz w:val="20"/>
                  </w:rPr>
                  <w:t>2. Darbdaviai, turintys 250 ar daugiau darbuotojų, ne vėliau kaip nuo 2027 m. birželio 7 d., o vėliau – kasmet pateikia 1 dalyje nurodytą informaciją apie praėjusius kalendorinius metus.</w:t>
                </w:r>
              </w:p>
            </w:tc>
            <w:tc>
              <w:tcPr>
                <w:tcW w:w="5347" w:type="dxa"/>
                <w:vMerge w:val="restart"/>
                <w:tcBorders>
                  <w:top w:val="single" w:sz="4" w:space="0" w:color="auto"/>
                </w:tcBorders>
              </w:tcPr>
              <w:p w14:paraId="02CC0DC6" w14:textId="7C78D45A">
                <w:pPr>
                  <w:rPr>
                    <w:b/>
                    <w:bCs/>
                    <w:sz w:val="20"/>
                  </w:rPr>
                </w:pPr>
                <w:r>
                  <w:rPr>
                    <w:b/>
                    <w:bCs/>
                    <w:sz w:val="20"/>
                  </w:rPr>
                  <w:t>DK projektas</w:t>
                </w:r>
              </w:p>
              <w:p w14:paraId="09E3E860" w14:textId="77777777">
                <w:pPr>
                  <w:jc w:val="both"/>
                  <w:rPr>
                    <w:b/>
                    <w:bCs/>
                    <w:sz w:val="20"/>
                  </w:rPr>
                </w:pPr>
                <w:r>
                  <w:rPr>
                    <w:b/>
                    <w:bCs/>
                    <w:sz w:val="20"/>
                  </w:rPr>
                  <w:t>1 straipsnis. 23 straipsnio pakeitimas</w:t>
                </w:r>
              </w:p>
              <w:p w14:paraId="07565643" w14:textId="77777777">
                <w:pPr>
                  <w:jc w:val="both"/>
                  <w:rPr>
                    <w:b/>
                    <w:bCs/>
                    <w:sz w:val="20"/>
                  </w:rPr>
                </w:pPr>
                <w:r>
                  <w:rPr>
                    <w:b/>
                    <w:bCs/>
                    <w:sz w:val="20"/>
                  </w:rPr>
                  <w:t>Pakeisti 23 straipsnį ir jį išdėstyti taip:</w:t>
                </w:r>
              </w:p>
              <w:p w14:paraId="7B73C1ED" w14:textId="3EBD8B2B">
                <w:pPr>
                  <w:rPr>
                    <w:b/>
                    <w:bCs/>
                    <w:sz w:val="20"/>
                  </w:rPr>
                </w:pPr>
                <w:r>
                  <w:rPr>
                    <w:b/>
                    <w:bCs/>
                    <w:sz w:val="20"/>
                  </w:rPr>
                  <w:t>„&lt;...&gt;</w:t>
                </w:r>
              </w:p>
              <w:p w14:paraId="4BB93DD8" w14:textId="4E12470C">
                <w:pPr>
                  <w:jc w:val="both"/>
                  <w:rPr>
                    <w:b/>
                    <w:bCs/>
                    <w:sz w:val="20"/>
                  </w:rPr>
                </w:pPr>
                <w:r>
                  <w:rPr>
                    <w:b/>
                    <w:bCs/>
                    <w:sz w:val="20"/>
                  </w:rPr>
                  <w:t>5. Valstybinio socialinio draudimo fondo valdyba duomenis apie šio straipsnio 4 dalyje nurodytus rodiklius – kiekvieno darbuotojo mėnesio vidutinį valandinį darbo užmokestį ir visų darbdavio darbuotojų mėnesio vidutinį valandinį darbo užmokestį pagal lytį toje pačioje pareigybių grupėje – kas mėnesį, o duomenis apie tokius rodiklius kaip kiekvieno darbuotojo metinis darbo užmokestis ir metų vidutinis valandinis darbo užmokestis bei visų darbdavio darbuotojų vidutinis metinis darbo užmokestis ir metų vidutinis valandinis darbo užmokestis pagal lytį toje pačioje pareigybių grupėje kasmet pateikia šio straipsnio 4 dalyje nurodytiems darbdaviams. Duomenis apie šio straipsnio 4 dalies 1–7 punktuose nurodytus praėjusių kalendorinių metų rodiklius Valstybinio socialinio draudimo fondo valdyba pateikia darbdaviams, kurių apdraustųjų asmenų skaičius – nuo 100 iki 249, kas trejus metus, o darbdaviams, kurių apdraustųjų asmenų skaičius – 250 ir daugiau, – kasmet. Darbdaviai per vieną mėnesį nuo duomenų apie apskaičiuotus rodiklius gavimo dienos duomenis apie šio straipsnio 4 dalies 7 punkte nurodytą rodiklį pagal pareigybių grupes, kuriose yra daugiau kaip 2 atitinkamos lyties darbuotojai, privalo pateikti darbuotojų atstovams ir darbuotojams. Valstybinio socialinio draudimo fondo valdyba duomenis apie šio straipsnio 4 dalyje nurodytus rodiklius teikia Valstybinei darbo inspekcijai ir Lygių galimybių kontrolieriaus tarnybai.</w:t>
                </w:r>
              </w:p>
              <w:p w14:paraId="1ED8C635" w14:textId="7BC91528">
                <w:pPr>
                  <w:rPr>
                    <w:b/>
                    <w:bCs/>
                    <w:sz w:val="20"/>
                    <w:lang w:eastAsia="lt-LT"/>
                  </w:rPr>
                </w:pPr>
                <w:r>
                  <w:rPr>
                    <w:b/>
                    <w:bCs/>
                    <w:sz w:val="20"/>
                    <w:lang w:eastAsia="lt-LT"/>
                  </w:rPr>
                  <w:t>&lt;...&gt;</w:t>
                </w:r>
              </w:p>
              <w:p w14:paraId="7C143B50" w14:textId="123CD2F2">
                <w:pPr>
                  <w:jc w:val="both"/>
                  <w:rPr>
                    <w:b/>
                    <w:bCs/>
                    <w:sz w:val="20"/>
                  </w:rPr>
                </w:pPr>
                <w:r>
                  <w:rPr>
                    <w:b/>
                    <w:bCs/>
                    <w:sz w:val="20"/>
                  </w:rPr>
                  <w:t>8. Darbdaviai, kurių apdraustųjų asmenų skaičius – nuo 100 iki 249, duomenis apie darbuotojų, su kuriais šio kodekso 72 straipsnyje nustatyta tvarka sudaryta laikinojo darbo sutartis, praėjusių kalendorinių metų rodiklius, nurodytus šio straipsnio 4 dalies 1–7 punktuose, apskaičiuoja patys ir pateikia Valstybinio socialinio draudimo fondo valdybai kas trejus metus, o darbdaviai, kurių apdraustųjų asmenų skaičius – 250 ir daugiau, – kas metus. Šie darbdaviai duomenis apie šio straipsnio 4 dalies 7 punkte nurodytus praėjusių kalendorinių metų rodiklius turi pateikti Valstybinio socialinio draudimo fondo valdybai ir darbuotojų atstovams bei darbuotojams, jeigu pareigybių grupėje yra daugiau kaip 2 atitinkamos lyties darbuotojai. Valstybinio socialinio draudimo fondo valdyba šioje dalyje nurodytus duomenis apie minėtus rodiklius pateikia Valstybinei darbo inspekcijai ir Lygių galimybių kontrolieriaus tarnybai. Valstybinio socialinio draudimo fondo valdyba gautus duomenis apie darbuotojų, su kuriais šio kodekso 72 straipsnyje nustatyta tvarka sudaryta laikinojo darbo sutartis, praėjusių kalendorinių metų rodiklius, nurodytus šio straipsnio 4 dalies 1–6 punktuose, skelbia viešai.</w:t>
                </w:r>
              </w:p>
              <w:p w14:paraId="4B3BB1FB" w14:textId="6C4DC0AF">
                <w:pPr>
                  <w:rPr>
                    <w:b/>
                    <w:bCs/>
                    <w:sz w:val="20"/>
                    <w:u w:val="single"/>
                    <w:lang w:eastAsia="lt-LT"/>
                  </w:rPr>
                </w:pPr>
                <w:r>
                  <w:rPr>
                    <w:b/>
                    <w:bCs/>
                    <w:sz w:val="20"/>
                    <w:lang w:eastAsia="lt-LT"/>
                  </w:rPr>
                  <w:t xml:space="preserve">&lt;...&gt;“ </w:t>
                </w:r>
              </w:p>
            </w:tc>
            <w:tc>
              <w:tcPr>
                <w:tcW w:w="1572" w:type="dxa"/>
                <w:vMerge w:val="restart"/>
                <w:tcBorders>
                  <w:top w:val="single" w:sz="4" w:space="0" w:color="auto"/>
                </w:tcBorders>
              </w:tcPr>
              <w:p w14:paraId="135B7116" w14:textId="5FAF0B3A">
                <w:pPr>
                  <w:jc w:val="both"/>
                  <w:rPr>
                    <w:color w:val="000000"/>
                    <w:sz w:val="20"/>
                  </w:rPr>
                </w:pPr>
                <w:r>
                  <w:rPr>
                    <w:color w:val="000000"/>
                    <w:sz w:val="20"/>
                  </w:rPr>
                  <w:t>Visiškas</w:t>
                </w:r>
              </w:p>
              <w:p w14:paraId="4C27CBE4" w14:textId="4AADEEDF">
                <w:pPr>
                  <w:jc w:val="both"/>
                  <w:rPr>
                    <w:color w:val="000000"/>
                    <w:sz w:val="20"/>
                  </w:rPr>
                </w:pPr>
              </w:p>
            </w:tc>
          </w:tr>
          <w:tr w14:paraId="455A250B" w14:textId="77777777">
            <w:tc>
              <w:tcPr>
                <w:tcW w:w="8391" w:type="dxa"/>
                <w:tcBorders>
                  <w:top w:val="single" w:sz="4" w:space="0" w:color="auto"/>
                  <w:bottom w:val="single" w:sz="4" w:space="0" w:color="auto"/>
                </w:tcBorders>
              </w:tcPr>
              <w:p w14:paraId="09268FCB" w14:textId="7970177A">
                <w:pPr>
                  <w:jc w:val="both"/>
                  <w:rPr>
                    <w:bCs/>
                    <w:sz w:val="20"/>
                  </w:rPr>
                </w:pPr>
                <w:r>
                  <w:rPr>
                    <w:bCs/>
                    <w:sz w:val="20"/>
                  </w:rPr>
                  <w:t>3. Darbdaviai, turintys 150–249 darbuotojų, ne vėliau kaip nuo 2027 m. birželio 7 d., o vėliau – kas trejus metus pateikia 1 dalyje nurodytą informaciją apie praėjusius kalendorinius metus.</w:t>
                </w:r>
              </w:p>
            </w:tc>
            <w:tc>
              <w:tcPr>
                <w:tcW w:w="5347" w:type="dxa"/>
                <w:vMerge/>
              </w:tcPr>
              <w:p w14:paraId="276702DD" w14:textId="77E435E8">
                <w:pPr>
                  <w:jc w:val="both"/>
                  <w:rPr>
                    <w:sz w:val="20"/>
                  </w:rPr>
                </w:pPr>
              </w:p>
            </w:tc>
            <w:tc>
              <w:tcPr>
                <w:tcW w:w="1572" w:type="dxa"/>
                <w:vMerge/>
              </w:tcPr>
              <w:p w14:paraId="35E5A0E4" w14:textId="322CD080">
                <w:pPr>
                  <w:jc w:val="both"/>
                  <w:rPr>
                    <w:color w:val="000000"/>
                    <w:sz w:val="20"/>
                  </w:rPr>
                </w:pPr>
              </w:p>
            </w:tc>
          </w:tr>
          <w:tr w14:paraId="238CB465" w14:textId="77777777">
            <w:tc>
              <w:tcPr>
                <w:tcW w:w="8391" w:type="dxa"/>
                <w:tcBorders>
                  <w:top w:val="single" w:sz="4" w:space="0" w:color="auto"/>
                  <w:bottom w:val="single" w:sz="4" w:space="0" w:color="auto"/>
                </w:tcBorders>
              </w:tcPr>
              <w:p w14:paraId="47D9477B" w14:textId="01F3A967">
                <w:pPr>
                  <w:jc w:val="both"/>
                  <w:rPr>
                    <w:bCs/>
                    <w:sz w:val="20"/>
                  </w:rPr>
                </w:pPr>
                <w:r>
                  <w:rPr>
                    <w:bCs/>
                    <w:sz w:val="20"/>
                  </w:rPr>
                  <w:t>4. Darbdaviai, turintys 100–149 darbuotojų, ne vėliau kaip nuo 2031 m. birželio 7 d., o vėliau – kas trejus metus pateikia 1 dalyje nurodytą informaciją apie praėjusius kalendorinius metus.</w:t>
                </w:r>
              </w:p>
            </w:tc>
            <w:tc>
              <w:tcPr>
                <w:tcW w:w="5347" w:type="dxa"/>
                <w:vMerge/>
                <w:tcBorders>
                  <w:bottom w:val="single" w:sz="4" w:space="0" w:color="auto"/>
                </w:tcBorders>
              </w:tcPr>
              <w:p w14:paraId="7598140B" w14:textId="11A66A48">
                <w:pPr>
                  <w:jc w:val="both"/>
                  <w:rPr>
                    <w:sz w:val="20"/>
                  </w:rPr>
                </w:pPr>
              </w:p>
            </w:tc>
            <w:tc>
              <w:tcPr>
                <w:tcW w:w="1572" w:type="dxa"/>
                <w:vMerge/>
                <w:tcBorders>
                  <w:bottom w:val="single" w:sz="4" w:space="0" w:color="auto"/>
                </w:tcBorders>
              </w:tcPr>
              <w:p w14:paraId="6645EC72" w14:textId="0EA893D9">
                <w:pPr>
                  <w:jc w:val="both"/>
                  <w:rPr>
                    <w:color w:val="000000"/>
                    <w:sz w:val="20"/>
                  </w:rPr>
                </w:pPr>
              </w:p>
            </w:tc>
          </w:tr>
          <w:tr w14:paraId="59CA8170" w14:textId="77777777">
            <w:tc>
              <w:tcPr>
                <w:tcW w:w="8391" w:type="dxa"/>
                <w:tcBorders>
                  <w:top w:val="single" w:sz="4" w:space="0" w:color="auto"/>
                  <w:bottom w:val="single" w:sz="4" w:space="0" w:color="auto"/>
                </w:tcBorders>
              </w:tcPr>
              <w:p w14:paraId="2009AB5A" w14:textId="7C4637A8">
                <w:pPr>
                  <w:jc w:val="both"/>
                  <w:rPr>
                    <w:bCs/>
                    <w:sz w:val="20"/>
                  </w:rPr>
                </w:pPr>
                <w:r>
                  <w:rPr>
                    <w:bCs/>
                    <w:sz w:val="20"/>
                  </w:rPr>
                  <w:t>5. Valstybės narės neužkerta kelio darbdaviams, turintiems mažiau nei 100 darbuotojų, savanoriškai teikti 1 dalyje nustatytą informaciją. Valstybės narės nacionalinėje teisėje gali nustatyti reikalavimą, kad darbdaviai, turintys mažiau nei 100 darbuotojų, pateiktų informaciją apie darbo užmokestį.</w:t>
                </w:r>
              </w:p>
            </w:tc>
            <w:tc>
              <w:tcPr>
                <w:tcW w:w="5347" w:type="dxa"/>
                <w:tcBorders>
                  <w:top w:val="single" w:sz="4" w:space="0" w:color="auto"/>
                  <w:bottom w:val="single" w:sz="4" w:space="0" w:color="auto"/>
                </w:tcBorders>
              </w:tcPr>
              <w:p w14:paraId="7F3A442E" w14:textId="6DDF6E7A">
                <w:pPr>
                  <w:jc w:val="both"/>
                  <w:rPr>
                    <w:b/>
                    <w:bCs/>
                    <w:sz w:val="20"/>
                  </w:rPr>
                </w:pPr>
                <w:r>
                  <w:rPr>
                    <w:b/>
                    <w:bCs/>
                    <w:sz w:val="20"/>
                  </w:rPr>
                  <w:t>DK projektas</w:t>
                </w:r>
              </w:p>
              <w:p w14:paraId="5471CD2E" w14:textId="77777777">
                <w:pPr>
                  <w:jc w:val="both"/>
                  <w:rPr>
                    <w:b/>
                    <w:bCs/>
                    <w:sz w:val="20"/>
                  </w:rPr>
                </w:pPr>
                <w:r>
                  <w:rPr>
                    <w:b/>
                    <w:bCs/>
                    <w:sz w:val="20"/>
                  </w:rPr>
                  <w:t>1 straipsnis. 23 straipsnio pakeitimas</w:t>
                </w:r>
              </w:p>
              <w:p w14:paraId="2CD93F92" w14:textId="77777777">
                <w:pPr>
                  <w:jc w:val="both"/>
                  <w:rPr>
                    <w:b/>
                    <w:bCs/>
                    <w:sz w:val="20"/>
                  </w:rPr>
                </w:pPr>
                <w:r>
                  <w:rPr>
                    <w:b/>
                    <w:bCs/>
                    <w:sz w:val="20"/>
                  </w:rPr>
                  <w:t>Pakeisti 23 straipsnį ir jį išdėstyti taip:</w:t>
                </w:r>
              </w:p>
              <w:p w14:paraId="64335376" w14:textId="38C2E5D1">
                <w:pPr>
                  <w:jc w:val="both"/>
                  <w:rPr>
                    <w:b/>
                    <w:bCs/>
                    <w:sz w:val="20"/>
                  </w:rPr>
                </w:pPr>
                <w:r>
                  <w:rPr>
                    <w:b/>
                    <w:bCs/>
                    <w:sz w:val="20"/>
                  </w:rPr>
                  <w:t>„&lt;...&gt;</w:t>
                </w:r>
              </w:p>
              <w:p w14:paraId="4003A385" w14:textId="77777777">
                <w:pPr>
                  <w:jc w:val="both"/>
                  <w:rPr>
                    <w:b/>
                    <w:bCs/>
                    <w:sz w:val="20"/>
                  </w:rPr>
                </w:pPr>
                <w:r>
                  <w:rPr>
                    <w:b/>
                    <w:bCs/>
                    <w:sz w:val="20"/>
                  </w:rPr>
                  <w:t>3. Darbdaviai kas mėnesį Valstybinio socialinio draudimo fondo valdybai prie Socialinės apsaugos ir darbo ministerijos (toliau – Valstybinio socialinio draudimo fondo valdyba) privalo teikti duomenis apie darbuotojų (išskyrus pareigūnus, statutinius valstybės tarnautojus ir kitus asmenis, kurių duomenys (ar bent dalis jų) sudaro valstybės tarnybos paslaptį, taip pat darbuotojus, su kuriais šio kodekso 72 straipsnyje nustatyta tvarka sudaryta laikinojo darbo sutartis ir kurių darbo užmokesčio rodikliai teikiami šio straipsnio 8 dalyje nustatyta tvarka) darbo užmokestį, darbo laiką ir darbovietės ar darbdavio įmonės, įstaigos, organizacijos darbo apmokėjimo sistemoje nurodytą pareigybės grupę. Valstybinio socialinio draudimo fondo valdyba šioje dalyje nurodytus duomenis teikia Valstybinei darbo inspekcijai ir Lygių galimybių kontrolieriaus tarnybai.</w:t>
                </w:r>
              </w:p>
              <w:p w14:paraId="66A4FEDB" w14:textId="0434AA5D">
                <w:pPr>
                  <w:jc w:val="both"/>
                  <w:rPr>
                    <w:b/>
                    <w:bCs/>
                    <w:sz w:val="20"/>
                  </w:rPr>
                </w:pPr>
                <w:r>
                  <w:rPr>
                    <w:b/>
                    <w:bCs/>
                    <w:sz w:val="20"/>
                  </w:rPr>
                  <w:t>4.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taip pat kas trejus metus – šiuos darbdavių, turinčių nuo 100 iki 249 apdraustųjų asmenų, draudžiamų pagal Lietuvos Respublikos valstybinio socialinio draudimo įstatymo 4 straipsnio 1 ir 2 dalis (toliau – apdraustieji asmenys), ir mažiau apdraustųjų asmenų turinčių darbdavių, pageidaujančių, kad jiems būtų taikomos tokios pačios šiame straipsnyje numatytų duomenų tvarkymo taisyklės, kaip ir darbdaviams, kurių apdraustųjų asmenų skaičius – nuo 100 iki 249, kasmet – darbdavių, kurių apdraustųjų asmenų skaičius – 250 ir daugiau, praėjusių kalendorinių metų rodiklius:</w:t>
                </w:r>
              </w:p>
              <w:p w14:paraId="62D1F3B8" w14:textId="77777777">
                <w:pPr>
                  <w:jc w:val="both"/>
                  <w:rPr>
                    <w:b/>
                    <w:bCs/>
                    <w:sz w:val="20"/>
                  </w:rPr>
                </w:pPr>
                <w:r>
                  <w:rPr>
                    <w:b/>
                    <w:bCs/>
                    <w:sz w:val="20"/>
                  </w:rPr>
                  <w:t>1) vyrų ir moterų darbo užmokesčio atotrūkį;</w:t>
                </w:r>
              </w:p>
              <w:p w14:paraId="2B7FC3B8" w14:textId="77777777">
                <w:pPr>
                  <w:jc w:val="both"/>
                  <w:rPr>
                    <w:b/>
                    <w:bCs/>
                    <w:sz w:val="20"/>
                  </w:rPr>
                </w:pPr>
                <w:r>
                  <w:rPr>
                    <w:b/>
                    <w:bCs/>
                    <w:sz w:val="20"/>
                  </w:rPr>
                  <w:t>2) vyrų ir moterų darbo užmokesčio atotrūkį, įvertinus papildomą darbo užmokestį, nurodytą šio kodekso 139 straipsnio 2 dalies 2–6 punktuose ir 144 straipsnio 1–4 ir 7 dalyse (toliau – papildomas darbo užmokestis);</w:t>
                </w:r>
              </w:p>
              <w:p w14:paraId="5F843692" w14:textId="77777777">
                <w:pPr>
                  <w:jc w:val="both"/>
                  <w:rPr>
                    <w:b/>
                    <w:bCs/>
                    <w:sz w:val="20"/>
                  </w:rPr>
                </w:pPr>
                <w:r>
                  <w:rPr>
                    <w:b/>
                    <w:bCs/>
                    <w:sz w:val="20"/>
                  </w:rPr>
                  <w:t>3) vyrų ir moterų darbo užmokesčio medianų atotrūkį;</w:t>
                </w:r>
              </w:p>
              <w:p w14:paraId="6E2E58E0" w14:textId="77777777">
                <w:pPr>
                  <w:jc w:val="both"/>
                  <w:rPr>
                    <w:b/>
                    <w:bCs/>
                    <w:sz w:val="20"/>
                  </w:rPr>
                </w:pPr>
                <w:r>
                  <w:rPr>
                    <w:b/>
                    <w:bCs/>
                    <w:sz w:val="20"/>
                  </w:rPr>
                  <w:t>4) vyrų ir moterų darbo užmokesčio medianų atotrūkį, įvertinus papildomą darbo užmokestį;</w:t>
                </w:r>
              </w:p>
              <w:p w14:paraId="0314816A" w14:textId="77777777">
                <w:pPr>
                  <w:jc w:val="both"/>
                  <w:rPr>
                    <w:b/>
                    <w:bCs/>
                    <w:sz w:val="20"/>
                  </w:rPr>
                </w:pPr>
                <w:r>
                  <w:rPr>
                    <w:b/>
                    <w:bCs/>
                    <w:sz w:val="20"/>
                  </w:rPr>
                  <w:t>5) vyrų ir moterų, gaunančių papildomą darbo užmokestį, dalį;</w:t>
                </w:r>
              </w:p>
              <w:p w14:paraId="44B572AF" w14:textId="77777777">
                <w:pPr>
                  <w:jc w:val="both"/>
                  <w:rPr>
                    <w:b/>
                    <w:bCs/>
                    <w:sz w:val="20"/>
                  </w:rPr>
                </w:pPr>
                <w:r>
                  <w:rPr>
                    <w:b/>
                    <w:bCs/>
                    <w:sz w:val="20"/>
                  </w:rPr>
                  <w:t xml:space="preserve">6) vyrų ir moterų dalį kiekviename darbo užmokesčio kvartilyje; </w:t>
                </w:r>
              </w:p>
              <w:p w14:paraId="3A5C95BC" w14:textId="5E7F386B">
                <w:pPr>
                  <w:jc w:val="both"/>
                  <w:rPr>
                    <w:b/>
                    <w:bCs/>
                    <w:sz w:val="20"/>
                  </w:rPr>
                </w:pPr>
                <w:r>
                  <w:rPr>
                    <w:b/>
                    <w:bCs/>
                    <w:sz w:val="20"/>
                  </w:rPr>
                  <w:t>7) vyrų ir moterų darbo užmokesčio atotrūkį pagal bazinį (tarifinį) darbo užmokestį ir papildomą darbo užmokestį pagal pareigybių grupes.</w:t>
                </w:r>
              </w:p>
              <w:p w14:paraId="2DFF70BE" w14:textId="286D2FA4">
                <w:pPr>
                  <w:jc w:val="both"/>
                  <w:rPr>
                    <w:b/>
                    <w:bCs/>
                    <w:sz w:val="20"/>
                  </w:rPr>
                </w:pPr>
                <w:r>
                  <w:rPr>
                    <w:b/>
                    <w:bCs/>
                    <w:sz w:val="20"/>
                  </w:rPr>
                  <w:t>&lt;...&gt;“</w:t>
                </w:r>
              </w:p>
            </w:tc>
            <w:tc>
              <w:tcPr>
                <w:tcW w:w="1572" w:type="dxa"/>
                <w:tcBorders>
                  <w:top w:val="single" w:sz="4" w:space="0" w:color="auto"/>
                  <w:bottom w:val="single" w:sz="4" w:space="0" w:color="auto"/>
                </w:tcBorders>
              </w:tcPr>
              <w:p w14:paraId="4857AFBB" w14:textId="3CD3CD64">
                <w:pPr>
                  <w:jc w:val="both"/>
                  <w:rPr>
                    <w:color w:val="000000"/>
                    <w:sz w:val="20"/>
                  </w:rPr>
                </w:pPr>
                <w:r>
                  <w:rPr>
                    <w:color w:val="000000"/>
                    <w:sz w:val="20"/>
                  </w:rPr>
                  <w:t xml:space="preserve">Visiškas </w:t>
                </w:r>
              </w:p>
              <w:p w14:paraId="3B94E2B8" w14:textId="22716FF3">
                <w:pPr>
                  <w:jc w:val="both"/>
                  <w:rPr>
                    <w:color w:val="000000"/>
                    <w:sz w:val="20"/>
                  </w:rPr>
                </w:pPr>
              </w:p>
            </w:tc>
          </w:tr>
          <w:tr w14:paraId="0F53F226" w14:textId="77777777">
            <w:tc>
              <w:tcPr>
                <w:tcW w:w="8391" w:type="dxa"/>
                <w:tcBorders>
                  <w:top w:val="single" w:sz="4" w:space="0" w:color="auto"/>
                  <w:bottom w:val="single" w:sz="4" w:space="0" w:color="auto"/>
                </w:tcBorders>
              </w:tcPr>
              <w:p w14:paraId="3041C8BE" w14:textId="5A20FFC3">
                <w:pPr>
                  <w:jc w:val="both"/>
                  <w:rPr>
                    <w:bCs/>
                    <w:sz w:val="20"/>
                    <w:highlight w:val="yellow"/>
                  </w:rPr>
                </w:pPr>
                <w:r>
                  <w:rPr>
                    <w:bCs/>
                    <w:sz w:val="20"/>
                  </w:rPr>
                  <w:t>6. Informacijos tikslumą patvirtina darbdavio vadovybė, pasikonsultavusi su darbuotojų atstovais. Darbuotojų atstovams suteikiama galimybė susipažinti su darbdavio taikoma metodika</w:t>
                </w:r>
              </w:p>
            </w:tc>
            <w:tc>
              <w:tcPr>
                <w:tcW w:w="5347" w:type="dxa"/>
                <w:tcBorders>
                  <w:top w:val="single" w:sz="4" w:space="0" w:color="auto"/>
                  <w:bottom w:val="single" w:sz="4" w:space="0" w:color="auto"/>
                </w:tcBorders>
              </w:tcPr>
              <w:p w14:paraId="167256F8" w14:textId="5CA62990">
                <w:pPr>
                  <w:jc w:val="both"/>
                  <w:rPr>
                    <w:sz w:val="20"/>
                  </w:rPr>
                </w:pPr>
                <w:r>
                  <w:rPr>
                    <w:b/>
                    <w:bCs/>
                    <w:color w:val="000000"/>
                    <w:sz w:val="20"/>
                  </w:rPr>
                  <w:t>DK</w:t>
                </w:r>
              </w:p>
              <w:p w14:paraId="2273D490" w14:textId="6F2C6D84">
                <w:pPr>
                  <w:rPr>
                    <w:color w:val="000000"/>
                    <w:sz w:val="20"/>
                  </w:rPr>
                </w:pPr>
                <w:r>
                  <w:rPr>
                    <w:b/>
                    <w:bCs/>
                    <w:color w:val="000000"/>
                    <w:sz w:val="20"/>
                  </w:rPr>
                  <w:t>206 straipsnis. Informavimas ir konsultavimasis tvirtinant vietinius norminius teisės aktus</w:t>
                </w:r>
              </w:p>
              <w:p w14:paraId="50AE5DD8" w14:textId="77777777">
                <w:pPr>
                  <w:jc w:val="both"/>
                  <w:rPr>
                    <w:color w:val="000000"/>
                    <w:sz w:val="20"/>
                  </w:rPr>
                </w:pPr>
                <w:r>
                  <w:rPr>
                    <w:color w:val="000000"/>
                    <w:sz w:val="20"/>
                  </w:rPr>
                  <w:t>1. Darbdavys, įdarbinantis vidutiniškai dvidešimt ir daugiau darbuotojų, privalo informuoti darbo tarybą ir su ja konsultuotis priimdamas sprendimus dėl šių vietinių norminių teisės aktų patvirtinimo ar pakeitimo:</w:t>
                </w:r>
              </w:p>
              <w:p w14:paraId="539CD1B9" w14:textId="5D9BCD65">
                <w:pPr>
                  <w:rPr>
                    <w:color w:val="000000"/>
                    <w:sz w:val="20"/>
                  </w:rPr>
                </w:pPr>
                <w:r>
                  <w:rPr>
                    <w:color w:val="000000"/>
                    <w:sz w:val="20"/>
                  </w:rPr>
                  <w:t>&lt;...&gt;</w:t>
                </w:r>
              </w:p>
              <w:p w14:paraId="66BEDD90" w14:textId="313D9CD5">
                <w:pPr>
                  <w:jc w:val="both"/>
                  <w:rPr>
                    <w:color w:val="000000"/>
                    <w:sz w:val="20"/>
                  </w:rPr>
                </w:pPr>
                <w:r>
                  <w:rPr>
                    <w:color w:val="000000"/>
                    <w:sz w:val="20"/>
                  </w:rPr>
                  <w:t>10) dėl kitų darbuotojų socialinei ir ekonominei padėčiai aktualių teisės aktų.</w:t>
                </w:r>
              </w:p>
            </w:tc>
            <w:tc>
              <w:tcPr>
                <w:tcW w:w="1572" w:type="dxa"/>
                <w:tcBorders>
                  <w:top w:val="single" w:sz="4" w:space="0" w:color="auto"/>
                  <w:bottom w:val="single" w:sz="4" w:space="0" w:color="auto"/>
                </w:tcBorders>
              </w:tcPr>
              <w:p w14:paraId="4346D486" w14:textId="14FF30C0">
                <w:pPr>
                  <w:jc w:val="both"/>
                  <w:rPr>
                    <w:color w:val="000000"/>
                    <w:sz w:val="20"/>
                  </w:rPr>
                </w:pPr>
                <w:r>
                  <w:rPr>
                    <w:color w:val="000000"/>
                    <w:sz w:val="20"/>
                  </w:rPr>
                  <w:t>Dalinis, Visiškas, kai SADM priims poįstatyminius teisės aktus iki 2026-06-06</w:t>
                </w:r>
              </w:p>
            </w:tc>
          </w:tr>
          <w:tr w14:paraId="1BDBBCB4" w14:textId="77777777">
            <w:tc>
              <w:tcPr>
                <w:tcW w:w="8391" w:type="dxa"/>
                <w:tcBorders>
                  <w:top w:val="single" w:sz="4" w:space="0" w:color="auto"/>
                  <w:bottom w:val="single" w:sz="4" w:space="0" w:color="auto"/>
                </w:tcBorders>
              </w:tcPr>
              <w:p w14:paraId="7627A9ED" w14:textId="77777777">
                <w:pPr>
                  <w:tabs>
                    <w:tab w:val="left" w:pos="6132"/>
                  </w:tabs>
                  <w:jc w:val="both"/>
                  <w:rPr>
                    <w:bCs/>
                    <w:sz w:val="20"/>
                  </w:rPr>
                </w:pPr>
                <w:r>
                  <w:rPr>
                    <w:bCs/>
                    <w:sz w:val="20"/>
                  </w:rPr>
                  <w:t>7. Šio straipsnio 1 dalies a–g punktuose nurodyta informacija pranešama institucijai, atsakingai už tokių duomenų rinkimą ir skelbimą pagal 29 straipsnio 3 dalies c punktą. Šio straipsnio 1 dalies a–f punktuose nurodytą informaciją darbdavys gali skelbti savo interneto svetainėje arba ją paviešinti kitu būdu</w:t>
                </w:r>
              </w:p>
              <w:p w14:paraId="546C9B6F" w14:textId="5F950DD8">
                <w:pPr>
                  <w:tabs>
                    <w:tab w:val="left" w:pos="6132"/>
                  </w:tabs>
                  <w:jc w:val="both"/>
                  <w:rPr>
                    <w:bCs/>
                    <w:sz w:val="20"/>
                  </w:rPr>
                </w:pPr>
              </w:p>
            </w:tc>
            <w:tc>
              <w:tcPr>
                <w:tcW w:w="5347" w:type="dxa"/>
                <w:tcBorders>
                  <w:top w:val="single" w:sz="4" w:space="0" w:color="auto"/>
                  <w:bottom w:val="single" w:sz="4" w:space="0" w:color="auto"/>
                </w:tcBorders>
              </w:tcPr>
              <w:p w14:paraId="3E665AF8" w14:textId="61A9774B">
                <w:pPr>
                  <w:jc w:val="both"/>
                  <w:rPr>
                    <w:b/>
                    <w:bCs/>
                    <w:sz w:val="20"/>
                  </w:rPr>
                </w:pPr>
                <w:r>
                  <w:rPr>
                    <w:b/>
                    <w:bCs/>
                    <w:sz w:val="20"/>
                  </w:rPr>
                  <w:t>DK projektas</w:t>
                </w:r>
              </w:p>
              <w:p w14:paraId="26D7CF2E" w14:textId="77777777">
                <w:pPr>
                  <w:jc w:val="both"/>
                  <w:rPr>
                    <w:b/>
                    <w:bCs/>
                    <w:sz w:val="20"/>
                  </w:rPr>
                </w:pPr>
                <w:r>
                  <w:rPr>
                    <w:b/>
                    <w:bCs/>
                    <w:sz w:val="20"/>
                  </w:rPr>
                  <w:t>1 straipsnis. 23 straipsnio pakeitimas</w:t>
                </w:r>
              </w:p>
              <w:p w14:paraId="4033E796" w14:textId="77777777">
                <w:pPr>
                  <w:jc w:val="both"/>
                  <w:rPr>
                    <w:b/>
                    <w:bCs/>
                    <w:sz w:val="20"/>
                  </w:rPr>
                </w:pPr>
                <w:r>
                  <w:rPr>
                    <w:b/>
                    <w:bCs/>
                    <w:sz w:val="20"/>
                  </w:rPr>
                  <w:t>Pakeisti 23 straipsnį ir jį išdėstyti taip:</w:t>
                </w:r>
              </w:p>
              <w:p w14:paraId="1A2C8747" w14:textId="651D7E33">
                <w:pPr>
                  <w:jc w:val="both"/>
                  <w:rPr>
                    <w:b/>
                    <w:bCs/>
                    <w:sz w:val="20"/>
                  </w:rPr>
                </w:pPr>
                <w:r>
                  <w:rPr>
                    <w:b/>
                    <w:bCs/>
                    <w:sz w:val="20"/>
                  </w:rPr>
                  <w:t>&lt;...&gt;</w:t>
                </w:r>
              </w:p>
              <w:p w14:paraId="06ABF78C" w14:textId="2E1B7F42">
                <w:pPr>
                  <w:jc w:val="both"/>
                  <w:rPr>
                    <w:b/>
                    <w:bCs/>
                    <w:sz w:val="20"/>
                  </w:rPr>
                </w:pPr>
                <w:r>
                  <w:rPr>
                    <w:b/>
                    <w:bCs/>
                    <w:sz w:val="20"/>
                  </w:rPr>
                  <w:t xml:space="preserve">7. Valstybinio socialinio draudimo fondo valdyba duomenis apie darbdavių, kurių apdraustųjų asmenų skaičius – nuo 100 iki 249, praėjusių kalendorinių metų rodiklius, nurodytus šio straipsnio 4 dalies 1–6 punktuose, viešai skelbia kas trejus metus, o duomenis apie darbdavių, kurių apdraustųjų asmenų skaičius – 250 ir daugiau, praėjusių kalendorinių metų rodiklius, nurodytus šio straipsnio 4 dalies 1–6 punktuose, – kasmet.  </w:t>
                </w:r>
              </w:p>
              <w:p w14:paraId="6593D799" w14:textId="4091E9FF">
                <w:pPr>
                  <w:jc w:val="both"/>
                  <w:rPr>
                    <w:b/>
                    <w:bCs/>
                    <w:sz w:val="20"/>
                  </w:rPr>
                </w:pPr>
                <w:r>
                  <w:rPr>
                    <w:b/>
                    <w:bCs/>
                    <w:sz w:val="20"/>
                  </w:rPr>
                  <w:t>&lt;...&gt;“</w:t>
                </w:r>
              </w:p>
            </w:tc>
            <w:tc>
              <w:tcPr>
                <w:tcW w:w="1572" w:type="dxa"/>
                <w:tcBorders>
                  <w:top w:val="single" w:sz="4" w:space="0" w:color="auto"/>
                  <w:bottom w:val="single" w:sz="4" w:space="0" w:color="auto"/>
                </w:tcBorders>
              </w:tcPr>
              <w:p w14:paraId="2745CEA5" w14:textId="61A10720">
                <w:pPr>
                  <w:jc w:val="both"/>
                  <w:rPr>
                    <w:color w:val="000000"/>
                    <w:sz w:val="20"/>
                  </w:rPr>
                </w:pPr>
                <w:r>
                  <w:rPr>
                    <w:color w:val="000000"/>
                    <w:sz w:val="20"/>
                  </w:rPr>
                  <w:t>Visiškas</w:t>
                </w:r>
              </w:p>
              <w:p w14:paraId="73C30675" w14:textId="77777777">
                <w:pPr>
                  <w:jc w:val="both"/>
                  <w:rPr>
                    <w:color w:val="000000"/>
                    <w:sz w:val="20"/>
                  </w:rPr>
                </w:pPr>
              </w:p>
            </w:tc>
          </w:tr>
          <w:tr w14:paraId="37D2CF42" w14:textId="77777777">
            <w:tc>
              <w:tcPr>
                <w:tcW w:w="8391" w:type="dxa"/>
                <w:tcBorders>
                  <w:top w:val="single" w:sz="4" w:space="0" w:color="auto"/>
                  <w:bottom w:val="single" w:sz="4" w:space="0" w:color="auto"/>
                </w:tcBorders>
              </w:tcPr>
              <w:p w14:paraId="082587D1" w14:textId="77777777">
                <w:pPr>
                  <w:jc w:val="both"/>
                  <w:rPr>
                    <w:bCs/>
                    <w:sz w:val="20"/>
                  </w:rPr>
                </w:pPr>
                <w:r>
                  <w:rPr>
                    <w:bCs/>
                    <w:sz w:val="20"/>
                  </w:rPr>
                  <w:t>8. Valstybės narės šio straipsnio 1 dalies a–f punktuose nurodytą informaciją gali rinkti pačios, remdamosi administraciniais duomenimis, pavyzdžiui, duomenimis, kuriuos darbdaviai teikia mokesčių ar socialinės apsaugos institucijoms. Informacija viešinama pagal 29 straipsnio 3 dalies c punktą.</w:t>
                </w:r>
              </w:p>
              <w:p w14:paraId="5658ECD2" w14:textId="77777777">
                <w:pPr>
                  <w:jc w:val="both"/>
                  <w:rPr>
                    <w:bCs/>
                    <w:sz w:val="20"/>
                  </w:rPr>
                </w:pPr>
              </w:p>
              <w:p w14:paraId="03E6E932" w14:textId="3323E2BF">
                <w:pPr>
                  <w:jc w:val="both"/>
                  <w:rPr>
                    <w:bCs/>
                    <w:sz w:val="20"/>
                  </w:rPr>
                </w:pPr>
              </w:p>
            </w:tc>
            <w:tc>
              <w:tcPr>
                <w:tcW w:w="5347" w:type="dxa"/>
                <w:tcBorders>
                  <w:top w:val="single" w:sz="4" w:space="0" w:color="auto"/>
                  <w:bottom w:val="single" w:sz="4" w:space="0" w:color="auto"/>
                </w:tcBorders>
              </w:tcPr>
              <w:p w14:paraId="286E286C" w14:textId="2E0BA845">
                <w:pPr>
                  <w:jc w:val="both"/>
                  <w:rPr>
                    <w:b/>
                    <w:bCs/>
                    <w:sz w:val="20"/>
                  </w:rPr>
                </w:pPr>
                <w:r>
                  <w:rPr>
                    <w:b/>
                    <w:bCs/>
                    <w:sz w:val="20"/>
                  </w:rPr>
                  <w:t>DK projektas</w:t>
                </w:r>
              </w:p>
              <w:p w14:paraId="413A159F" w14:textId="77777777">
                <w:pPr>
                  <w:jc w:val="both"/>
                  <w:rPr>
                    <w:b/>
                    <w:bCs/>
                    <w:sz w:val="20"/>
                  </w:rPr>
                </w:pPr>
                <w:r>
                  <w:rPr>
                    <w:b/>
                    <w:bCs/>
                    <w:sz w:val="20"/>
                  </w:rPr>
                  <w:t>1 straipsnis. 23 straipsnio pakeitimas</w:t>
                </w:r>
              </w:p>
              <w:p w14:paraId="6C5C3FC3" w14:textId="194D7D4B">
                <w:pPr>
                  <w:jc w:val="both"/>
                  <w:rPr>
                    <w:b/>
                    <w:bCs/>
                    <w:sz w:val="20"/>
                  </w:rPr>
                </w:pPr>
                <w:r>
                  <w:rPr>
                    <w:b/>
                    <w:bCs/>
                    <w:sz w:val="20"/>
                  </w:rPr>
                  <w:t>Pakeisti 23 straipsnį ir jį išdėstyti taip:</w:t>
                </w:r>
              </w:p>
              <w:p w14:paraId="7BF104B6" w14:textId="0B1D8DE1">
                <w:pPr>
                  <w:jc w:val="both"/>
                  <w:rPr>
                    <w:b/>
                    <w:bCs/>
                    <w:sz w:val="20"/>
                  </w:rPr>
                </w:pPr>
                <w:r>
                  <w:rPr>
                    <w:b/>
                    <w:bCs/>
                    <w:sz w:val="20"/>
                  </w:rPr>
                  <w:t>„&lt;...&gt;</w:t>
                </w:r>
              </w:p>
              <w:p w14:paraId="53C4E88E" w14:textId="77777777">
                <w:pPr>
                  <w:jc w:val="both"/>
                  <w:rPr>
                    <w:b/>
                    <w:bCs/>
                    <w:sz w:val="20"/>
                  </w:rPr>
                </w:pPr>
                <w:r>
                  <w:rPr>
                    <w:b/>
                    <w:bCs/>
                    <w:sz w:val="20"/>
                  </w:rPr>
                  <w:t>3. Darbdaviai kas mėnesį Valstybinio socialinio draudimo fondo valdybai prie Socialinės apsaugos ir darbo ministerijos (toliau – Valstybinio socialinio draudimo fondo valdyba) privalo teikti duomenis apie darbuotojų (išskyrus pareigūnus, statutinius valstybės tarnautojus ir kitus asmenis, kurių duomenys (ar bent dalis jų) sudaro valstybės tarnybos paslaptį, taip pat darbuotojus, su kuriais šio kodekso 72 straipsnyje nustatyta tvarka sudaryta laikinojo darbo sutartis ir kurių darbo užmokesčio rodikliai teikiami šio straipsnio 8 dalyje nustatyta tvarka) darbo užmokestį, darbo laiką ir darbovietės ar darbdavio įmonės, įstaigos, organizacijos darbo apmokėjimo sistemoje nurodytą pareigybės grupę. Valstybinio socialinio draudimo fondo valdyba šioje dalyje nurodytus duomenis teikia Valstybinei darbo inspekcijai ir Lygių galimybių kontrolieriaus tarnybai.</w:t>
                </w:r>
              </w:p>
              <w:p w14:paraId="441A6F1F" w14:textId="3434E817">
                <w:pPr>
                  <w:jc w:val="both"/>
                  <w:rPr>
                    <w:b/>
                    <w:bCs/>
                    <w:sz w:val="20"/>
                  </w:rPr>
                </w:pPr>
                <w:r>
                  <w:rPr>
                    <w:b/>
                    <w:bCs/>
                    <w:sz w:val="20"/>
                  </w:rPr>
                  <w:t>4.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taip pat kas trejus metus – šiuos darbdavių, turinčių nuo 100 iki 249 apdraustųjų asmenų, draudžiamų pagal Lietuvos Respublikos valstybinio socialinio draudimo įstatymo 4 straipsnio 1 ir 2 dalis (toliau – apdraustieji asmenys), ir mažiau apdraustųjų asmenų turinčių darbdavių, pageidaujančių, kad jiems būtų taikomos tokios pačios šiame straipsnyje numatytų duomenų tvarkymo taisyklės, kaip ir darbdaviams, kurių apdraustųjų asmenų skaičius – nuo 100 iki 249, kasmet – darbdavių, kurių apdraustųjų asmenų skaičius – 250 ir daugiau, praėjusių kalendorinių metų rodiklius:</w:t>
                </w:r>
              </w:p>
              <w:p w14:paraId="4525C271" w14:textId="77777777">
                <w:pPr>
                  <w:jc w:val="both"/>
                  <w:rPr>
                    <w:b/>
                    <w:bCs/>
                    <w:sz w:val="20"/>
                  </w:rPr>
                </w:pPr>
                <w:r>
                  <w:rPr>
                    <w:b/>
                    <w:bCs/>
                    <w:sz w:val="20"/>
                  </w:rPr>
                  <w:t>1) vyrų ir moterų darbo užmokesčio atotrūkį;</w:t>
                </w:r>
              </w:p>
              <w:p w14:paraId="54A13C25" w14:textId="77777777">
                <w:pPr>
                  <w:jc w:val="both"/>
                  <w:rPr>
                    <w:b/>
                    <w:bCs/>
                    <w:sz w:val="20"/>
                  </w:rPr>
                </w:pPr>
                <w:r>
                  <w:rPr>
                    <w:b/>
                    <w:bCs/>
                    <w:sz w:val="20"/>
                  </w:rPr>
                  <w:t>2) vyrų ir moterų darbo užmokesčio atotrūkį, įvertinus papildomą darbo užmokestį, nurodytą šio kodekso 139 straipsnio 2 dalies 2–6 punktuose ir 144 straipsnio 1–4 ir 7 dalyse (toliau – papildomas darbo užmokestis);</w:t>
                </w:r>
              </w:p>
              <w:p w14:paraId="488D4224" w14:textId="77777777">
                <w:pPr>
                  <w:jc w:val="both"/>
                  <w:rPr>
                    <w:b/>
                    <w:bCs/>
                    <w:sz w:val="20"/>
                  </w:rPr>
                </w:pPr>
                <w:r>
                  <w:rPr>
                    <w:b/>
                    <w:bCs/>
                    <w:sz w:val="20"/>
                  </w:rPr>
                  <w:t>3) vyrų ir moterų darbo užmokesčio medianų atotrūkį;</w:t>
                </w:r>
              </w:p>
              <w:p w14:paraId="6E2F2BBA" w14:textId="77777777">
                <w:pPr>
                  <w:jc w:val="both"/>
                  <w:rPr>
                    <w:b/>
                    <w:bCs/>
                    <w:sz w:val="20"/>
                  </w:rPr>
                </w:pPr>
                <w:r>
                  <w:rPr>
                    <w:b/>
                    <w:bCs/>
                    <w:sz w:val="20"/>
                  </w:rPr>
                  <w:t>4) vyrų ir moterų darbo užmokesčio medianų atotrūkį, įvertinus papildomą darbo užmokestį;</w:t>
                </w:r>
              </w:p>
              <w:p w14:paraId="22AD77CE" w14:textId="77777777">
                <w:pPr>
                  <w:jc w:val="both"/>
                  <w:rPr>
                    <w:b/>
                    <w:bCs/>
                    <w:sz w:val="20"/>
                  </w:rPr>
                </w:pPr>
                <w:r>
                  <w:rPr>
                    <w:b/>
                    <w:bCs/>
                    <w:sz w:val="20"/>
                  </w:rPr>
                  <w:t>5) vyrų ir moterų, gaunančių papildomą darbo užmokestį, dalį;</w:t>
                </w:r>
              </w:p>
              <w:p w14:paraId="73D9EFC7" w14:textId="77777777">
                <w:pPr>
                  <w:jc w:val="both"/>
                  <w:rPr>
                    <w:b/>
                    <w:bCs/>
                    <w:sz w:val="20"/>
                  </w:rPr>
                </w:pPr>
                <w:r>
                  <w:rPr>
                    <w:b/>
                    <w:bCs/>
                    <w:sz w:val="20"/>
                  </w:rPr>
                  <w:t xml:space="preserve">6) vyrų ir moterų dalį kiekviename darbo užmokesčio kvartilyje; </w:t>
                </w:r>
              </w:p>
              <w:p w14:paraId="2B2A236A" w14:textId="0AD08C3F">
                <w:pPr>
                  <w:jc w:val="both"/>
                  <w:rPr>
                    <w:b/>
                    <w:bCs/>
                    <w:sz w:val="20"/>
                  </w:rPr>
                </w:pPr>
                <w:r>
                  <w:rPr>
                    <w:b/>
                    <w:bCs/>
                    <w:sz w:val="20"/>
                  </w:rPr>
                  <w:t>7) vyrų ir moterų darbo užmokesčio atotrūkį pagal bazinį (tarifinį) darbo užmokestį ir papildomą darbo užmokestį pagal pareigybių grupes.</w:t>
                </w:r>
              </w:p>
              <w:p w14:paraId="4C8CC674" w14:textId="7776FCEB">
                <w:pPr>
                  <w:jc w:val="both"/>
                  <w:rPr>
                    <w:b/>
                    <w:bCs/>
                    <w:sz w:val="20"/>
                  </w:rPr>
                </w:pPr>
                <w:r>
                  <w:rPr>
                    <w:b/>
                    <w:bCs/>
                    <w:sz w:val="20"/>
                  </w:rPr>
                  <w:t>&lt;...&gt;“</w:t>
                </w:r>
              </w:p>
            </w:tc>
            <w:tc>
              <w:tcPr>
                <w:tcW w:w="1572" w:type="dxa"/>
                <w:tcBorders>
                  <w:top w:val="single" w:sz="4" w:space="0" w:color="auto"/>
                  <w:bottom w:val="single" w:sz="4" w:space="0" w:color="auto"/>
                </w:tcBorders>
              </w:tcPr>
              <w:p w14:paraId="5508B880" w14:textId="210F0ED4">
                <w:pPr>
                  <w:jc w:val="both"/>
                  <w:rPr>
                    <w:color w:val="000000"/>
                    <w:sz w:val="20"/>
                  </w:rPr>
                </w:pPr>
                <w:r>
                  <w:rPr>
                    <w:color w:val="000000"/>
                    <w:sz w:val="20"/>
                  </w:rPr>
                  <w:t>Visiškas</w:t>
                </w:r>
              </w:p>
              <w:p w14:paraId="4FA63F2F" w14:textId="306B1B4B">
                <w:pPr>
                  <w:jc w:val="both"/>
                  <w:rPr>
                    <w:color w:val="000000"/>
                    <w:sz w:val="20"/>
                  </w:rPr>
                </w:pPr>
              </w:p>
            </w:tc>
          </w:tr>
          <w:tr w14:paraId="7029F382" w14:textId="77777777">
            <w:tc>
              <w:tcPr>
                <w:tcW w:w="8391" w:type="dxa"/>
                <w:tcBorders>
                  <w:top w:val="single" w:sz="4" w:space="0" w:color="auto"/>
                  <w:bottom w:val="single" w:sz="4" w:space="0" w:color="auto"/>
                </w:tcBorders>
              </w:tcPr>
              <w:p w14:paraId="03A6B197" w14:textId="77777777">
                <w:pPr>
                  <w:jc w:val="both"/>
                  <w:rPr>
                    <w:bCs/>
                    <w:sz w:val="20"/>
                  </w:rPr>
                </w:pPr>
                <w:r>
                  <w:rPr>
                    <w:bCs/>
                    <w:sz w:val="20"/>
                  </w:rPr>
                  <w:t>9. Darbdaviai 1 dalies g punkte nurodytą informaciją pateikia visiems savo darbuotojams ir tų darbuotojų atstovams. Darbdaviai, gavę prašymą, pateikia informaciją darbo inspekcijai ir lygybės institucijai. Gavę prašymą, jie pateikia ir ankstesnių ketverių metų informaciją, jei ją turi.</w:t>
                </w:r>
              </w:p>
              <w:p w14:paraId="0801AC79" w14:textId="2586365D">
                <w:pPr>
                  <w:jc w:val="both"/>
                  <w:rPr>
                    <w:bCs/>
                    <w:sz w:val="20"/>
                  </w:rPr>
                </w:pPr>
              </w:p>
            </w:tc>
            <w:tc>
              <w:tcPr>
                <w:tcW w:w="5347" w:type="dxa"/>
                <w:tcBorders>
                  <w:top w:val="single" w:sz="4" w:space="0" w:color="auto"/>
                  <w:bottom w:val="single" w:sz="4" w:space="0" w:color="auto"/>
                </w:tcBorders>
              </w:tcPr>
              <w:p w14:paraId="195F7F22" w14:textId="77777777">
                <w:pPr>
                  <w:jc w:val="both"/>
                  <w:rPr>
                    <w:b/>
                    <w:bCs/>
                    <w:sz w:val="20"/>
                  </w:rPr>
                </w:pPr>
                <w:r>
                  <w:rPr>
                    <w:b/>
                    <w:bCs/>
                    <w:sz w:val="20"/>
                  </w:rPr>
                  <w:t>DK projektas</w:t>
                </w:r>
              </w:p>
              <w:p w14:paraId="7F9D07B3" w14:textId="77777777">
                <w:pPr>
                  <w:jc w:val="both"/>
                  <w:rPr>
                    <w:b/>
                    <w:bCs/>
                    <w:sz w:val="20"/>
                  </w:rPr>
                </w:pPr>
                <w:r>
                  <w:rPr>
                    <w:b/>
                    <w:bCs/>
                    <w:sz w:val="20"/>
                  </w:rPr>
                  <w:t>1 straipsnis. 23 straipsnio pakeitimas</w:t>
                </w:r>
              </w:p>
              <w:p w14:paraId="463D61C0" w14:textId="77777777">
                <w:pPr>
                  <w:jc w:val="both"/>
                  <w:rPr>
                    <w:b/>
                    <w:bCs/>
                    <w:sz w:val="20"/>
                  </w:rPr>
                </w:pPr>
                <w:r>
                  <w:rPr>
                    <w:b/>
                    <w:bCs/>
                    <w:sz w:val="20"/>
                  </w:rPr>
                  <w:t>Pakeisti 23 straipsnį ir jį išdėstyti taip:</w:t>
                </w:r>
              </w:p>
              <w:p w14:paraId="3BDBE92D" w14:textId="77777777">
                <w:pPr>
                  <w:jc w:val="both"/>
                  <w:rPr>
                    <w:b/>
                    <w:bCs/>
                    <w:sz w:val="20"/>
                  </w:rPr>
                </w:pPr>
                <w:r>
                  <w:rPr>
                    <w:b/>
                    <w:bCs/>
                    <w:sz w:val="20"/>
                  </w:rPr>
                  <w:t>„&lt;...&gt;</w:t>
                </w:r>
              </w:p>
              <w:p w14:paraId="51AE9A6A" w14:textId="6453ABA1">
                <w:pPr>
                  <w:jc w:val="both"/>
                  <w:rPr>
                    <w:b/>
                    <w:bCs/>
                    <w:sz w:val="20"/>
                    <w:lang w:eastAsia="lt-LT"/>
                  </w:rPr>
                </w:pPr>
                <w:r>
                  <w:rPr>
                    <w:b/>
                    <w:bCs/>
                    <w:sz w:val="20"/>
                    <w:lang w:eastAsia="lt-LT"/>
                  </w:rPr>
                  <w:t>5. Valstybinio socialinio draudimo fondo valdyba duomenis apie šio straipsnio 4 dalyje nurodytus rodiklius – kiekvieno darbuotojo mėnesio vidutinį valandinį darbo užmokestį ir visų darbdavio darbuotojų mėnesio vidutinį valandinį darbo užmokestį pagal lytį toje pačioje pareigybių grupėje – kas mėnesį, o duomenis apie tokius rodiklius kaip kiekvieno darbuotojo metinis darbo užmokestis ir metų vidutinis valandinis darbo užmokestis bei visų darbdavio darbuotojų vidutinis metinis darbo užmokestis ir metų vidutinis valandinis darbo užmokestis pagal lytį toje pačioje pareigybių grupėje kasmet pateikia šio straipsnio 4 dalyje nurodytiems darbdaviams. Duomenis apie šio straipsnio 4 dalies 1–7 punktuose nurodytus praėjusių kalendorinių metų rodiklius Valstybinio socialinio draudimo fondo valdyba pateikia darbdaviams, kurių apdraustųjų asmenų skaičius – nuo 100 iki 249, kas trejus metus, o darbdaviams, kurių apdraustųjų asmenų skaičius – 250 ir daugiau, – kasmet. Darbdaviai per vieną mėnesį nuo duomenų apie apskaičiuotus rodiklius gavimo dienos duomenis apie šio straipsnio 4 dalies 7 punkte nurodytą rodiklį pagal pareigybių grupes, kuriose yra daugiau kaip 2 atitinkamos lyties darbuotojai, privalo pateikti darbuotojų atstovams ir darbuotojams. Valstybinio socialinio draudimo fondo valdyba duomenis apie šio straipsnio 4 dalyje nurodytus rodiklius teikia Valstybinei darbo inspekcijai ir Lygių galimybių kontrolieriaus tarnybai.</w:t>
                </w:r>
              </w:p>
              <w:p w14:paraId="01CA4164" w14:textId="08B821F4">
                <w:pPr>
                  <w:jc w:val="both"/>
                  <w:rPr>
                    <w:b/>
                    <w:bCs/>
                    <w:sz w:val="20"/>
                    <w:lang w:eastAsia="lt-LT"/>
                  </w:rPr>
                </w:pPr>
                <w:r>
                  <w:rPr>
                    <w:b/>
                    <w:bCs/>
                    <w:sz w:val="20"/>
                    <w:lang w:eastAsia="lt-LT"/>
                  </w:rPr>
                  <w:t>&lt;...&gt;</w:t>
                </w:r>
              </w:p>
              <w:p w14:paraId="20399DA5" w14:textId="058B6C2D">
                <w:pPr>
                  <w:jc w:val="both"/>
                  <w:rPr>
                    <w:b/>
                    <w:bCs/>
                    <w:sz w:val="20"/>
                    <w:lang w:eastAsia="lt-LT"/>
                  </w:rPr>
                </w:pPr>
                <w:r>
                  <w:rPr>
                    <w:b/>
                    <w:bCs/>
                    <w:sz w:val="20"/>
                    <w:lang w:eastAsia="lt-LT"/>
                  </w:rPr>
                  <w:t>8. Darbdaviai, kurių apdraustųjų asmenų skaičius – nuo 100 iki 249, duomenis apie darbuotojų, su kuriais šio kodekso 72 straipsnyje nustatyta tvarka sudaryta laikinojo darbo sutartis, praėjusių kalendorinių metų rodiklius, nurodytus šio straipsnio 4 dalies 1–7 punktuose, apskaičiuoja patys ir pateikia Valstybinio socialinio draudimo fondo valdybai kas trejus metus, o darbdaviai, kurių apdraustųjų asmenų skaičius – 250 ir daugiau, – kas metus. Šie darbdaviai duomenis apie šio straipsnio 4 dalies 7 punkte nurodytus praėjusių kalendorinių metų rodiklius turi pateikti Valstybinio socialinio draudimo fondo valdybai ir darbuotojų atstovams bei darbuotojams, jeigu pareigybių grupėje yra daugiau kaip 2 atitinkamos lyties darbuotojai. Valstybinio socialinio draudimo fondo valdyba šioje dalyje nurodytus duomenis apie minėtus rodiklius pateikia Valstybinei darbo inspekcijai ir Lygių galimybių kontrolieriaus tarnybai. Valstybinio socialinio draudimo fondo valdyba gautus duomenis apie darbuotojų, su kuriais šio kodekso 72 straipsnyje nustatyta tvarka sudaryta laikinojo darbo sutartis, praėjusių kalendorinių metų rodiklius, nurodytus šio straipsnio 4 dalies 1–6 punktuose, skelbia viešai.</w:t>
                </w:r>
              </w:p>
              <w:p w14:paraId="43425328" w14:textId="29A8CC37">
                <w:pPr>
                  <w:jc w:val="both"/>
                  <w:rPr>
                    <w:b/>
                    <w:bCs/>
                    <w:sz w:val="20"/>
                    <w:lang w:eastAsia="lt-LT"/>
                  </w:rPr>
                </w:pPr>
                <w:r>
                  <w:rPr>
                    <w:b/>
                    <w:bCs/>
                    <w:sz w:val="20"/>
                  </w:rPr>
                  <w:t>&lt;...&gt;“</w:t>
                </w:r>
              </w:p>
            </w:tc>
            <w:tc>
              <w:tcPr>
                <w:tcW w:w="1572" w:type="dxa"/>
                <w:tcBorders>
                  <w:top w:val="single" w:sz="4" w:space="0" w:color="auto"/>
                  <w:bottom w:val="single" w:sz="4" w:space="0" w:color="auto"/>
                </w:tcBorders>
              </w:tcPr>
              <w:p w14:paraId="07943703" w14:textId="2071EC0F">
                <w:pPr>
                  <w:jc w:val="both"/>
                  <w:rPr>
                    <w:color w:val="000000"/>
                    <w:sz w:val="20"/>
                  </w:rPr>
                </w:pPr>
                <w:r>
                  <w:rPr>
                    <w:color w:val="000000"/>
                    <w:sz w:val="20"/>
                  </w:rPr>
                  <w:t>Visiškas</w:t>
                </w:r>
              </w:p>
              <w:p w14:paraId="201F6914" w14:textId="2E36A999">
                <w:pPr>
                  <w:jc w:val="both"/>
                  <w:rPr>
                    <w:color w:val="000000"/>
                    <w:sz w:val="20"/>
                  </w:rPr>
                </w:pPr>
              </w:p>
              <w:p w14:paraId="616E49C6" w14:textId="77777777">
                <w:pPr>
                  <w:jc w:val="both"/>
                  <w:rPr>
                    <w:color w:val="000000"/>
                    <w:sz w:val="20"/>
                  </w:rPr>
                </w:pPr>
              </w:p>
              <w:p w14:paraId="627CFE05" w14:textId="68D685AF">
                <w:pPr>
                  <w:jc w:val="both"/>
                  <w:rPr>
                    <w:color w:val="000000"/>
                    <w:sz w:val="20"/>
                  </w:rPr>
                </w:pPr>
              </w:p>
            </w:tc>
          </w:tr>
          <w:tr w14:paraId="562F7A43" w14:textId="77777777">
            <w:tc>
              <w:tcPr>
                <w:tcW w:w="8391" w:type="dxa"/>
                <w:tcBorders>
                  <w:top w:val="single" w:sz="4" w:space="0" w:color="auto"/>
                  <w:bottom w:val="single" w:sz="4" w:space="0" w:color="auto"/>
                </w:tcBorders>
              </w:tcPr>
              <w:p w14:paraId="6DF925A5" w14:textId="43C60A0E">
                <w:pPr>
                  <w:jc w:val="both"/>
                  <w:rPr>
                    <w:bCs/>
                    <w:sz w:val="20"/>
                  </w:rPr>
                </w:pPr>
                <w:r>
                  <w:rPr>
                    <w:bCs/>
                    <w:sz w:val="20"/>
                  </w:rPr>
                  <w:t>10. Darbuotojai, darbuotojų atstovai, darbo inspekcijos ir lygybės institucijos turi teisę prašyti darbdavių pateikti papildomų paaiškinimų ir išsamesnės informacijos apie visus pateiktus duomenis, įskaitant paaiškinimus dėl bet kokio vyrų ir moterų darbo užmokesčio skirtumo. Darbdaviai į tokius prašymus reaguoja per pagrįstą laikotarpį pateikdami pagrįstą atsakymą. Jei vyrų ir moterų darbo užmokesčio skirtumas nepagrindžiamas objektyviais, lyties požiūriu neutraliais kriterijais, darbdaviai per pagrįstą laikotarpį ištaiso padėtį glaudžiai bendradarbiaudami su darbuotojų atstovais, darbo inspekcija ir (arba) lygybės institucija.</w:t>
                </w:r>
              </w:p>
            </w:tc>
            <w:tc>
              <w:tcPr>
                <w:tcW w:w="5347" w:type="dxa"/>
                <w:tcBorders>
                  <w:top w:val="single" w:sz="4" w:space="0" w:color="auto"/>
                  <w:bottom w:val="single" w:sz="4" w:space="0" w:color="auto"/>
                </w:tcBorders>
              </w:tcPr>
              <w:p w14:paraId="191B8970" w14:textId="4AAFF595">
                <w:pPr>
                  <w:jc w:val="both"/>
                  <w:rPr>
                    <w:b/>
                    <w:bCs/>
                    <w:sz w:val="20"/>
                    <w:lang w:eastAsia="lt-LT"/>
                  </w:rPr>
                </w:pPr>
                <w:r>
                  <w:rPr>
                    <w:b/>
                    <w:bCs/>
                    <w:sz w:val="20"/>
                    <w:lang w:eastAsia="lt-LT"/>
                  </w:rPr>
                  <w:t>DK projektas</w:t>
                </w:r>
              </w:p>
              <w:p w14:paraId="709C0551" w14:textId="77777777">
                <w:pPr>
                  <w:jc w:val="both"/>
                  <w:rPr>
                    <w:b/>
                    <w:bCs/>
                    <w:sz w:val="20"/>
                  </w:rPr>
                </w:pPr>
                <w:r>
                  <w:rPr>
                    <w:b/>
                    <w:bCs/>
                    <w:sz w:val="20"/>
                  </w:rPr>
                  <w:t>1 straipsnis. 23 straipsnio pakeitimas</w:t>
                </w:r>
              </w:p>
              <w:p w14:paraId="2C84DB61" w14:textId="1493025C">
                <w:pPr>
                  <w:jc w:val="both"/>
                  <w:rPr>
                    <w:b/>
                    <w:bCs/>
                    <w:sz w:val="20"/>
                  </w:rPr>
                </w:pPr>
                <w:r>
                  <w:rPr>
                    <w:b/>
                    <w:bCs/>
                    <w:sz w:val="20"/>
                  </w:rPr>
                  <w:t>Pakeisti 23 straipsnį ir jį išdėstyti taip:</w:t>
                </w:r>
              </w:p>
              <w:p w14:paraId="0695D2EF" w14:textId="43C6F578">
                <w:pPr>
                  <w:jc w:val="both"/>
                  <w:rPr>
                    <w:b/>
                    <w:bCs/>
                    <w:sz w:val="20"/>
                    <w:lang w:eastAsia="lt-LT"/>
                  </w:rPr>
                </w:pPr>
                <w:r>
                  <w:rPr>
                    <w:b/>
                    <w:bCs/>
                    <w:sz w:val="20"/>
                    <w:lang w:eastAsia="lt-LT"/>
                  </w:rPr>
                  <w:t>„&lt;...&gt;</w:t>
                </w:r>
              </w:p>
              <w:p w14:paraId="5B767530" w14:textId="77777777">
                <w:pPr>
                  <w:jc w:val="both"/>
                  <w:rPr>
                    <w:b/>
                    <w:bCs/>
                    <w:sz w:val="20"/>
                  </w:rPr>
                </w:pPr>
                <w:r>
                  <w:rPr>
                    <w:b/>
                    <w:bCs/>
                    <w:sz w:val="20"/>
                  </w:rPr>
                  <w:t>9. Jei, pateikus duomenis apie šio straipsnio 4 dalies 1–7 punktuose nurodytus rodiklius, darbuotojams, darbuotojų atstovams kyla neaiškumų, šio straipsnio 7–8 dalyse nurodyti darbdaviai, pareikalavus darbuotojams, darbuotojų atstovams, per protingą terminą, bet ne vėliau kaip per vieną mėnesį nuo prašymo pateikti paaiškinimus gavimo dienos, turi pateikti juos, įskaitant ir paaiškinimus dėl bet kokio vyrų ir moterų darbo užmokesčio skirtumo. Darbdaviai prašomus paaiškinimus, įskaitant ir paaiškinimus dėl bet kokio vyrų ir moterų darbo užmokesčio skirtumo, Valstybinei darbo inspekcijai ar Lygių galimybių kontrolieriaus tarnybai pareikalavus, turi pateikti per jų nustatytą terminą, bet ne vėliau kaip per 10 darbo dienų nuo prašymo pateikti paaiškinimus gavimo dienos.</w:t>
                </w:r>
              </w:p>
              <w:p w14:paraId="57834EC3" w14:textId="77777777">
                <w:pPr>
                  <w:jc w:val="both"/>
                  <w:rPr>
                    <w:b/>
                    <w:bCs/>
                    <w:sz w:val="20"/>
                  </w:rPr>
                </w:pPr>
                <w:r>
                  <w:rPr>
                    <w:b/>
                    <w:bCs/>
                    <w:sz w:val="20"/>
                  </w:rPr>
                  <w:t xml:space="preserve">10. Jei vyrų ir moterų darbo užmokesčio skirtumas nepagrindžiamas objektyviais, lyties požiūriu neutraliais kriterijais, šio straipsnio 7–8 dalyse nurodyti darbdaviai per protingą terminą, bet ne vėliau kaip per šešis mėnesius nuo duomenų apie šio straipsnio 4 dalies 1–7 punktuose nurodytus rodiklius gavimo dienos (o jei su darbuotojais šio kodekso 72 straipsnyje nustatyta tvarka sudaryta laikinojo darbo sutartis, – nuo duomenų apie šio straipsnio 8 dalyje nurodytus rodiklius pateikimo Valstybinio socialinio draudimo fondo valdybai dienos) ištaiso nepagrįstą vyrų ir moterų darbo užmokesčio skirtumą, bendradarbiaudami su darbuotojų atstovais. </w:t>
                </w:r>
              </w:p>
              <w:p w14:paraId="6E5F4DFC" w14:textId="268BAD47">
                <w:pPr>
                  <w:jc w:val="both"/>
                  <w:rPr>
                    <w:b/>
                    <w:bCs/>
                    <w:sz w:val="20"/>
                    <w:lang w:eastAsia="lt-LT"/>
                  </w:rPr>
                </w:pPr>
                <w:r>
                  <w:rPr>
                    <w:b/>
                    <w:bCs/>
                    <w:sz w:val="20"/>
                    <w:lang w:eastAsia="lt-LT"/>
                  </w:rPr>
                  <w:t>&lt;...&gt;“</w:t>
                </w:r>
              </w:p>
              <w:p w14:paraId="5BE1F8C1" w14:textId="0BD0E28C">
                <w:pPr>
                  <w:jc w:val="both"/>
                  <w:rPr>
                    <w:b/>
                    <w:color w:val="000000"/>
                    <w:sz w:val="20"/>
                  </w:rPr>
                </w:pPr>
                <w:r>
                  <w:rPr>
                    <w:b/>
                    <w:color w:val="000000"/>
                    <w:sz w:val="20"/>
                  </w:rPr>
                  <w:t>LGĮ</w:t>
                </w:r>
              </w:p>
              <w:p w14:paraId="2E9AB677" w14:textId="19B8A6C1">
                <w:pPr>
                  <w:jc w:val="both"/>
                  <w:rPr>
                    <w:b/>
                    <w:bCs/>
                    <w:color w:val="000000"/>
                    <w:sz w:val="20"/>
                  </w:rPr>
                </w:pPr>
                <w:r>
                  <w:rPr>
                    <w:b/>
                    <w:bCs/>
                    <w:color w:val="000000"/>
                    <w:sz w:val="20"/>
                  </w:rPr>
                  <w:t>17 straipsnis. Lygių galimybių kontrolieriaus kompetencija</w:t>
                </w:r>
              </w:p>
              <w:p w14:paraId="4FB4BBC0" w14:textId="77777777">
                <w:pPr>
                  <w:jc w:val="both"/>
                  <w:rPr>
                    <w:color w:val="000000"/>
                    <w:sz w:val="20"/>
                  </w:rPr>
                </w:pPr>
                <w:r>
                  <w:rPr>
                    <w:color w:val="000000"/>
                    <w:sz w:val="20"/>
                  </w:rPr>
                  <w:t>1. Lygių galimybių kontrolierius, vadovaudamasis teisėtumo, nešališkumo ir teisingumo principais, šio įstatymo nustatyta tvarka tiria skundus, atlieka tyrimus savo iniciatyva ir teikia konsultacijas dėl paklausimų.</w:t>
                </w:r>
              </w:p>
              <w:p w14:paraId="7971D865" w14:textId="6C131DD7">
                <w:pPr>
                  <w:jc w:val="both"/>
                  <w:rPr>
                    <w:b/>
                    <w:bCs/>
                    <w:color w:val="000000"/>
                    <w:sz w:val="20"/>
                  </w:rPr>
                </w:pPr>
                <w:r>
                  <w:rPr>
                    <w:b/>
                    <w:bCs/>
                    <w:color w:val="000000"/>
                    <w:sz w:val="20"/>
                  </w:rPr>
                  <w:t>VDI nuostatai</w:t>
                </w:r>
              </w:p>
              <w:p w14:paraId="735E46D9" w14:textId="50BF0BC8">
                <w:pPr>
                  <w:jc w:val="both"/>
                  <w:rPr>
                    <w:color w:val="000000"/>
                    <w:sz w:val="20"/>
                  </w:rPr>
                </w:pPr>
                <w:r>
                  <w:rPr>
                    <w:color w:val="000000"/>
                    <w:sz w:val="20"/>
                  </w:rPr>
                  <w:t>&lt;..&gt;</w:t>
                </w:r>
              </w:p>
              <w:p w14:paraId="0A2610B3" w14:textId="4390D575">
                <w:pPr>
                  <w:jc w:val="both"/>
                  <w:rPr>
                    <w:color w:val="000000"/>
                    <w:sz w:val="20"/>
                  </w:rPr>
                </w:pPr>
                <w:r>
                  <w:rPr>
                    <w:color w:val="000000"/>
                    <w:sz w:val="20"/>
                  </w:rPr>
                  <w:t>20. Valstybinės darbo inspekcijos inspektorius turi teisę gauti iš darbdaviams atstovaujančių asmenų, darbdavio įgaliotų asmenų, darbuotojų, savarankiškai dirbančių asmenų, kitų tikrinamoje darbo vietoje esančių asmenų paaiškinimus žodžiu ar raštu dėl darbo, darbuotojų saugos ir sveikatos įstatymų, kitų norminių teisės aktų, reglamentuojančių darbuotojų saugą ir sveikatą bei darbo santykius, pažeidimų ar dėl Valstybinės darbo inspekcijos nurodymų nevykdymo (nesant galimybės gauti šią informaciją vietoje, darbdaviui atstovaujantis asmuo ar darbdavio įgaliotas asmuo, ar savarankiškai dirbantis asmuo vyriausiojo valstybinio darbo inspektoriaus nustatyta tvarka kviečiamas į Valstybinės darbo inspekcijos teritorinį skyrių arba Valstybinės darbo inspekcijos administraciją).</w:t>
                </w:r>
              </w:p>
            </w:tc>
            <w:tc>
              <w:tcPr>
                <w:tcW w:w="1572" w:type="dxa"/>
                <w:tcBorders>
                  <w:top w:val="single" w:sz="4" w:space="0" w:color="auto"/>
                  <w:bottom w:val="single" w:sz="4" w:space="0" w:color="auto"/>
                </w:tcBorders>
              </w:tcPr>
              <w:p w14:paraId="7E3D5860" w14:textId="2D6F1106">
                <w:pPr>
                  <w:jc w:val="both"/>
                  <w:rPr>
                    <w:color w:val="000000"/>
                    <w:sz w:val="20"/>
                  </w:rPr>
                </w:pPr>
                <w:r>
                  <w:rPr>
                    <w:color w:val="000000"/>
                    <w:sz w:val="20"/>
                  </w:rPr>
                  <w:t>Visiškas</w:t>
                </w:r>
              </w:p>
              <w:p w14:paraId="72F3F9A9" w14:textId="77777777">
                <w:pPr>
                  <w:jc w:val="both"/>
                  <w:rPr>
                    <w:color w:val="000000"/>
                    <w:sz w:val="20"/>
                  </w:rPr>
                </w:pPr>
              </w:p>
              <w:p w14:paraId="715B49EA" w14:textId="725C6BE9">
                <w:pPr>
                  <w:jc w:val="both"/>
                  <w:rPr>
                    <w:color w:val="000000"/>
                    <w:sz w:val="20"/>
                  </w:rPr>
                </w:pPr>
              </w:p>
            </w:tc>
          </w:tr>
          <w:tr w14:paraId="10C3F14D" w14:textId="77777777">
            <w:tc>
              <w:tcPr>
                <w:tcW w:w="15310" w:type="dxa"/>
                <w:gridSpan w:val="3"/>
                <w:tcBorders>
                  <w:top w:val="single" w:sz="4" w:space="0" w:color="auto"/>
                  <w:bottom w:val="single" w:sz="4" w:space="0" w:color="auto"/>
                </w:tcBorders>
                <w:shd w:val="clear" w:color="auto" w:fill="D6E3BC" w:themeFill="accent3" w:themeFillTint="66"/>
              </w:tcPr>
              <w:p w14:paraId="727F17E0" w14:textId="32B1ED03">
                <w:pPr>
                  <w:jc w:val="both"/>
                  <w:rPr>
                    <w:b/>
                    <w:bCs/>
                    <w:color w:val="000000"/>
                    <w:sz w:val="20"/>
                  </w:rPr>
                </w:pPr>
                <w:r>
                  <w:rPr>
                    <w:b/>
                    <w:bCs/>
                    <w:color w:val="000000"/>
                    <w:sz w:val="20"/>
                  </w:rPr>
                  <w:t>10 straipsnis. Bendras darbo užmokesčio vertinimas</w:t>
                </w:r>
              </w:p>
            </w:tc>
          </w:tr>
          <w:tr w14:paraId="68CEE1D5" w14:textId="77777777">
            <w:tc>
              <w:tcPr>
                <w:tcW w:w="8391" w:type="dxa"/>
                <w:tcBorders>
                  <w:top w:val="single" w:sz="4" w:space="0" w:color="auto"/>
                  <w:bottom w:val="single" w:sz="4" w:space="0" w:color="auto"/>
                </w:tcBorders>
              </w:tcPr>
              <w:p w14:paraId="57F5F5EF" w14:textId="25D85ADE">
                <w:pPr>
                  <w:jc w:val="both"/>
                  <w:rPr>
                    <w:bCs/>
                    <w:sz w:val="20"/>
                  </w:rPr>
                </w:pPr>
                <w:r>
                  <w:rPr>
                    <w:bCs/>
                    <w:sz w:val="20"/>
                  </w:rPr>
                  <w:t>1. Valstybės narės imasi tinkamų priemonių užtikrinti, kad darbdaviai, kurie pagal 9 straipsnį turi pranešti apie darbo užmokestį, bendradarbiaudami su savo darbuotojų atstovais atliktų bendrą darbo užmokesčio vertinimą, kai esama visų toliau nurodytų sąlygų:</w:t>
                </w:r>
              </w:p>
            </w:tc>
            <w:tc>
              <w:tcPr>
                <w:tcW w:w="5347" w:type="dxa"/>
                <w:vMerge w:val="restart"/>
                <w:tcBorders>
                  <w:top w:val="single" w:sz="4" w:space="0" w:color="auto"/>
                </w:tcBorders>
              </w:tcPr>
              <w:p w14:paraId="7C7C3103" w14:textId="2935B0DA">
                <w:pPr>
                  <w:jc w:val="both"/>
                  <w:rPr>
                    <w:b/>
                    <w:bCs/>
                    <w:sz w:val="20"/>
                    <w:lang w:eastAsia="lt-LT"/>
                  </w:rPr>
                </w:pPr>
                <w:r>
                  <w:rPr>
                    <w:b/>
                    <w:bCs/>
                    <w:sz w:val="20"/>
                    <w:lang w:eastAsia="lt-LT"/>
                  </w:rPr>
                  <w:t>DK projektas</w:t>
                </w:r>
              </w:p>
              <w:p w14:paraId="029CA523" w14:textId="77777777">
                <w:pPr>
                  <w:jc w:val="both"/>
                  <w:rPr>
                    <w:b/>
                    <w:bCs/>
                    <w:sz w:val="20"/>
                  </w:rPr>
                </w:pPr>
                <w:r>
                  <w:rPr>
                    <w:b/>
                    <w:bCs/>
                    <w:sz w:val="20"/>
                  </w:rPr>
                  <w:t>1 straipsnis. 23 straipsnio pakeitimas</w:t>
                </w:r>
              </w:p>
              <w:p w14:paraId="4E77E6A3" w14:textId="77777777">
                <w:pPr>
                  <w:jc w:val="both"/>
                  <w:rPr>
                    <w:b/>
                    <w:bCs/>
                    <w:sz w:val="20"/>
                  </w:rPr>
                </w:pPr>
                <w:r>
                  <w:rPr>
                    <w:b/>
                    <w:bCs/>
                    <w:sz w:val="20"/>
                  </w:rPr>
                  <w:t>Pakeisti 23 straipsnį ir jį išdėstyti taip:</w:t>
                </w:r>
              </w:p>
              <w:p w14:paraId="076D2E7A" w14:textId="670C95C3">
                <w:pPr>
                  <w:jc w:val="both"/>
                  <w:rPr>
                    <w:b/>
                    <w:bCs/>
                    <w:sz w:val="20"/>
                    <w:lang w:eastAsia="lt-LT"/>
                  </w:rPr>
                </w:pPr>
                <w:r>
                  <w:rPr>
                    <w:b/>
                    <w:bCs/>
                    <w:sz w:val="20"/>
                    <w:lang w:eastAsia="lt-LT"/>
                  </w:rPr>
                  <w:t>„&lt;...&gt;</w:t>
                </w:r>
              </w:p>
              <w:p w14:paraId="475002B3" w14:textId="77777777">
                <w:pPr>
                  <w:jc w:val="both"/>
                  <w:rPr>
                    <w:b/>
                    <w:bCs/>
                    <w:sz w:val="20"/>
                  </w:rPr>
                </w:pPr>
                <w:r>
                  <w:rPr>
                    <w:b/>
                    <w:bCs/>
                    <w:sz w:val="20"/>
                  </w:rPr>
                  <w:t>11. Šio straipsnio 7–8 dalyse nurodyti darbdaviai, bendradarbiaudami su darbuotojų atstovais, turi atlikti ir pateikti darbuotojams, darbuotojų atstovams ir Valstybinei darbo inspekcijai bendrą darbo užmokesčio vertinimą, kurio tikslas – nustatyti ir ištaisyti tuos darbuotojų moterų ir darbuotojų vyrų darbo užmokesčio skirtumus, kurie nėra pagrįsti objektyviais, lyties požiūriu neutraliais kriterijais, ir nesudaryti prielaidų šiems skirtumams atsirasti, jei yra visos toliau nurodytos sąlygos:</w:t>
                </w:r>
              </w:p>
              <w:p w14:paraId="63847480" w14:textId="77777777">
                <w:pPr>
                  <w:jc w:val="both"/>
                  <w:rPr>
                    <w:b/>
                    <w:bCs/>
                    <w:sz w:val="20"/>
                  </w:rPr>
                </w:pPr>
                <w:r>
                  <w:rPr>
                    <w:b/>
                    <w:bCs/>
                    <w:sz w:val="20"/>
                  </w:rPr>
                  <w:t>1) duomenyse apie šio straipsnio 7–8 dalyse nurodytus rodiklius yra bent 5 procentų bet kurios pareigybių grupės vidutinio moterų ir vyrų darbo užmokesčio skirtumas;</w:t>
                </w:r>
              </w:p>
              <w:p w14:paraId="6B764CC8" w14:textId="77777777">
                <w:pPr>
                  <w:jc w:val="both"/>
                  <w:rPr>
                    <w:b/>
                    <w:bCs/>
                    <w:sz w:val="20"/>
                  </w:rPr>
                </w:pPr>
                <w:r>
                  <w:rPr>
                    <w:b/>
                    <w:bCs/>
                    <w:sz w:val="20"/>
                  </w:rPr>
                  <w:t>2) darbdavys tokio vidutinio darbo užmokesčio skirtumo nepagrindė, remdamasis objektyviais ir lyties požiūriu neutraliais kriterijais;</w:t>
                </w:r>
              </w:p>
              <w:p w14:paraId="4C5504EA" w14:textId="346C7F48">
                <w:pPr>
                  <w:jc w:val="both"/>
                  <w:rPr>
                    <w:b/>
                    <w:bCs/>
                    <w:sz w:val="20"/>
                  </w:rPr>
                </w:pPr>
                <w:r>
                  <w:rPr>
                    <w:b/>
                    <w:bCs/>
                    <w:sz w:val="20"/>
                  </w:rPr>
                  <w:t>3) darbdavys, vadovaudamasis šio straipsnio 10 dalimi, neištaisė nepagrįsto vidutinio darbo užmokesčio skirtumo per šešis mėnesius nuo duomenų apie šio straipsnio 4 dalies 1–7 punktuose nurodytus rodiklius gavimo dienos, o jei su darbuotojais šio kodekso 72 straipsnyje nustatyta tvarka sudaryta laikinojo darbo sutartis, – nuo duomenų apie šio straipsnio 8 dalyje nurodytus rodiklius pateikimo Valstybinio socialinio draudimo fondo valdybai dienos.</w:t>
                </w:r>
              </w:p>
              <w:p w14:paraId="11E8A898" w14:textId="22DEB383">
                <w:pPr>
                  <w:jc w:val="both"/>
                  <w:rPr>
                    <w:b/>
                    <w:bCs/>
                    <w:sz w:val="20"/>
                  </w:rPr>
                </w:pPr>
                <w:r>
                  <w:rPr>
                    <w:b/>
                    <w:bCs/>
                    <w:sz w:val="20"/>
                    <w:lang w:eastAsia="lt-LT"/>
                  </w:rPr>
                  <w:t>&lt;...&gt;“</w:t>
                </w:r>
              </w:p>
            </w:tc>
            <w:tc>
              <w:tcPr>
                <w:tcW w:w="1572" w:type="dxa"/>
                <w:vMerge w:val="restart"/>
                <w:tcBorders>
                  <w:top w:val="single" w:sz="4" w:space="0" w:color="auto"/>
                </w:tcBorders>
              </w:tcPr>
              <w:p w14:paraId="035885EB" w14:textId="2DDB011B">
                <w:pPr>
                  <w:jc w:val="both"/>
                  <w:rPr>
                    <w:color w:val="000000"/>
                    <w:sz w:val="20"/>
                  </w:rPr>
                </w:pPr>
                <w:r>
                  <w:rPr>
                    <w:color w:val="000000"/>
                    <w:sz w:val="20"/>
                  </w:rPr>
                  <w:t>Visiškas</w:t>
                </w:r>
              </w:p>
              <w:p w14:paraId="25988FBC" w14:textId="69C4C9EC">
                <w:pPr>
                  <w:jc w:val="both"/>
                  <w:rPr>
                    <w:color w:val="000000"/>
                    <w:sz w:val="20"/>
                  </w:rPr>
                </w:pPr>
              </w:p>
            </w:tc>
          </w:tr>
          <w:tr w14:paraId="4E415731" w14:textId="77777777">
            <w:tc>
              <w:tcPr>
                <w:tcW w:w="8391" w:type="dxa"/>
                <w:tcBorders>
                  <w:top w:val="single" w:sz="4" w:space="0" w:color="auto"/>
                  <w:bottom w:val="single" w:sz="4" w:space="0" w:color="auto"/>
                </w:tcBorders>
              </w:tcPr>
              <w:p w14:paraId="68052583" w14:textId="5E52F843">
                <w:pPr>
                  <w:jc w:val="both"/>
                  <w:rPr>
                    <w:bCs/>
                    <w:sz w:val="20"/>
                  </w:rPr>
                </w:pPr>
                <w:r>
                  <w:rPr>
                    <w:bCs/>
                    <w:sz w:val="20"/>
                  </w:rPr>
                  <w:t>a) pranešimas apie darbo užmokestį rodo bent 5 % bet kurios kategorijos darbuotojų vidutinio darbuotojų moterų ir darbuotojų vyrų darbo užmokesčio dydžio skirtumą;</w:t>
                </w:r>
              </w:p>
            </w:tc>
            <w:tc>
              <w:tcPr>
                <w:tcW w:w="5347" w:type="dxa"/>
                <w:vMerge/>
              </w:tcPr>
              <w:p w14:paraId="287D0681" w14:textId="0F641512">
                <w:pPr>
                  <w:jc w:val="both"/>
                  <w:rPr>
                    <w:b/>
                    <w:bCs/>
                    <w:color w:val="000000"/>
                    <w:sz w:val="20"/>
                  </w:rPr>
                </w:pPr>
              </w:p>
            </w:tc>
            <w:tc>
              <w:tcPr>
                <w:tcW w:w="1572" w:type="dxa"/>
                <w:vMerge/>
              </w:tcPr>
              <w:p w14:paraId="5F6F5CA0" w14:textId="04063463">
                <w:pPr>
                  <w:jc w:val="both"/>
                  <w:rPr>
                    <w:color w:val="000000"/>
                    <w:sz w:val="20"/>
                  </w:rPr>
                </w:pPr>
              </w:p>
            </w:tc>
          </w:tr>
          <w:tr w14:paraId="57830BD4" w14:textId="77777777">
            <w:tc>
              <w:tcPr>
                <w:tcW w:w="8391" w:type="dxa"/>
                <w:tcBorders>
                  <w:top w:val="single" w:sz="4" w:space="0" w:color="auto"/>
                  <w:bottom w:val="single" w:sz="4" w:space="0" w:color="auto"/>
                </w:tcBorders>
              </w:tcPr>
              <w:p w14:paraId="6D7AB4BD" w14:textId="581AB05E">
                <w:pPr>
                  <w:jc w:val="both"/>
                  <w:rPr>
                    <w:bCs/>
                    <w:sz w:val="20"/>
                  </w:rPr>
                </w:pPr>
                <w:r>
                  <w:rPr>
                    <w:bCs/>
                    <w:sz w:val="20"/>
                  </w:rPr>
                  <w:t>b) darbdavys tokio vidutinio darbo užmokesčio dydžio skirtumo nepagrindė remdamasis objektyviais, lyties požiūriu neutraliais kriterijais;</w:t>
                </w:r>
              </w:p>
            </w:tc>
            <w:tc>
              <w:tcPr>
                <w:tcW w:w="5347" w:type="dxa"/>
                <w:vMerge/>
              </w:tcPr>
              <w:p w14:paraId="177495AC" w14:textId="4C0C0D12">
                <w:pPr>
                  <w:jc w:val="both"/>
                  <w:rPr>
                    <w:b/>
                    <w:bCs/>
                    <w:color w:val="000000"/>
                    <w:sz w:val="20"/>
                  </w:rPr>
                </w:pPr>
              </w:p>
            </w:tc>
            <w:tc>
              <w:tcPr>
                <w:tcW w:w="1572" w:type="dxa"/>
                <w:vMerge/>
              </w:tcPr>
              <w:p w14:paraId="6E9EA73F" w14:textId="30A25CD0">
                <w:pPr>
                  <w:jc w:val="both"/>
                  <w:rPr>
                    <w:color w:val="000000"/>
                    <w:sz w:val="20"/>
                  </w:rPr>
                </w:pPr>
              </w:p>
            </w:tc>
          </w:tr>
          <w:tr w14:paraId="000A88CB" w14:textId="77777777">
            <w:tc>
              <w:tcPr>
                <w:tcW w:w="8391" w:type="dxa"/>
                <w:tcBorders>
                  <w:top w:val="single" w:sz="4" w:space="0" w:color="auto"/>
                  <w:bottom w:val="single" w:sz="4" w:space="0" w:color="auto"/>
                </w:tcBorders>
              </w:tcPr>
              <w:p w14:paraId="010B9C8A" w14:textId="5FCFB8B4">
                <w:pPr>
                  <w:jc w:val="both"/>
                  <w:rPr>
                    <w:bCs/>
                    <w:sz w:val="20"/>
                  </w:rPr>
                </w:pPr>
                <w:r>
                  <w:rPr>
                    <w:bCs/>
                    <w:sz w:val="20"/>
                  </w:rPr>
                  <w:t>c) darbdavys neištaisė tokio nepagrįsto vidutinio darbo užmokesčio dydžio skirtumo per šešis mėnesius nuo pranešimo apie darbo užmokestį pateikimo dienos.</w:t>
                </w:r>
              </w:p>
            </w:tc>
            <w:tc>
              <w:tcPr>
                <w:tcW w:w="5347" w:type="dxa"/>
                <w:vMerge/>
                <w:tcBorders>
                  <w:bottom w:val="single" w:sz="4" w:space="0" w:color="auto"/>
                </w:tcBorders>
              </w:tcPr>
              <w:p w14:paraId="35810777" w14:textId="20E41347">
                <w:pPr>
                  <w:jc w:val="both"/>
                  <w:rPr>
                    <w:b/>
                    <w:bCs/>
                    <w:color w:val="000000"/>
                    <w:sz w:val="20"/>
                  </w:rPr>
                </w:pPr>
              </w:p>
            </w:tc>
            <w:tc>
              <w:tcPr>
                <w:tcW w:w="1572" w:type="dxa"/>
                <w:vMerge/>
                <w:tcBorders>
                  <w:bottom w:val="single" w:sz="4" w:space="0" w:color="auto"/>
                </w:tcBorders>
              </w:tcPr>
              <w:p w14:paraId="320835F3" w14:textId="06B7D875">
                <w:pPr>
                  <w:jc w:val="both"/>
                  <w:rPr>
                    <w:color w:val="000000"/>
                    <w:sz w:val="20"/>
                  </w:rPr>
                </w:pPr>
              </w:p>
            </w:tc>
          </w:tr>
          <w:tr w14:paraId="0B3A9142" w14:textId="77777777">
            <w:tc>
              <w:tcPr>
                <w:tcW w:w="8391" w:type="dxa"/>
                <w:tcBorders>
                  <w:top w:val="single" w:sz="4" w:space="0" w:color="auto"/>
                  <w:bottom w:val="single" w:sz="4" w:space="0" w:color="auto"/>
                </w:tcBorders>
              </w:tcPr>
              <w:p w14:paraId="58A3D88E" w14:textId="77777777">
                <w:pPr>
                  <w:jc w:val="both"/>
                  <w:rPr>
                    <w:bCs/>
                    <w:sz w:val="20"/>
                  </w:rPr>
                </w:pPr>
                <w:r>
                  <w:rPr>
                    <w:bCs/>
                    <w:sz w:val="20"/>
                  </w:rPr>
                  <w:t>2. Bendras darbo užmokesčio vertinimas atliekamas siekiant nustatyti, ištaisyti darbuotojų moterų ir darbuotojų vyrų darbo užmokesčio skirtumus, kurie nėra pagrįsti objektyviais, lyties požiūriu neutraliais kriterijais, ir užkirsti kelią tokiems skirtumams, bei apima:</w:t>
                </w:r>
              </w:p>
              <w:p w14:paraId="2E0E6FBC" w14:textId="459CA574">
                <w:pPr>
                  <w:jc w:val="both"/>
                  <w:rPr>
                    <w:bCs/>
                    <w:sz w:val="20"/>
                  </w:rPr>
                </w:pPr>
              </w:p>
            </w:tc>
            <w:tc>
              <w:tcPr>
                <w:tcW w:w="5347" w:type="dxa"/>
                <w:vMerge w:val="restart"/>
                <w:tcBorders>
                  <w:top w:val="single" w:sz="4" w:space="0" w:color="auto"/>
                </w:tcBorders>
                <w:shd w:val="clear" w:color="auto" w:fill="FFFFFF" w:themeFill="background1"/>
              </w:tcPr>
              <w:p w14:paraId="213717D3" w14:textId="6B51D2B9">
                <w:pPr>
                  <w:jc w:val="both"/>
                  <w:rPr>
                    <w:i/>
                    <w:iCs/>
                    <w:sz w:val="20"/>
                  </w:rPr>
                </w:pPr>
                <w:r>
                  <w:rPr>
                    <w:i/>
                    <w:iCs/>
                    <w:sz w:val="20"/>
                  </w:rPr>
                  <w:t>Bendrojo darbo užmokesčio vertinimo atlikimo tvarka ir terminai bus numatomi Lietuvos Respublikos socialinės apsaugos ir darbo ministro patvirtintoje tvarkoje. Numatomas tvarkos turinys: rekomendacija, kaip sudaroma vertinimo komisija (į ją įtraukiami darbuotojų atstovai), vertinimo turinys (koks numatytas Direktyvos 10 str. 2 d.), vertinimo atlikimo terminai ir tvarka, galimi vertinimo rezultatai (kam juos turi pateikti, per kiek laiko ištaisyti situaciją).</w:t>
                </w:r>
              </w:p>
              <w:p w14:paraId="7AE1504B" w14:textId="1984B6AF">
                <w:pPr>
                  <w:jc w:val="both"/>
                  <w:rPr>
                    <w:sz w:val="20"/>
                  </w:rPr>
                </w:pPr>
                <w:r>
                  <w:rPr>
                    <w:i/>
                    <w:iCs/>
                    <w:sz w:val="20"/>
                  </w:rPr>
                  <w:t>Trišalėje taryboje sutarta, jog turinys bus derinamas su socialiniais partneriais.</w:t>
                </w:r>
              </w:p>
            </w:tc>
            <w:tc>
              <w:tcPr>
                <w:tcW w:w="1572" w:type="dxa"/>
                <w:vMerge w:val="restart"/>
                <w:tcBorders>
                  <w:top w:val="single" w:sz="4" w:space="0" w:color="auto"/>
                </w:tcBorders>
              </w:tcPr>
              <w:p w14:paraId="30D234A6" w14:textId="1CFDF6B7">
                <w:pPr>
                  <w:jc w:val="both"/>
                  <w:rPr>
                    <w:b/>
                    <w:bCs/>
                    <w:color w:val="000000"/>
                    <w:sz w:val="20"/>
                  </w:rPr>
                </w:pPr>
                <w:r>
                  <w:rPr>
                    <w:color w:val="000000"/>
                    <w:sz w:val="20"/>
                  </w:rPr>
                  <w:t>Dalinis, Visiškas, kai SADM priims poįstatyminius teisės aktus iki 2026-06-06</w:t>
                </w:r>
              </w:p>
            </w:tc>
          </w:tr>
          <w:tr w14:paraId="5EE7B988" w14:textId="77777777">
            <w:tc>
              <w:tcPr>
                <w:tcW w:w="8391" w:type="dxa"/>
                <w:tcBorders>
                  <w:top w:val="single" w:sz="4" w:space="0" w:color="auto"/>
                  <w:bottom w:val="single" w:sz="4" w:space="0" w:color="auto"/>
                </w:tcBorders>
              </w:tcPr>
              <w:p w14:paraId="442114F7" w14:textId="1EF1F603">
                <w:pPr>
                  <w:jc w:val="both"/>
                  <w:rPr>
                    <w:bCs/>
                    <w:sz w:val="20"/>
                  </w:rPr>
                </w:pPr>
                <w:r>
                  <w:rPr>
                    <w:bCs/>
                    <w:sz w:val="20"/>
                  </w:rPr>
                  <w:t>a) kiekvienos kategorijos darbuotojų moterų ir darbuotojų vyrų dalies analizę;</w:t>
                </w:r>
              </w:p>
            </w:tc>
            <w:tc>
              <w:tcPr>
                <w:tcW w:w="5347" w:type="dxa"/>
                <w:vMerge/>
                <w:shd w:val="clear" w:color="auto" w:fill="FFFFFF" w:themeFill="background1"/>
              </w:tcPr>
              <w:p w14:paraId="442E1488" w14:textId="7C34145C">
                <w:pPr>
                  <w:jc w:val="both"/>
                  <w:rPr>
                    <w:sz w:val="22"/>
                    <w:szCs w:val="22"/>
                  </w:rPr>
                </w:pPr>
              </w:p>
            </w:tc>
            <w:tc>
              <w:tcPr>
                <w:tcW w:w="1572" w:type="dxa"/>
                <w:vMerge/>
              </w:tcPr>
              <w:p w14:paraId="36D68637" w14:textId="77777777">
                <w:pPr>
                  <w:jc w:val="both"/>
                  <w:rPr>
                    <w:color w:val="000000"/>
                    <w:sz w:val="20"/>
                  </w:rPr>
                </w:pPr>
              </w:p>
            </w:tc>
          </w:tr>
          <w:tr w14:paraId="2498257C" w14:textId="77777777">
            <w:tc>
              <w:tcPr>
                <w:tcW w:w="8391" w:type="dxa"/>
                <w:tcBorders>
                  <w:top w:val="single" w:sz="4" w:space="0" w:color="auto"/>
                  <w:bottom w:val="single" w:sz="4" w:space="0" w:color="auto"/>
                </w:tcBorders>
              </w:tcPr>
              <w:p w14:paraId="705D347F" w14:textId="0BF8395A">
                <w:pPr>
                  <w:jc w:val="both"/>
                  <w:rPr>
                    <w:bCs/>
                    <w:sz w:val="20"/>
                  </w:rPr>
                </w:pPr>
                <w:r>
                  <w:rPr>
                    <w:bCs/>
                    <w:sz w:val="20"/>
                  </w:rPr>
                  <w:t>b) informaciją apie kiekvienos kategorijos darbuotojų vidutinio darbuotojų moterų ir darbuotojų vyrų darbo užmokesčio dydį ir papildomus arba kintamuosius darbo užmokesčio komponentus;</w:t>
                </w:r>
              </w:p>
            </w:tc>
            <w:tc>
              <w:tcPr>
                <w:tcW w:w="5347" w:type="dxa"/>
                <w:vMerge/>
                <w:shd w:val="clear" w:color="auto" w:fill="FFFFFF" w:themeFill="background1"/>
              </w:tcPr>
              <w:p w14:paraId="42B3DDA7" w14:textId="54573FBF">
                <w:pPr>
                  <w:jc w:val="both"/>
                  <w:rPr>
                    <w:sz w:val="22"/>
                    <w:szCs w:val="22"/>
                  </w:rPr>
                </w:pPr>
              </w:p>
            </w:tc>
            <w:tc>
              <w:tcPr>
                <w:tcW w:w="1572" w:type="dxa"/>
                <w:vMerge/>
              </w:tcPr>
              <w:p w14:paraId="094B30B4" w14:textId="77777777">
                <w:pPr>
                  <w:jc w:val="both"/>
                  <w:rPr>
                    <w:color w:val="000000"/>
                    <w:sz w:val="20"/>
                  </w:rPr>
                </w:pPr>
              </w:p>
            </w:tc>
          </w:tr>
          <w:tr w14:paraId="005DBBC7" w14:textId="77777777">
            <w:tc>
              <w:tcPr>
                <w:tcW w:w="8391" w:type="dxa"/>
                <w:tcBorders>
                  <w:top w:val="single" w:sz="4" w:space="0" w:color="auto"/>
                  <w:bottom w:val="single" w:sz="4" w:space="0" w:color="auto"/>
                </w:tcBorders>
              </w:tcPr>
              <w:p w14:paraId="0921F161" w14:textId="7B5FFD63">
                <w:pPr>
                  <w:jc w:val="both"/>
                  <w:rPr>
                    <w:bCs/>
                    <w:sz w:val="20"/>
                  </w:rPr>
                </w:pPr>
                <w:r>
                  <w:rPr>
                    <w:bCs/>
                    <w:sz w:val="20"/>
                  </w:rPr>
                  <w:t>c) kiekvienos kategorijos darbuotojų moterų ir darbuotojų vyrų vidutinio darbo užmokesčio dydžių skirtumus;</w:t>
                </w:r>
              </w:p>
            </w:tc>
            <w:tc>
              <w:tcPr>
                <w:tcW w:w="5347" w:type="dxa"/>
                <w:vMerge/>
                <w:shd w:val="clear" w:color="auto" w:fill="FFFFFF" w:themeFill="background1"/>
              </w:tcPr>
              <w:p w14:paraId="7635C4C4" w14:textId="77777777">
                <w:pPr>
                  <w:jc w:val="both"/>
                  <w:rPr>
                    <w:sz w:val="22"/>
                    <w:szCs w:val="22"/>
                  </w:rPr>
                </w:pPr>
              </w:p>
            </w:tc>
            <w:tc>
              <w:tcPr>
                <w:tcW w:w="1572" w:type="dxa"/>
                <w:vMerge/>
              </w:tcPr>
              <w:p w14:paraId="07CA8BB1" w14:textId="77777777">
                <w:pPr>
                  <w:jc w:val="both"/>
                  <w:rPr>
                    <w:color w:val="000000"/>
                    <w:sz w:val="20"/>
                  </w:rPr>
                </w:pPr>
              </w:p>
            </w:tc>
          </w:tr>
          <w:tr w14:paraId="6D8462AA" w14:textId="77777777">
            <w:tc>
              <w:tcPr>
                <w:tcW w:w="8391" w:type="dxa"/>
                <w:tcBorders>
                  <w:top w:val="single" w:sz="4" w:space="0" w:color="auto"/>
                  <w:bottom w:val="single" w:sz="4" w:space="0" w:color="auto"/>
                </w:tcBorders>
              </w:tcPr>
              <w:p w14:paraId="3BDF9A70" w14:textId="38A4C1DE">
                <w:pPr>
                  <w:jc w:val="both"/>
                  <w:rPr>
                    <w:bCs/>
                    <w:sz w:val="20"/>
                  </w:rPr>
                </w:pPr>
                <w:r>
                  <w:rPr>
                    <w:bCs/>
                    <w:sz w:val="20"/>
                  </w:rPr>
                  <w:t>d) tokių vidutinio darbo užmokesčio dydžių skirtumų priežastis, grindžiamas objektyviais, lyties požiūriu neutraliais kriterijais, jei tokie yra, kaip drauge yra nustatę darbuotojų atstovai ir darbdavys;</w:t>
                </w:r>
              </w:p>
            </w:tc>
            <w:tc>
              <w:tcPr>
                <w:tcW w:w="5347" w:type="dxa"/>
                <w:vMerge/>
                <w:shd w:val="clear" w:color="auto" w:fill="FFFFFF" w:themeFill="background1"/>
              </w:tcPr>
              <w:p w14:paraId="0C34955B" w14:textId="77777777">
                <w:pPr>
                  <w:jc w:val="both"/>
                  <w:rPr>
                    <w:b/>
                    <w:bCs/>
                    <w:color w:val="000000"/>
                    <w:sz w:val="20"/>
                  </w:rPr>
                </w:pPr>
              </w:p>
            </w:tc>
            <w:tc>
              <w:tcPr>
                <w:tcW w:w="1572" w:type="dxa"/>
                <w:vMerge/>
              </w:tcPr>
              <w:p w14:paraId="58526F4B" w14:textId="77777777">
                <w:pPr>
                  <w:jc w:val="both"/>
                  <w:rPr>
                    <w:color w:val="000000"/>
                    <w:sz w:val="20"/>
                  </w:rPr>
                </w:pPr>
              </w:p>
            </w:tc>
          </w:tr>
          <w:tr w14:paraId="576A424F" w14:textId="77777777">
            <w:tc>
              <w:tcPr>
                <w:tcW w:w="8391" w:type="dxa"/>
                <w:tcBorders>
                  <w:top w:val="single" w:sz="4" w:space="0" w:color="auto"/>
                  <w:bottom w:val="single" w:sz="4" w:space="0" w:color="auto"/>
                </w:tcBorders>
              </w:tcPr>
              <w:p w14:paraId="598C33D8" w14:textId="6A801DB5">
                <w:pPr>
                  <w:jc w:val="both"/>
                  <w:rPr>
                    <w:bCs/>
                    <w:sz w:val="20"/>
                  </w:rPr>
                </w:pPr>
                <w:r>
                  <w:rPr>
                    <w:bCs/>
                    <w:sz w:val="20"/>
                  </w:rPr>
                  <w:t>e) darbuotojų moterų ir darbuotojų vyrų, kurie, grįžę iš motinystės ar tėvystės atostogų, vaiko priežiūros atostogų arba slaugos atostogų, pasinaudojo bet kokiu darbo užmokesčio padidėjimu, jei toks padidėjimas atitinkamos kategorijos darbuotojams įvyko atostogų laikotarpiu, dalį;</w:t>
                </w:r>
              </w:p>
            </w:tc>
            <w:tc>
              <w:tcPr>
                <w:tcW w:w="5347" w:type="dxa"/>
                <w:vMerge/>
                <w:shd w:val="clear" w:color="auto" w:fill="FFFFFF" w:themeFill="background1"/>
              </w:tcPr>
              <w:p w14:paraId="72ADCD77" w14:textId="77777777">
                <w:pPr>
                  <w:jc w:val="both"/>
                  <w:rPr>
                    <w:b/>
                    <w:bCs/>
                    <w:color w:val="000000"/>
                    <w:sz w:val="20"/>
                  </w:rPr>
                </w:pPr>
              </w:p>
            </w:tc>
            <w:tc>
              <w:tcPr>
                <w:tcW w:w="1572" w:type="dxa"/>
                <w:vMerge/>
              </w:tcPr>
              <w:p w14:paraId="10B052EF" w14:textId="77777777">
                <w:pPr>
                  <w:jc w:val="both"/>
                  <w:rPr>
                    <w:color w:val="000000"/>
                    <w:sz w:val="20"/>
                  </w:rPr>
                </w:pPr>
              </w:p>
            </w:tc>
          </w:tr>
          <w:tr w14:paraId="5C959223" w14:textId="77777777">
            <w:tc>
              <w:tcPr>
                <w:tcW w:w="8391" w:type="dxa"/>
                <w:tcBorders>
                  <w:top w:val="single" w:sz="4" w:space="0" w:color="auto"/>
                  <w:bottom w:val="single" w:sz="4" w:space="0" w:color="auto"/>
                </w:tcBorders>
              </w:tcPr>
              <w:p w14:paraId="75D7F874" w14:textId="09D04754">
                <w:pPr>
                  <w:jc w:val="both"/>
                  <w:rPr>
                    <w:bCs/>
                    <w:sz w:val="20"/>
                  </w:rPr>
                </w:pPr>
                <w:r>
                  <w:rPr>
                    <w:bCs/>
                    <w:sz w:val="20"/>
                  </w:rPr>
                  <w:t>f) priemones, skirtas darbo užmokesčio skirtumams šalinti, jei jie nėra pagrįsti objektyviais, lyties požiūriu neutraliais kriterijais;</w:t>
                </w:r>
              </w:p>
            </w:tc>
            <w:tc>
              <w:tcPr>
                <w:tcW w:w="5347" w:type="dxa"/>
                <w:vMerge/>
                <w:shd w:val="clear" w:color="auto" w:fill="FFFFFF" w:themeFill="background1"/>
              </w:tcPr>
              <w:p w14:paraId="796383C8" w14:textId="77777777">
                <w:pPr>
                  <w:jc w:val="both"/>
                  <w:rPr>
                    <w:b/>
                    <w:bCs/>
                    <w:color w:val="000000"/>
                    <w:sz w:val="20"/>
                  </w:rPr>
                </w:pPr>
              </w:p>
            </w:tc>
            <w:tc>
              <w:tcPr>
                <w:tcW w:w="1572" w:type="dxa"/>
                <w:vMerge/>
              </w:tcPr>
              <w:p w14:paraId="79C3836B" w14:textId="77777777">
                <w:pPr>
                  <w:jc w:val="both"/>
                  <w:rPr>
                    <w:color w:val="000000"/>
                    <w:sz w:val="20"/>
                  </w:rPr>
                </w:pPr>
              </w:p>
            </w:tc>
          </w:tr>
          <w:tr w14:paraId="65864906" w14:textId="77777777">
            <w:tc>
              <w:tcPr>
                <w:tcW w:w="8391" w:type="dxa"/>
                <w:tcBorders>
                  <w:top w:val="single" w:sz="4" w:space="0" w:color="auto"/>
                  <w:bottom w:val="single" w:sz="4" w:space="0" w:color="auto"/>
                </w:tcBorders>
              </w:tcPr>
              <w:p w14:paraId="47389B86" w14:textId="28218255">
                <w:pPr>
                  <w:jc w:val="both"/>
                  <w:rPr>
                    <w:bCs/>
                    <w:sz w:val="20"/>
                  </w:rPr>
                </w:pPr>
                <w:r>
                  <w:rPr>
                    <w:bCs/>
                    <w:sz w:val="20"/>
                  </w:rPr>
                  <w:t>g) ankstesniuose bendruose darbo užmokesčio vertinimuose nurodytų priemonių veiksmingumo vertinimą.</w:t>
                </w:r>
              </w:p>
            </w:tc>
            <w:tc>
              <w:tcPr>
                <w:tcW w:w="5347" w:type="dxa"/>
                <w:vMerge/>
                <w:tcBorders>
                  <w:bottom w:val="single" w:sz="4" w:space="0" w:color="auto"/>
                </w:tcBorders>
                <w:shd w:val="clear" w:color="auto" w:fill="FFFFFF" w:themeFill="background1"/>
              </w:tcPr>
              <w:p w14:paraId="61B32D42" w14:textId="77777777">
                <w:pPr>
                  <w:jc w:val="both"/>
                  <w:rPr>
                    <w:b/>
                    <w:bCs/>
                    <w:color w:val="000000"/>
                    <w:sz w:val="20"/>
                  </w:rPr>
                </w:pPr>
              </w:p>
            </w:tc>
            <w:tc>
              <w:tcPr>
                <w:tcW w:w="1572" w:type="dxa"/>
                <w:vMerge/>
                <w:tcBorders>
                  <w:bottom w:val="single" w:sz="4" w:space="0" w:color="auto"/>
                </w:tcBorders>
              </w:tcPr>
              <w:p w14:paraId="31DC250E" w14:textId="77777777">
                <w:pPr>
                  <w:jc w:val="both"/>
                  <w:rPr>
                    <w:color w:val="000000"/>
                    <w:sz w:val="20"/>
                  </w:rPr>
                </w:pPr>
              </w:p>
            </w:tc>
          </w:tr>
          <w:tr w14:paraId="5EB08C87" w14:textId="77777777">
            <w:tc>
              <w:tcPr>
                <w:tcW w:w="8391" w:type="dxa"/>
                <w:tcBorders>
                  <w:top w:val="single" w:sz="4" w:space="0" w:color="auto"/>
                  <w:bottom w:val="single" w:sz="4" w:space="0" w:color="auto"/>
                </w:tcBorders>
              </w:tcPr>
              <w:p w14:paraId="28BEB362" w14:textId="13F55A82">
                <w:pPr>
                  <w:jc w:val="both"/>
                  <w:rPr>
                    <w:bCs/>
                    <w:sz w:val="20"/>
                  </w:rPr>
                </w:pPr>
                <w:r>
                  <w:rPr>
                    <w:bCs/>
                    <w:sz w:val="20"/>
                  </w:rPr>
                  <w:t>3. Darbdaviai pateikia bendrą darbo užmokesčio vertinimą darbuotojams ir darbuotojų atstovams ir pateikia jį stebėsenos įstaigai pagal 29 straipsnio 3 dalies d punktą. Darbdaviai, gavę prašymą, pateikia jį darbo inspekcijai ir lygybės institucijai.</w:t>
                </w:r>
              </w:p>
            </w:tc>
            <w:tc>
              <w:tcPr>
                <w:tcW w:w="5347" w:type="dxa"/>
                <w:tcBorders>
                  <w:top w:val="single" w:sz="4" w:space="0" w:color="auto"/>
                  <w:bottom w:val="single" w:sz="4" w:space="0" w:color="auto"/>
                </w:tcBorders>
              </w:tcPr>
              <w:p w14:paraId="36F48427" w14:textId="4154C6D1">
                <w:pPr>
                  <w:jc w:val="both"/>
                  <w:rPr>
                    <w:color w:val="000000"/>
                    <w:sz w:val="20"/>
                  </w:rPr>
                </w:pPr>
                <w:r>
                  <w:rPr>
                    <w:color w:val="000000"/>
                    <w:sz w:val="20"/>
                  </w:rPr>
                  <w:t>Bus reglamentuojama Lietuvos Respublikos socialinės apsaugos ir darbo ministro patvirtintoje tvarkoje.</w:t>
                </w:r>
              </w:p>
            </w:tc>
            <w:tc>
              <w:tcPr>
                <w:tcW w:w="1572" w:type="dxa"/>
                <w:tcBorders>
                  <w:top w:val="single" w:sz="4" w:space="0" w:color="auto"/>
                  <w:bottom w:val="single" w:sz="4" w:space="0" w:color="auto"/>
                </w:tcBorders>
              </w:tcPr>
              <w:p w14:paraId="5D7EA5EE" w14:textId="55EE9076">
                <w:pPr>
                  <w:jc w:val="both"/>
                  <w:rPr>
                    <w:color w:val="000000"/>
                    <w:sz w:val="20"/>
                  </w:rPr>
                </w:pPr>
                <w:r>
                  <w:rPr>
                    <w:color w:val="000000"/>
                    <w:sz w:val="20"/>
                  </w:rPr>
                  <w:t>Dalinis, Visiškas, kai SADM priims poįstatyminius teisės aktus iki 2026-06-06</w:t>
                </w:r>
              </w:p>
            </w:tc>
          </w:tr>
          <w:tr w14:paraId="38453618" w14:textId="77777777">
            <w:tc>
              <w:tcPr>
                <w:tcW w:w="8391" w:type="dxa"/>
                <w:tcBorders>
                  <w:top w:val="single" w:sz="4" w:space="0" w:color="auto"/>
                  <w:bottom w:val="single" w:sz="4" w:space="0" w:color="auto"/>
                </w:tcBorders>
              </w:tcPr>
              <w:p w14:paraId="57654997" w14:textId="64B2FD3D">
                <w:pPr>
                  <w:jc w:val="both"/>
                  <w:rPr>
                    <w:bCs/>
                    <w:sz w:val="20"/>
                  </w:rPr>
                </w:pPr>
                <w:r>
                  <w:rPr>
                    <w:bCs/>
                    <w:sz w:val="20"/>
                  </w:rPr>
                  <w:t>4. Įgyvendindamas bendro darbo užmokesčio vertinime nustatytas priemones, darbdavys, pagal nacionalinę teisę ir (arba) praktiką glaudžiai bendradarbiaudamas su darbuotojų atstovais, per pagrįstą laikotarpį ištaiso nepagrįstus darbo užmokesčio skirtumus. Darbo inspekcijos ir (arba) lygybės institucijos gali būti paprašyta dalyvauti šiame procese. Priemonių įgyvendinimas apima esamų lyties požiūriu neutralių darbo vertinimo ir pareigybių klasifikavimo sistemų analizę arba tokių sistemų sukūrimą, siekiant užtikrinti, kad darbo užmokesčio srityje nebūtų jokios tiesioginės ar netiesioginės diskriminacijos dėl lyties.</w:t>
                </w:r>
              </w:p>
            </w:tc>
            <w:tc>
              <w:tcPr>
                <w:tcW w:w="5347" w:type="dxa"/>
                <w:tcBorders>
                  <w:top w:val="single" w:sz="4" w:space="0" w:color="auto"/>
                  <w:bottom w:val="single" w:sz="4" w:space="0" w:color="auto"/>
                </w:tcBorders>
              </w:tcPr>
              <w:p w14:paraId="63C50E74" w14:textId="46408AA4">
                <w:pPr>
                  <w:jc w:val="both"/>
                  <w:rPr>
                    <w:b/>
                    <w:bCs/>
                    <w:color w:val="EE0000"/>
                    <w:sz w:val="20"/>
                  </w:rPr>
                </w:pPr>
                <w:r>
                  <w:rPr>
                    <w:color w:val="000000"/>
                    <w:sz w:val="20"/>
                  </w:rPr>
                  <w:t>Bus reglamentuojama Lietuvos Respublikos socialinės apsaugos ir darbo ministro patvirtintoje tvarkoje.</w:t>
                </w:r>
              </w:p>
            </w:tc>
            <w:tc>
              <w:tcPr>
                <w:tcW w:w="1572" w:type="dxa"/>
                <w:tcBorders>
                  <w:top w:val="single" w:sz="4" w:space="0" w:color="auto"/>
                  <w:bottom w:val="single" w:sz="4" w:space="0" w:color="auto"/>
                </w:tcBorders>
              </w:tcPr>
              <w:p w14:paraId="19C867DD" w14:textId="3C28F1BC">
                <w:pPr>
                  <w:jc w:val="both"/>
                  <w:rPr>
                    <w:color w:val="000000"/>
                    <w:sz w:val="20"/>
                  </w:rPr>
                </w:pPr>
                <w:r>
                  <w:rPr>
                    <w:color w:val="000000"/>
                    <w:sz w:val="20"/>
                  </w:rPr>
                  <w:t>Dalinis, Visiškas, kai SADM priims poįstatyminius teisės aktus iki 2026-06-06</w:t>
                </w:r>
              </w:p>
            </w:tc>
          </w:tr>
          <w:tr w14:paraId="5E1D1D5D" w14:textId="77777777">
            <w:tc>
              <w:tcPr>
                <w:tcW w:w="15310" w:type="dxa"/>
                <w:gridSpan w:val="3"/>
                <w:tcBorders>
                  <w:top w:val="single" w:sz="4" w:space="0" w:color="auto"/>
                  <w:bottom w:val="single" w:sz="4" w:space="0" w:color="auto"/>
                </w:tcBorders>
                <w:shd w:val="clear" w:color="auto" w:fill="D6E3BC" w:themeFill="accent3" w:themeFillTint="66"/>
              </w:tcPr>
              <w:p w14:paraId="41470F27" w14:textId="3AD5B941">
                <w:pPr>
                  <w:jc w:val="both"/>
                  <w:rPr>
                    <w:color w:val="000000"/>
                    <w:sz w:val="20"/>
                  </w:rPr>
                </w:pPr>
                <w:r>
                  <w:rPr>
                    <w:b/>
                    <w:bCs/>
                    <w:color w:val="000000"/>
                    <w:sz w:val="20"/>
                  </w:rPr>
                  <w:t>11 straipsnis. Parama darbdaviams, turintiems mažiau nei 250 darbuotojų</w:t>
                </w:r>
              </w:p>
            </w:tc>
          </w:tr>
          <w:tr w14:paraId="5CE39372" w14:textId="77777777">
            <w:trPr>
              <w:trHeight w:val="699"/>
            </w:trPr>
            <w:tc>
              <w:tcPr>
                <w:tcW w:w="8391" w:type="dxa"/>
                <w:shd w:val="clear" w:color="auto" w:fill="FFFFFF" w:themeFill="background1"/>
              </w:tcPr>
              <w:p w14:paraId="1CA220CC" w14:textId="0D602F66">
                <w:pPr>
                  <w:jc w:val="both"/>
                  <w:rPr>
                    <w:bCs/>
                    <w:color w:val="000000"/>
                    <w:sz w:val="20"/>
                  </w:rPr>
                </w:pPr>
                <w:r>
                  <w:rPr>
                    <w:bCs/>
                    <w:color w:val="000000"/>
                    <w:sz w:val="20"/>
                  </w:rPr>
                  <w:t>Valstybės narės, laikydamosi šioje direktyvoje nustatytų pareigų, techninės pagalbos ir mokymo forma teikia paramą darbdaviams, turintiems mažiau nei 250 darbuotojų, ir atitinkamiems darbuotojų atstovams, kad jiems būtų lengviau laikytis šioje direktyvoje nustatytų įpareigojimų.</w:t>
                </w:r>
              </w:p>
            </w:tc>
            <w:tc>
              <w:tcPr>
                <w:tcW w:w="5347" w:type="dxa"/>
                <w:shd w:val="clear" w:color="auto" w:fill="FFFFFF" w:themeFill="background1"/>
              </w:tcPr>
              <w:p w14:paraId="7713D3A5" w14:textId="32BE25A7">
                <w:pPr>
                  <w:jc w:val="both"/>
                  <w:rPr>
                    <w:b/>
                    <w:bCs/>
                    <w:sz w:val="20"/>
                  </w:rPr>
                </w:pPr>
                <w:r>
                  <w:rPr>
                    <w:b/>
                    <w:bCs/>
                    <w:sz w:val="20"/>
                  </w:rPr>
                  <w:t>LGĮ nuostatai</w:t>
                </w:r>
              </w:p>
              <w:p w14:paraId="1F6A1DD0" w14:textId="4C468C64">
                <w:pPr>
                  <w:jc w:val="both"/>
                  <w:rPr>
                    <w:sz w:val="20"/>
                  </w:rPr>
                </w:pPr>
                <w:r>
                  <w:rPr>
                    <w:sz w:val="20"/>
                  </w:rPr>
                  <w:t>9. Lygių galimybių kontrolieriaus tarnyba, padėdama lygių galimybių kontrolieriui įgyvendinti jam pavestas funkcijas:</w:t>
                </w:r>
              </w:p>
              <w:p w14:paraId="6C22A399" w14:textId="28FCD3D7">
                <w:pPr>
                  <w:jc w:val="both"/>
                  <w:rPr>
                    <w:sz w:val="20"/>
                  </w:rPr>
                </w:pPr>
                <w:r>
                  <w:rPr>
                    <w:sz w:val="20"/>
                  </w:rPr>
                  <w:t>&lt;...&gt;</w:t>
                </w:r>
              </w:p>
              <w:p w14:paraId="05EA084F" w14:textId="0E595C41">
                <w:pPr>
                  <w:jc w:val="both"/>
                  <w:rPr>
                    <w:sz w:val="20"/>
                  </w:rPr>
                </w:pPr>
                <w:r>
                  <w:rPr>
                    <w:sz w:val="20"/>
                  </w:rPr>
                  <w:t>9.4. teikia fiziniams ir juridiniams asmenims informaciją ir konsultacijas lygių galimybių kontrolieriaus veiklos klausimais;</w:t>
                </w:r>
              </w:p>
              <w:p w14:paraId="131446EF" w14:textId="378B6D4C">
                <w:pPr>
                  <w:jc w:val="both"/>
                  <w:rPr>
                    <w:sz w:val="20"/>
                  </w:rPr>
                </w:pPr>
                <w:r>
                  <w:rPr>
                    <w:sz w:val="20"/>
                  </w:rPr>
                  <w:t>&lt;...&gt;</w:t>
                </w:r>
              </w:p>
              <w:p w14:paraId="6B6D25A1" w14:textId="730E8035">
                <w:pPr>
                  <w:jc w:val="both"/>
                  <w:rPr>
                    <w:sz w:val="20"/>
                  </w:rPr>
                </w:pPr>
                <w:r>
                  <w:rPr>
                    <w:sz w:val="20"/>
                  </w:rPr>
                  <w:t>9.6. atlieka nepriklausomas lygių galimybių įgyvendinimo ir diskriminacijos padėties apžvalgas;</w:t>
                </w:r>
              </w:p>
              <w:p w14:paraId="2A45F3AE" w14:textId="40536597">
                <w:pPr>
                  <w:jc w:val="both"/>
                  <w:rPr>
                    <w:sz w:val="20"/>
                  </w:rPr>
                </w:pPr>
                <w:r>
                  <w:rPr>
                    <w:sz w:val="20"/>
                  </w:rPr>
                  <w:t>9.7. skelbia nepriklausomas ataskaitas, teikia išvadas ir rekomendacijas bet kokiais su lygių galimybių įgyvendinimu ir diskriminacija susijusiais klausimais;</w:t>
                </w:r>
              </w:p>
              <w:p w14:paraId="2A688F5F" w14:textId="6FA46188">
                <w:pPr>
                  <w:jc w:val="both"/>
                  <w:rPr>
                    <w:sz w:val="20"/>
                  </w:rPr>
                </w:pPr>
                <w:r>
                  <w:rPr>
                    <w:sz w:val="20"/>
                  </w:rPr>
                  <w:t>&lt;...&gt;</w:t>
                </w:r>
              </w:p>
              <w:p w14:paraId="7AFDA4B3" w14:textId="33A7D6B1">
                <w:pPr>
                  <w:jc w:val="both"/>
                  <w:rPr>
                    <w:sz w:val="20"/>
                  </w:rPr>
                </w:pPr>
                <w:r>
                  <w:rPr>
                    <w:sz w:val="20"/>
                  </w:rPr>
                  <w:t>9.10. vykdo prevencinę ir švietėjišką veiklą, lygių galimybių užtikrinimo sklaidą;</w:t>
                </w:r>
              </w:p>
              <w:p w14:paraId="565B1CDD" w14:textId="77777777">
                <w:pPr>
                  <w:jc w:val="both"/>
                  <w:rPr>
                    <w:sz w:val="20"/>
                  </w:rPr>
                </w:pPr>
                <w:r>
                  <w:rPr>
                    <w:sz w:val="20"/>
                  </w:rPr>
                  <w:t>9.11. inicijuoja tikslines priemones, projektines veiklas lygių galimybių ir nediskriminavimo klausimais ir jas įgyvendina;</w:t>
                </w:r>
              </w:p>
              <w:p w14:paraId="006F33A3" w14:textId="77777777">
                <w:pPr>
                  <w:jc w:val="both"/>
                  <w:rPr>
                    <w:sz w:val="20"/>
                  </w:rPr>
                </w:pPr>
                <w:r>
                  <w:rPr>
                    <w:sz w:val="20"/>
                  </w:rPr>
                  <w:t>9.12. renka ir apibendrina aktualią informaciją lygių galimybių integravimo klausimais;</w:t>
                </w:r>
              </w:p>
              <w:p w14:paraId="451CB687" w14:textId="77777777">
                <w:pPr>
                  <w:jc w:val="both"/>
                  <w:rPr>
                    <w:sz w:val="20"/>
                  </w:rPr>
                </w:pPr>
                <w:r>
                  <w:rPr>
                    <w:sz w:val="20"/>
                  </w:rPr>
                  <w:t>9.13. nuolat informuoja visuomenę apie lygių galimybių kontrolieriaus ir Lygių galimybių kontrolieriaus tarnybos veiklą;</w:t>
                </w:r>
              </w:p>
              <w:p w14:paraId="72036125" w14:textId="182993FC">
                <w:pPr>
                  <w:jc w:val="both"/>
                  <w:rPr>
                    <w:b/>
                    <w:bCs/>
                    <w:sz w:val="20"/>
                  </w:rPr>
                </w:pPr>
                <w:r>
                  <w:rPr>
                    <w:b/>
                    <w:bCs/>
                    <w:sz w:val="20"/>
                  </w:rPr>
                  <w:t>VDI nuostatai</w:t>
                </w:r>
              </w:p>
              <w:p w14:paraId="12D0EB35" w14:textId="38933DB4">
                <w:pPr>
                  <w:jc w:val="both"/>
                  <w:rPr>
                    <w:sz w:val="20"/>
                  </w:rPr>
                </w:pPr>
                <w:r>
                  <w:rPr>
                    <w:sz w:val="20"/>
                  </w:rPr>
                  <w:t>8.3.5. konsultuoja darbuotojus, darbuotojų atstovus, darbdaviams atstovaujančius asmenis, darbdavių įgaliotus asmenis Darbo kodekso, darbuotojų saugą ir sveikatą bei darbo santykius reglamentuojančių įstatymų ir kitų norminių teisės aktų taikymo bei vykdymo, kolektyvinių sutarčių sudarymo, profesinių sąjungų steigimo klausimais, rengia ir (ar) organizuoja atitinkamų metodikų, metodinių rekomendacijų, gerosios praktikos vadovų parengimą, jų aprobavimą ir skleidimą, taip pat konsultuoja savarankiškai dirbančius asmenis, vykdančius savarankišką veiklą statybvietėse, darbuotojų saugos ir sveikatos reikalavimų laikymosi klausimais, teikia jiems metodinę pagalbą;</w:t>
                </w:r>
              </w:p>
            </w:tc>
            <w:tc>
              <w:tcPr>
                <w:tcW w:w="1572" w:type="dxa"/>
                <w:shd w:val="clear" w:color="auto" w:fill="FFFFFF" w:themeFill="background1"/>
              </w:tcPr>
              <w:p w14:paraId="58C0E170" w14:textId="77777777">
                <w:pPr>
                  <w:jc w:val="both"/>
                  <w:rPr>
                    <w:color w:val="000000"/>
                    <w:sz w:val="20"/>
                  </w:rPr>
                </w:pPr>
                <w:r>
                  <w:rPr>
                    <w:color w:val="000000"/>
                    <w:sz w:val="20"/>
                  </w:rPr>
                  <w:t>Visiškas</w:t>
                </w:r>
              </w:p>
              <w:p w14:paraId="4E761B9D" w14:textId="77777777">
                <w:pPr>
                  <w:jc w:val="both"/>
                  <w:rPr>
                    <w:color w:val="000000"/>
                    <w:sz w:val="20"/>
                  </w:rPr>
                </w:pPr>
              </w:p>
              <w:p w14:paraId="73DC1376" w14:textId="36446E42">
                <w:pPr>
                  <w:jc w:val="both"/>
                  <w:rPr>
                    <w:color w:val="000000"/>
                    <w:sz w:val="20"/>
                  </w:rPr>
                </w:pPr>
              </w:p>
            </w:tc>
          </w:tr>
          <w:tr w14:paraId="5024DC06" w14:textId="77777777">
            <w:tc>
              <w:tcPr>
                <w:tcW w:w="15310" w:type="dxa"/>
                <w:gridSpan w:val="3"/>
                <w:shd w:val="clear" w:color="auto" w:fill="D6E3BC" w:themeFill="accent3" w:themeFillTint="66"/>
              </w:tcPr>
              <w:p w14:paraId="5ED2982D" w14:textId="6A62A885">
                <w:pPr>
                  <w:jc w:val="both"/>
                  <w:rPr>
                    <w:color w:val="000000"/>
                    <w:sz w:val="20"/>
                  </w:rPr>
                </w:pPr>
                <w:r>
                  <w:rPr>
                    <w:b/>
                    <w:bCs/>
                    <w:color w:val="000000"/>
                    <w:sz w:val="20"/>
                  </w:rPr>
                  <w:t>12 straipsnis.</w:t>
                </w:r>
                <w:r>
                  <w:rPr>
                    <w:color w:val="000000"/>
                    <w:sz w:val="20"/>
                  </w:rPr>
                  <w:t xml:space="preserve"> </w:t>
                </w:r>
                <w:r>
                  <w:rPr>
                    <w:b/>
                    <w:bCs/>
                    <w:color w:val="000000"/>
                    <w:sz w:val="20"/>
                  </w:rPr>
                  <w:t>Duomenų apsauga</w:t>
                </w:r>
              </w:p>
            </w:tc>
          </w:tr>
          <w:tr w14:paraId="252A2271" w14:textId="77777777">
            <w:tc>
              <w:tcPr>
                <w:tcW w:w="8391" w:type="dxa"/>
                <w:shd w:val="clear" w:color="auto" w:fill="FFFFFF" w:themeFill="background1"/>
              </w:tcPr>
              <w:p w14:paraId="0FBDDA20" w14:textId="345FB53A">
                <w:pPr>
                  <w:jc w:val="both"/>
                  <w:rPr>
                    <w:bCs/>
                    <w:sz w:val="20"/>
                  </w:rPr>
                </w:pPr>
                <w:r>
                  <w:rPr>
                    <w:bCs/>
                    <w:sz w:val="20"/>
                  </w:rPr>
                  <w:t xml:space="preserve">1.   Jei taikant priemones, kurių imamasi pagal 7, 9 ir 10 straipsnius, teikiama informacija apima asmens duomenų tvarkymą, ji teikiama pagal Reglamentą </w:t>
                </w:r>
                <w:fldSimple w:instr="HYPERLINK http://eur-lex.europa.eu/legal-content/LIT/TXT/?uri=CELEX:32016R0679&amp;locale=lt \t _blank">
                  <w:r>
                    <w:rPr>
                      <w:bCs/>
                      <w:sz w:val="20"/>
                      <w:u w:val="single"/>
                      <w:color w:val="0000FF" w:themeColor="hyperlink"/>
                    </w:rPr>
                    <w:t>(ES) 2016/679</w:t>
                  </w:r>
                </w:fldSimple>
                <w:r>
                  <w:rPr>
                    <w:bCs/>
                    <w:sz w:val="20"/>
                  </w:rPr>
                  <w:t>.</w:t>
                </w:r>
              </w:p>
            </w:tc>
            <w:tc>
              <w:tcPr>
                <w:tcW w:w="5347" w:type="dxa"/>
                <w:shd w:val="clear" w:color="auto" w:fill="FFFFFF" w:themeFill="background1"/>
              </w:tcPr>
              <w:p w14:paraId="7D771296" w14:textId="77777777">
                <w:pPr>
                  <w:jc w:val="both"/>
                  <w:rPr>
                    <w:color w:val="000000"/>
                    <w:sz w:val="20"/>
                  </w:rPr>
                </w:pPr>
                <w:r>
                  <w:rPr>
                    <w:b/>
                    <w:bCs/>
                    <w:color w:val="000000"/>
                    <w:sz w:val="20"/>
                  </w:rPr>
                  <w:t>ADTAĮ</w:t>
                </w:r>
                <w:r>
                  <w:rPr>
                    <w:color w:val="000000"/>
                    <w:sz w:val="20"/>
                  </w:rPr>
                  <w:t xml:space="preserve"> </w:t>
                </w:r>
              </w:p>
              <w:p w14:paraId="16C89A68" w14:textId="604B0FD4">
                <w:pPr>
                  <w:jc w:val="both"/>
                  <w:rPr>
                    <w:color w:val="000000"/>
                    <w:sz w:val="20"/>
                  </w:rPr>
                </w:pPr>
                <w:r>
                  <w:rPr>
                    <w:b/>
                    <w:bCs/>
                    <w:color w:val="000000"/>
                    <w:sz w:val="20"/>
                  </w:rPr>
                  <w:t>ĮGYVENDINAMI EUROPOS SĄJUNGOS TEISĖS AKTAI</w:t>
                </w:r>
              </w:p>
              <w:p w14:paraId="0C3AAF92" w14:textId="00095C15">
                <w:pPr>
                  <w:jc w:val="both"/>
                  <w:rPr>
                    <w:color w:val="000000"/>
                    <w:sz w:val="20"/>
                  </w:rPr>
                </w:pPr>
                <w:r>
                  <w:rPr>
                    <w:color w:val="000000"/>
                    <w:sz w:val="20"/>
                  </w:rPr>
                  <w:t>2016 m. balandžio 27 d. Europos Parlamento ir Tarybos reglamentas </w:t>
                </w:r>
                <w:fldSimple w:instr="HYPERLINK http://eur-lex.europa.eu/legal-content/LIT/TXT/?uri=CELEX:32016R0679&amp;locale=lt \t _blank">
                  <w:r>
                    <w:rPr>
                      <w:color w:val="0000FF" w:themeColor="hyperlink"/>
                      <w:sz w:val="20"/>
                      <w:u w:val="single"/>
                    </w:rPr>
                    <w:t>(ES) 2016/679</w:t>
                  </w:r>
                </w:fldSimple>
                <w:r>
                  <w:rPr>
                    <w:color w:val="000000"/>
                    <w:sz w:val="20"/>
                  </w:rPr>
                  <w:t>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 w:val="20"/>
                      <w:u w:val="single"/>
                    </w:rPr>
                    <w:t>95/46/EB</w:t>
                  </w:r>
                </w:fldSimple>
                <w:r>
                  <w:rPr>
                    <w:color w:val="000000"/>
                    <w:sz w:val="20"/>
                  </w:rPr>
                  <w:t> (Bendrasis duomenų apsaugos reglamentas).</w:t>
                </w:r>
              </w:p>
              <w:p w14:paraId="426E39DF" w14:textId="77777777">
                <w:pPr>
                  <w:jc w:val="both"/>
                  <w:rPr>
                    <w:color w:val="000000"/>
                    <w:sz w:val="20"/>
                  </w:rPr>
                </w:pPr>
                <w:r>
                  <w:rPr>
                    <w:i/>
                    <w:iCs/>
                    <w:color w:val="000000"/>
                    <w:sz w:val="20"/>
                  </w:rPr>
                  <w:t>Priedo pakeitimai:</w:t>
                </w:r>
              </w:p>
              <w:p w14:paraId="62EAADAA" w14:textId="7E823DE6">
                <w:pPr>
                  <w:rPr>
                    <w:color w:val="000000"/>
                    <w:sz w:val="20"/>
                  </w:rPr>
                </w:pPr>
                <w:r>
                  <w:rPr>
                    <w:i/>
                    <w:iCs/>
                    <w:color w:val="000000"/>
                    <w:sz w:val="20"/>
                  </w:rPr>
                  <w:t>Nr. </w:t>
                </w:r>
                <w:hyperlink r:id="rId29" w:tgtFrame="_parent" w:history="1">
                  <w:r>
                    <w:rPr>
                      <w:i/>
                      <w:iCs/>
                      <w:color w:val="0000FF"/>
                      <w:sz w:val="20"/>
                      <w:u w:val="single"/>
                    </w:rPr>
                    <w:t>XIV-2626</w:t>
                  </w:r>
                </w:hyperlink>
                <w:r>
                  <w:rPr>
                    <w:i/>
                    <w:iCs/>
                    <w:color w:val="000000"/>
                    <w:sz w:val="20"/>
                  </w:rPr>
                  <w:t>, 2024-05-14, paskelbta TAR 2024-05-21, i. k. 2024-09142</w:t>
                </w:r>
              </w:p>
              <w:p w14:paraId="0165A4AB" w14:textId="61BD7541">
                <w:pPr>
                  <w:jc w:val="both"/>
                  <w:rPr>
                    <w:i/>
                    <w:iCs/>
                    <w:color w:val="000000"/>
                    <w:sz w:val="20"/>
                  </w:rPr>
                </w:pPr>
                <w:r>
                  <w:rPr>
                    <w:i/>
                    <w:iCs/>
                    <w:color w:val="000000"/>
                    <w:sz w:val="20"/>
                  </w:rPr>
                  <w:t xml:space="preserve">Pastaba: Bendrasis duomenų apsaugos reglamentas </w:t>
                </w:r>
                <w:fldSimple w:instr="HYPERLINK http://eur-lex.europa.eu/legal-content/LIT/TXT/?uri=CELEX:32016R0679&amp;locale=lt \t _blank">
                  <w:r>
                    <w:rPr>
                      <w:i/>
                      <w:iCs/>
                      <w:color w:val="0000FF" w:themeColor="hyperlink"/>
                      <w:sz w:val="20"/>
                      <w:u w:val="single"/>
                    </w:rPr>
                    <w:t>(ES) 2016/679</w:t>
                  </w:r>
                </w:fldSimple>
                <w:r>
                  <w:rPr>
                    <w:i/>
                    <w:iCs/>
                    <w:color w:val="000000"/>
                    <w:sz w:val="20"/>
                  </w:rPr>
                  <w:t xml:space="preserve"> yra pilna apimtimi įgyvendintas Lietuvoje.</w:t>
                </w:r>
              </w:p>
            </w:tc>
            <w:tc>
              <w:tcPr>
                <w:tcW w:w="1572" w:type="dxa"/>
                <w:shd w:val="clear" w:color="auto" w:fill="FFFFFF" w:themeFill="background1"/>
              </w:tcPr>
              <w:p w14:paraId="336AD996" w14:textId="068E86F7">
                <w:pPr>
                  <w:jc w:val="both"/>
                  <w:rPr>
                    <w:color w:val="000000"/>
                    <w:sz w:val="20"/>
                  </w:rPr>
                </w:pPr>
                <w:r>
                  <w:rPr>
                    <w:color w:val="000000"/>
                    <w:sz w:val="20"/>
                  </w:rPr>
                  <w:t>Visiškas</w:t>
                </w:r>
              </w:p>
            </w:tc>
          </w:tr>
          <w:tr w14:paraId="0C878102" w14:textId="77777777">
            <w:tc>
              <w:tcPr>
                <w:tcW w:w="8391" w:type="dxa"/>
                <w:shd w:val="clear" w:color="auto" w:fill="FFFFFF" w:themeFill="background1"/>
              </w:tcPr>
              <w:p w14:paraId="33343973" w14:textId="5D81F835">
                <w:pPr>
                  <w:jc w:val="both"/>
                  <w:rPr>
                    <w:bCs/>
                    <w:sz w:val="20"/>
                  </w:rPr>
                </w:pPr>
                <w:r>
                  <w:rPr>
                    <w:bCs/>
                    <w:sz w:val="20"/>
                  </w:rPr>
                  <w:t>2.   Asmens duomenys, tvarkomi pagal šios direktyvos 7, 9 arba 10 straipsnį, gali būti naudojami tik vienodo darbo užmokesčio principo taikymo tikslu.</w:t>
                </w:r>
              </w:p>
            </w:tc>
            <w:tc>
              <w:tcPr>
                <w:tcW w:w="5347" w:type="dxa"/>
                <w:shd w:val="clear" w:color="auto" w:fill="FFFFFF" w:themeFill="background1"/>
              </w:tcPr>
              <w:p w14:paraId="6814E39E" w14:textId="6A173646">
                <w:pPr>
                  <w:jc w:val="both"/>
                  <w:rPr>
                    <w:b/>
                    <w:bCs/>
                    <w:color w:val="000000"/>
                    <w:sz w:val="20"/>
                  </w:rPr>
                </w:pPr>
                <w:r>
                  <w:rPr>
                    <w:b/>
                    <w:bCs/>
                    <w:color w:val="000000"/>
                    <w:sz w:val="20"/>
                  </w:rPr>
                  <w:t>DK projektas</w:t>
                </w:r>
              </w:p>
              <w:p w14:paraId="7B0E25F3" w14:textId="3FBA36F8">
                <w:pPr>
                  <w:jc w:val="both"/>
                  <w:rPr>
                    <w:b/>
                    <w:sz w:val="20"/>
                    <w:lang w:eastAsia="lt-LT"/>
                  </w:rPr>
                </w:pPr>
                <w:r>
                  <w:rPr>
                    <w:b/>
                    <w:sz w:val="20"/>
                    <w:lang w:eastAsia="lt-LT"/>
                  </w:rPr>
                  <w:t>16 straipsnis. 148 straipsnio pakeitimas</w:t>
                </w:r>
              </w:p>
              <w:p w14:paraId="68D2E046" w14:textId="77777777">
                <w:pPr>
                  <w:jc w:val="both"/>
                  <w:rPr>
                    <w:b/>
                    <w:sz w:val="20"/>
                    <w:lang w:eastAsia="lt-LT"/>
                  </w:rPr>
                </w:pPr>
                <w:r>
                  <w:rPr>
                    <w:b/>
                    <w:sz w:val="20"/>
                    <w:lang w:eastAsia="lt-LT"/>
                  </w:rPr>
                  <w:t>Papildyti 148 straipsnį 4-9 dalimis:</w:t>
                </w:r>
              </w:p>
              <w:p w14:paraId="288F5046" w14:textId="39A29FEF">
                <w:pPr>
                  <w:jc w:val="both"/>
                  <w:rPr>
                    <w:b/>
                    <w:color w:val="000000"/>
                    <w:sz w:val="20"/>
                  </w:rPr>
                </w:pPr>
                <w:r>
                  <w:rPr>
                    <w:b/>
                    <w:color w:val="000000"/>
                    <w:sz w:val="20"/>
                  </w:rPr>
                  <w:t>„&lt;...&gt;</w:t>
                </w:r>
              </w:p>
              <w:p w14:paraId="758CB4BC" w14:textId="42DAF424">
                <w:pPr>
                  <w:jc w:val="both"/>
                  <w:rPr>
                    <w:b/>
                    <w:bCs/>
                    <w:sz w:val="20"/>
                    <w:lang w:eastAsia="lt-LT"/>
                  </w:rPr>
                </w:pPr>
                <w:r>
                  <w:rPr>
                    <w:b/>
                    <w:bCs/>
                    <w:sz w:val="20"/>
                    <w:lang w:eastAsia="lt-LT"/>
                  </w:rPr>
                  <w:t xml:space="preserve">9. Duomenys apie šio straipsnio 4 dalyje nurodytus rodiklius teikiami laikantis 2016 m. balandžio 27 d. Europos Parlamento ir Tarybos reglamento </w:t>
                </w:r>
                <w:fldSimple w:instr="HYPERLINK http://eur-lex.europa.eu/legal-content/LIT/TXT/?uri=CELEX:32016R0679&amp;locale=lt \t _blank">
                  <w:r>
                    <w:rPr>
                      <w:b/>
                      <w:bCs/>
                      <w:sz w:val="20"/>
                      <w:lang w:eastAsia="lt-LT"/>
                      <w:u w:val="single"/>
                      <w:color w:val="0000FF" w:themeColor="hyperlink"/>
                    </w:rPr>
                    <w:t>(ES) 2016/679</w:t>
                  </w:r>
                </w:fldSimple>
                <w:r>
                  <w:rPr>
                    <w:b/>
                    <w:bCs/>
                    <w:sz w:val="20"/>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
                      <w:bCs/>
                      <w:sz w:val="20"/>
                      <w:lang w:eastAsia="lt-LT"/>
                      <w:u w:val="single"/>
                      <w:color w:val="0000FF" w:themeColor="hyperlink"/>
                    </w:rPr>
                    <w:t>95/46/EB</w:t>
                  </w:r>
                </w:fldSimple>
                <w:r>
                  <w:rPr>
                    <w:b/>
                    <w:bCs/>
                    <w:sz w:val="20"/>
                    <w:lang w:eastAsia="lt-LT"/>
                  </w:rPr>
                  <w:t xml:space="preserve"> (Bendrasis duomenų apsaugos reglamentas) nuostatų ir naudojama tik siekiant tinkamai įvykdyti pareigą už tokį patį ar vienodos vertės darbą mokėti vienodą darbo užmokestį.“</w:t>
                </w:r>
              </w:p>
            </w:tc>
            <w:tc>
              <w:tcPr>
                <w:tcW w:w="1572" w:type="dxa"/>
                <w:shd w:val="clear" w:color="auto" w:fill="FFFFFF" w:themeFill="background1"/>
              </w:tcPr>
              <w:p w14:paraId="76F4E5B9" w14:textId="5B562AE7">
                <w:pPr>
                  <w:jc w:val="both"/>
                  <w:rPr>
                    <w:color w:val="000000"/>
                    <w:sz w:val="20"/>
                  </w:rPr>
                </w:pPr>
                <w:r>
                  <w:rPr>
                    <w:color w:val="000000"/>
                    <w:sz w:val="20"/>
                  </w:rPr>
                  <w:t>Visiškas</w:t>
                </w:r>
              </w:p>
              <w:p w14:paraId="31FE86D6" w14:textId="4E557DA3">
                <w:pPr>
                  <w:jc w:val="both"/>
                  <w:rPr>
                    <w:color w:val="000000"/>
                    <w:sz w:val="20"/>
                  </w:rPr>
                </w:pPr>
              </w:p>
            </w:tc>
          </w:tr>
          <w:tr w14:paraId="02560E97" w14:textId="77777777">
            <w:tc>
              <w:tcPr>
                <w:tcW w:w="8391" w:type="dxa"/>
                <w:shd w:val="clear" w:color="auto" w:fill="FFFFFF" w:themeFill="background1"/>
              </w:tcPr>
              <w:p w14:paraId="740471C0" w14:textId="502A4B59">
                <w:pPr>
                  <w:jc w:val="both"/>
                  <w:rPr>
                    <w:bCs/>
                    <w:sz w:val="20"/>
                  </w:rPr>
                </w:pPr>
                <w:r>
                  <w:rPr>
                    <w:bCs/>
                    <w:sz w:val="20"/>
                  </w:rPr>
                  <w:t>3.   Valstybės narės gali nuspręsti, kad tais atvejais, kai dėl informacijos atskleidimo pagal 7, 9 ir 10 straipsnius būtų tiesiogiai ar netiesiogiai atskleistas darbuotojo, kurio tapatybę būtų įmanoma nustatyti, darbo užmokestis, informacija turi būti prieinama tik darbuotojų atstovams, darbo inspekcijai arba lygybės institucijai. Darbuotojų atstovai ar lygybės institucija konsultuoja darbuotojus dėl galimo ieškinio pagal šią direktyvą, neatskleidžiant faktinio pavienių vienodą ar vienodos vertės darbą atliekančių darbuotojų darbo užmokesčio dydžio. Stebėsenos pagal 29 straipsnį tikslais informacija pateikiama be apribojimų.</w:t>
                </w:r>
              </w:p>
            </w:tc>
            <w:tc>
              <w:tcPr>
                <w:tcW w:w="5347" w:type="dxa"/>
                <w:shd w:val="clear" w:color="auto" w:fill="FFFFFF" w:themeFill="background1"/>
              </w:tcPr>
              <w:p w14:paraId="54DEA7C2" w14:textId="77777777">
                <w:pPr>
                  <w:jc w:val="both"/>
                  <w:rPr>
                    <w:b/>
                    <w:bCs/>
                    <w:color w:val="000000"/>
                    <w:sz w:val="20"/>
                  </w:rPr>
                </w:pPr>
                <w:r>
                  <w:rPr>
                    <w:b/>
                    <w:bCs/>
                    <w:color w:val="000000"/>
                    <w:sz w:val="20"/>
                  </w:rPr>
                  <w:t>DK projektas</w:t>
                </w:r>
              </w:p>
              <w:p w14:paraId="3DB0B7F8" w14:textId="77777777">
                <w:pPr>
                  <w:jc w:val="both"/>
                  <w:rPr>
                    <w:b/>
                    <w:bCs/>
                    <w:color w:val="000000"/>
                    <w:sz w:val="20"/>
                  </w:rPr>
                </w:pPr>
                <w:r>
                  <w:rPr>
                    <w:b/>
                    <w:bCs/>
                    <w:color w:val="000000"/>
                    <w:sz w:val="20"/>
                  </w:rPr>
                  <w:t>1 straipsnis. 23 straipsnio pakeitimas</w:t>
                </w:r>
              </w:p>
              <w:p w14:paraId="12210414" w14:textId="3F8E6994">
                <w:pPr>
                  <w:jc w:val="both"/>
                  <w:rPr>
                    <w:b/>
                    <w:bCs/>
                    <w:color w:val="000000"/>
                    <w:sz w:val="20"/>
                  </w:rPr>
                </w:pPr>
                <w:r>
                  <w:rPr>
                    <w:b/>
                    <w:bCs/>
                    <w:color w:val="000000"/>
                    <w:sz w:val="20"/>
                  </w:rPr>
                  <w:t>Pakeisti 23 straipsnį ir jį išdėstyti taip:</w:t>
                </w:r>
              </w:p>
              <w:p w14:paraId="58045B37" w14:textId="77777777">
                <w:pPr>
                  <w:jc w:val="both"/>
                  <w:rPr>
                    <w:b/>
                    <w:bCs/>
                    <w:color w:val="000000"/>
                    <w:sz w:val="20"/>
                  </w:rPr>
                </w:pPr>
                <w:r>
                  <w:rPr>
                    <w:b/>
                    <w:bCs/>
                    <w:color w:val="000000"/>
                    <w:sz w:val="20"/>
                  </w:rPr>
                  <w:t>3. Darbdaviai kas mėnesį Valstybinio socialinio draudimo fondo valdybai prie Socialinės apsaugos ir darbo ministerijos (toliau – Valstybinio socialinio draudimo fondo valdyba) privalo teikti duomenis apie darbuotojų (išskyrus pareigūnus, statutinius valstybės tarnautojus ir kitus asmenis, kurių duomenys (ar bent dalis jų) sudaro valstybės tarnybos paslaptį, taip pat darbuotojus, su kuriais šio kodekso 72 straipsnyje nustatyta tvarka sudaryta laikinojo darbo sutartis ir kurių darbo užmokesčio rodikliai teikiami šio straipsnio 8 dalyje nustatyta tvarka) darbo užmokestį, darbo laiką ir darbovietės ar darbdavio įmonės, įstaigos, organizacijos darbo apmokėjimo sistemoje nurodytą pareigybės grupę. Valstybinio socialinio draudimo fondo valdyba šioje dalyje nurodytus duomenis teikia Valstybinei darbo inspekcijai ir Lygių galimybių kontrolieriaus tarnybai.</w:t>
                </w:r>
              </w:p>
              <w:p w14:paraId="33FCD800" w14:textId="588F1EAE">
                <w:pPr>
                  <w:jc w:val="both"/>
                  <w:rPr>
                    <w:b/>
                    <w:bCs/>
                    <w:color w:val="000000"/>
                    <w:sz w:val="20"/>
                  </w:rPr>
                </w:pPr>
                <w:r>
                  <w:rPr>
                    <w:b/>
                    <w:bCs/>
                    <w:color w:val="000000"/>
                    <w:sz w:val="20"/>
                  </w:rPr>
                  <w:t>4.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&lt;...&gt;“</w:t>
                </w:r>
              </w:p>
              <w:p w14:paraId="7CD69F54" w14:textId="06C7A475">
                <w:pPr>
                  <w:jc w:val="both"/>
                  <w:rPr>
                    <w:b/>
                    <w:sz w:val="20"/>
                    <w:lang w:eastAsia="lt-LT"/>
                  </w:rPr>
                </w:pPr>
                <w:r>
                  <w:rPr>
                    <w:b/>
                    <w:sz w:val="20"/>
                    <w:lang w:eastAsia="lt-LT"/>
                  </w:rPr>
                  <w:t>16 straipsnis. 148 straipsnio pakeitimas</w:t>
                </w:r>
              </w:p>
              <w:p w14:paraId="50AB6242" w14:textId="77777777">
                <w:pPr>
                  <w:jc w:val="both"/>
                  <w:rPr>
                    <w:b/>
                    <w:sz w:val="20"/>
                    <w:lang w:eastAsia="lt-LT"/>
                  </w:rPr>
                </w:pPr>
                <w:r>
                  <w:rPr>
                    <w:b/>
                    <w:sz w:val="20"/>
                    <w:lang w:eastAsia="lt-LT"/>
                  </w:rPr>
                  <w:t>Papildyti 148 straipsnį 4-9 dalimis:</w:t>
                </w:r>
              </w:p>
              <w:p w14:paraId="59E56AD9" w14:textId="77777777">
                <w:pPr>
                  <w:jc w:val="both"/>
                  <w:rPr>
                    <w:b/>
                    <w:color w:val="000000"/>
                    <w:sz w:val="20"/>
                  </w:rPr>
                </w:pPr>
                <w:r>
                  <w:rPr>
                    <w:b/>
                    <w:color w:val="000000"/>
                    <w:sz w:val="20"/>
                  </w:rPr>
                  <w:t>„&lt;...&gt;</w:t>
                </w:r>
              </w:p>
              <w:p w14:paraId="3CC7DD2F" w14:textId="77777777">
                <w:pPr>
                  <w:jc w:val="both"/>
                  <w:rPr>
                    <w:b/>
                    <w:color w:val="000000"/>
                    <w:sz w:val="20"/>
                  </w:rPr>
                </w:pPr>
                <w:r>
                  <w:rPr>
                    <w:b/>
                    <w:bCs/>
                    <w:sz w:val="20"/>
                    <w:lang w:eastAsia="lt-LT"/>
                  </w:rPr>
                  <w:t>7. Jeigu, teikiant darbuotojui duomenis apie šio straipsnio 4 dalyje nurodytus rodiklius, būtų tiesiogiai ar netiesiogiai atskleistas kito darbuotojo, kurio tapatybę būtų įmanoma nustatyti, darbo užmokestis, šie duomenys, darbuotojui paprašius, privalo būti teikiami tik darbuotojų atstovams, Valstybinei darbo inspekcijai arba Lygių galimybių kontrolieriaus tarnybai, kurie, išnagrinėję pateiktus duomenis apie šio straipsnio 4 dalyje nurodytus rodiklius ir nustatę bent 5 procentų vidutinio darbo užmokesčio dydžio skirtumą toje pareigybių grupėje, apie tai informuoja darbuotoją. Esant bent 5 procentų vidutinio darbo užmokesčio dydžio skirtumui, darbuotojų atstovai, Valstybinė darbo inspekcija arba Lygių galimybių kontrolieriaus tarnyba konsultuoja darbuotojus dėl galimybės kreiptis į darbdavį tiesiogiai ar per darbuotojų atstovus gauti paaiškinimus dėl tokio skirtumo, o nesant objektyvių lyčiai neutralių kriterijų tokiam skirtumui pagrįsti – dėl galimo kreipimosi į darbo ginčus nagrinėjančius organus dėl savo teisių gynimo. Darbuotojas informuojamas apie pareigos už tokį patį ar vienodos vertės darbą mokėti vienodą darbo užmokestį vykdymą, neatskleidžiant faktinio pavienių tokį patį ar vienodos vertės darbą atliekančių darbuotojų darbo užmokesčio dydžių.</w:t>
                </w:r>
                <w:r>
                  <w:rPr>
                    <w:b/>
                    <w:color w:val="000000"/>
                    <w:sz w:val="20"/>
                  </w:rPr>
                  <w:t>&lt;...&gt;“</w:t>
                </w:r>
              </w:p>
              <w:p w14:paraId="698CD8FB" w14:textId="7D202CF8">
                <w:pPr>
                  <w:jc w:val="both"/>
                  <w:rPr>
                    <w:bCs/>
                    <w:color w:val="000000"/>
                    <w:sz w:val="20"/>
                  </w:rPr>
                </w:pPr>
                <w:r>
                  <w:rPr>
                    <w:bCs/>
                    <w:color w:val="000000"/>
                    <w:sz w:val="20"/>
                  </w:rPr>
                  <w:t>Pastaba: DK ir kiti įstatymai nenumato jokių apribojimų teikiant informaciją Valstybinei darbo inspekcijai ar Lygių galimybių kontrolieriaus tarnybai.</w:t>
                </w:r>
              </w:p>
            </w:tc>
            <w:tc>
              <w:tcPr>
                <w:tcW w:w="1572" w:type="dxa"/>
                <w:shd w:val="clear" w:color="auto" w:fill="FFFFFF" w:themeFill="background1"/>
              </w:tcPr>
              <w:p w14:paraId="7676FAF9" w14:textId="6B736160">
                <w:pPr>
                  <w:jc w:val="both"/>
                  <w:rPr>
                    <w:color w:val="000000"/>
                    <w:sz w:val="20"/>
                  </w:rPr>
                </w:pPr>
                <w:r>
                  <w:rPr>
                    <w:color w:val="000000"/>
                    <w:sz w:val="20"/>
                  </w:rPr>
                  <w:t>Visiškas</w:t>
                </w:r>
              </w:p>
              <w:p w14:paraId="44D85456" w14:textId="77777777">
                <w:pPr>
                  <w:jc w:val="both"/>
                  <w:rPr>
                    <w:color w:val="000000"/>
                    <w:sz w:val="20"/>
                  </w:rPr>
                </w:pPr>
              </w:p>
              <w:p w14:paraId="5B6D11F0" w14:textId="1FA6A032">
                <w:pPr>
                  <w:jc w:val="both"/>
                  <w:rPr>
                    <w:color w:val="000000"/>
                    <w:sz w:val="20"/>
                  </w:rPr>
                </w:pPr>
              </w:p>
            </w:tc>
          </w:tr>
          <w:tr w14:paraId="56DB1C62" w14:textId="77777777">
            <w:tc>
              <w:tcPr>
                <w:tcW w:w="15310" w:type="dxa"/>
                <w:gridSpan w:val="3"/>
                <w:shd w:val="clear" w:color="auto" w:fill="D6E3BC" w:themeFill="accent3" w:themeFillTint="66"/>
              </w:tcPr>
              <w:p w14:paraId="64096100" w14:textId="574AA447">
                <w:pPr>
                  <w:jc w:val="both"/>
                  <w:rPr>
                    <w:b/>
                    <w:bCs/>
                    <w:color w:val="000000"/>
                    <w:sz w:val="20"/>
                  </w:rPr>
                </w:pPr>
                <w:r>
                  <w:rPr>
                    <w:b/>
                    <w:bCs/>
                    <w:color w:val="000000"/>
                    <w:sz w:val="20"/>
                  </w:rPr>
                  <w:t>13 straipsnis. Socialinis dialogas</w:t>
                </w:r>
              </w:p>
            </w:tc>
          </w:tr>
          <w:tr w14:paraId="29114448" w14:textId="77777777">
            <w:tc>
              <w:tcPr>
                <w:tcW w:w="8391" w:type="dxa"/>
                <w:shd w:val="clear" w:color="auto" w:fill="FFFFFF" w:themeFill="background1"/>
              </w:tcPr>
              <w:p w14:paraId="635D4029" w14:textId="4DA7C4BC">
                <w:pPr>
                  <w:jc w:val="both"/>
                  <w:rPr>
                    <w:bCs/>
                    <w:sz w:val="20"/>
                  </w:rPr>
                </w:pPr>
                <w:r>
                  <w:rPr>
                    <w:bCs/>
                    <w:sz w:val="20"/>
                  </w:rPr>
                  <w:t>Valstybės narės, nedarydamos poveikio socialinių partnerių autonomijai ir laikydamosi nacionalinės teisės bei praktikos, imasi tinkamų priemonių užtikrinti veiksmingą socialinių partnerių dalyvavimą, kai taikytina, jų prašymu aptariant šioje direktyvoje nustatytas teises ir pareigas.</w:t>
                </w:r>
              </w:p>
            </w:tc>
            <w:tc>
              <w:tcPr>
                <w:tcW w:w="5347" w:type="dxa"/>
                <w:shd w:val="clear" w:color="auto" w:fill="FFFFFF" w:themeFill="background1"/>
              </w:tcPr>
              <w:p w14:paraId="6D61A472" w14:textId="6A259BEC">
                <w:pPr>
                  <w:jc w:val="both"/>
                  <w:rPr>
                    <w:b/>
                    <w:color w:val="000000"/>
                    <w:sz w:val="20"/>
                  </w:rPr>
                </w:pPr>
                <w:r>
                  <w:rPr>
                    <w:b/>
                    <w:color w:val="000000"/>
                    <w:sz w:val="20"/>
                  </w:rPr>
                  <w:t>TT nuostatai</w:t>
                </w:r>
              </w:p>
              <w:p w14:paraId="588AD8A2" w14:textId="77777777">
                <w:pPr>
                  <w:jc w:val="both"/>
                  <w:rPr>
                    <w:color w:val="000000"/>
                    <w:sz w:val="20"/>
                  </w:rPr>
                </w:pPr>
                <w:r>
                  <w:rPr>
                    <w:color w:val="000000"/>
                    <w:sz w:val="20"/>
                  </w:rPr>
                  <w:t>9. Siekdama šių nuostatų 9 punkte nurodytų veiklų tikslų, Taryba atlieka šias pagrindines funkcijas:</w:t>
                </w:r>
              </w:p>
              <w:p w14:paraId="61A5A92C" w14:textId="77777777">
                <w:pPr>
                  <w:jc w:val="both"/>
                  <w:rPr>
                    <w:color w:val="000000"/>
                    <w:sz w:val="20"/>
                  </w:rPr>
                </w:pPr>
                <w:r>
                  <w:rPr>
                    <w:color w:val="000000"/>
                    <w:sz w:val="20"/>
                  </w:rPr>
                  <w:t>9.1. vykdo nuolatinę socialinių, ekonominių ir darbo klausimų stebėseną ir jų analizę bei teikia siūlymus dėl šių klausimų sprendimo;</w:t>
                </w:r>
              </w:p>
              <w:p w14:paraId="2B57F386" w14:textId="77777777">
                <w:pPr>
                  <w:jc w:val="both"/>
                  <w:rPr>
                    <w:color w:val="000000"/>
                    <w:sz w:val="20"/>
                  </w:rPr>
                </w:pPr>
                <w:r>
                  <w:rPr>
                    <w:color w:val="000000"/>
                    <w:sz w:val="20"/>
                  </w:rPr>
                  <w:t>9.2. savo iniciatyva ar Seimo bei Vyriausybės prašymu, svarsto įstatymų, kitų teisės aktų socialinėje, ekonominėje bei darbo srityje projektus, teikia išvadas ir rekomendacijas;</w:t>
                </w:r>
              </w:p>
              <w:p w14:paraId="68261CCA" w14:textId="1858663A">
                <w:pPr>
                  <w:jc w:val="both"/>
                  <w:rPr>
                    <w:color w:val="000000"/>
                    <w:sz w:val="20"/>
                  </w:rPr>
                </w:pPr>
                <w:r>
                  <w:rPr>
                    <w:color w:val="000000"/>
                    <w:sz w:val="20"/>
                  </w:rPr>
                  <w:t>&lt;...&gt;</w:t>
                </w:r>
              </w:p>
              <w:p w14:paraId="192B6BAB" w14:textId="77777777">
                <w:pPr>
                  <w:jc w:val="both"/>
                  <w:rPr>
                    <w:color w:val="000000"/>
                    <w:sz w:val="20"/>
                  </w:rPr>
                </w:pPr>
                <w:r>
                  <w:rPr>
                    <w:color w:val="000000"/>
                    <w:sz w:val="20"/>
                  </w:rPr>
                  <w:t>9.4. apsvarsto ir aprobuoja trišalio susitarimo dėl socialinių, ekonominių ir darbo problemų sprendimo projektą, kurį pasirašo šalių įgalioti atstovai;</w:t>
                </w:r>
              </w:p>
              <w:p w14:paraId="31CE4362" w14:textId="12567060">
                <w:pPr>
                  <w:jc w:val="both"/>
                  <w:rPr>
                    <w:color w:val="000000"/>
                    <w:sz w:val="20"/>
                  </w:rPr>
                </w:pPr>
                <w:r>
                  <w:rPr>
                    <w:color w:val="000000"/>
                    <w:sz w:val="20"/>
                  </w:rPr>
                  <w:t>9.5. koordinuoja kitų dvišalių ir trišalių tarybų ir komisijų (saugos darbe, gyventojų užimtumo ir kt.) socialinėje, ekonominėje ir darbo srityje veiklą, nacionaliniu lygiu sprendžia jų keliamas problemas</w:t>
                </w:r>
              </w:p>
              <w:p w14:paraId="2552809A" w14:textId="1A4B4B27">
                <w:pPr>
                  <w:jc w:val="both"/>
                  <w:rPr>
                    <w:b/>
                    <w:bCs/>
                    <w:color w:val="000000"/>
                    <w:sz w:val="20"/>
                  </w:rPr>
                </w:pPr>
                <w:r>
                  <w:rPr>
                    <w:b/>
                    <w:bCs/>
                    <w:color w:val="000000"/>
                    <w:sz w:val="20"/>
                  </w:rPr>
                  <w:t>DK</w:t>
                </w:r>
              </w:p>
              <w:p w14:paraId="61F8278B" w14:textId="77777777">
                <w:pPr>
                  <w:jc w:val="both"/>
                  <w:rPr>
                    <w:color w:val="000000"/>
                    <w:sz w:val="20"/>
                  </w:rPr>
                </w:pPr>
                <w:r>
                  <w:rPr>
                    <w:b/>
                    <w:bCs/>
                    <w:color w:val="000000"/>
                    <w:sz w:val="20"/>
                  </w:rPr>
                  <w:t>166 straipsnis. Darbuotojų atstovų nepriklausomumo garantijos</w:t>
                </w:r>
              </w:p>
              <w:p w14:paraId="0B735BA9" w14:textId="2DF71931">
                <w:pPr>
                  <w:jc w:val="both"/>
                  <w:rPr>
                    <w:color w:val="000000"/>
                    <w:sz w:val="20"/>
                  </w:rPr>
                </w:pPr>
                <w:r>
                  <w:rPr>
                    <w:color w:val="000000"/>
                    <w:sz w:val="20"/>
                  </w:rPr>
                  <w:t>1.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 savivaldybės institucijos turi susilaikyti nuo kišimosi į darbuotojų atstovų veiklą, išskyrus atvejus, kai tai daroma įstatymų pagrindu dėl padaryto teisės pažeidimo.</w:t>
                </w:r>
              </w:p>
            </w:tc>
            <w:tc>
              <w:tcPr>
                <w:tcW w:w="1572" w:type="dxa"/>
                <w:shd w:val="clear" w:color="auto" w:fill="FFFFFF" w:themeFill="background1"/>
              </w:tcPr>
              <w:p w14:paraId="6390120C" w14:textId="3E36FDAC">
                <w:pPr>
                  <w:jc w:val="both"/>
                  <w:rPr>
                    <w:color w:val="000000"/>
                    <w:sz w:val="20"/>
                  </w:rPr>
                </w:pPr>
                <w:r>
                  <w:rPr>
                    <w:color w:val="000000"/>
                    <w:sz w:val="20"/>
                  </w:rPr>
                  <w:t>Visiškas</w:t>
                </w:r>
              </w:p>
            </w:tc>
          </w:tr>
          <w:tr w14:paraId="239A3E6B" w14:textId="77777777">
            <w:tc>
              <w:tcPr>
                <w:tcW w:w="8391" w:type="dxa"/>
                <w:shd w:val="clear" w:color="auto" w:fill="FFFFFF" w:themeFill="background1"/>
              </w:tcPr>
              <w:p w14:paraId="35CDA9B7" w14:textId="0243D5C1">
                <w:pPr>
                  <w:jc w:val="both"/>
                  <w:rPr>
                    <w:bCs/>
                    <w:sz w:val="20"/>
                  </w:rPr>
                </w:pPr>
                <w:r>
                  <w:rPr>
                    <w:bCs/>
                    <w:sz w:val="20"/>
                  </w:rPr>
                  <w:t>Valstybės narės, nedarydamos poveikio socialinių partnerių autonomijai ir atsižvelgdamos į nacionalinės praktikos įvairovę, imasi tinkamų priemonių, kuriomis būtų remiamas socialinių partnerių vaidmuo ir skatinama naudotis teise į kolektyvines derybas dėl priemonių, skirtų kovai su diskriminacija darbo užmokesčio srityje ir jos neigiamu poveikiu darbo, kurį daugiausia atlieka vienos lyties darbuotojai, vertinimui.</w:t>
                </w:r>
              </w:p>
            </w:tc>
            <w:tc>
              <w:tcPr>
                <w:tcW w:w="5347" w:type="dxa"/>
                <w:shd w:val="clear" w:color="auto" w:fill="FFFFFF" w:themeFill="background1"/>
              </w:tcPr>
              <w:p w14:paraId="639FC1C1" w14:textId="77777777">
                <w:pPr>
                  <w:jc w:val="both"/>
                  <w:rPr>
                    <w:b/>
                    <w:bCs/>
                    <w:color w:val="000000"/>
                    <w:sz w:val="20"/>
                  </w:rPr>
                </w:pPr>
                <w:r>
                  <w:rPr>
                    <w:b/>
                    <w:bCs/>
                    <w:color w:val="000000"/>
                    <w:sz w:val="20"/>
                  </w:rPr>
                  <w:t>Socialinio dialogo planas</w:t>
                </w:r>
              </w:p>
              <w:p w14:paraId="2DF4912C" w14:textId="04FE953E">
                <w:pPr>
                  <w:jc w:val="both"/>
                  <w:rPr>
                    <w:bCs/>
                    <w:color w:val="000000"/>
                    <w:sz w:val="20"/>
                  </w:rPr>
                </w:pPr>
                <w:r>
                  <w:rPr>
                    <w:bCs/>
                    <w:color w:val="0000FF"/>
                    <w:sz w:val="20"/>
                    <w:u w:val="single"/>
                  </w:rPr>
                  <w:t>A1-709 Dėl Socialinio dialogo ir kolektyvinių derybų skatinimo 2024–2028 metų veiksmų plano patvirtinimo</w:t>
                </w:r>
              </w:p>
            </w:tc>
            <w:tc>
              <w:tcPr>
                <w:tcW w:w="1572" w:type="dxa"/>
                <w:shd w:val="clear" w:color="auto" w:fill="FFFFFF" w:themeFill="background1"/>
              </w:tcPr>
              <w:p w14:paraId="3F7985F1" w14:textId="77777777">
                <w:pPr>
                  <w:jc w:val="both"/>
                  <w:rPr>
                    <w:color w:val="000000"/>
                    <w:sz w:val="20"/>
                  </w:rPr>
                </w:pPr>
                <w:r>
                  <w:rPr>
                    <w:color w:val="000000"/>
                    <w:sz w:val="20"/>
                  </w:rPr>
                  <w:t>Visiškas</w:t>
                </w:r>
              </w:p>
              <w:p w14:paraId="0607FA16" w14:textId="77777777">
                <w:pPr>
                  <w:jc w:val="both"/>
                  <w:rPr>
                    <w:color w:val="000000"/>
                    <w:sz w:val="20"/>
                  </w:rPr>
                </w:pPr>
              </w:p>
              <w:p w14:paraId="1A720799" w14:textId="38766225">
                <w:pPr>
                  <w:jc w:val="both"/>
                  <w:rPr>
                    <w:color w:val="000000"/>
                    <w:sz w:val="20"/>
                  </w:rPr>
                </w:pPr>
              </w:p>
            </w:tc>
          </w:tr>
          <w:tr w14:paraId="23147CE0" w14:textId="77777777">
            <w:tc>
              <w:tcPr>
                <w:tcW w:w="15310" w:type="dxa"/>
                <w:gridSpan w:val="3"/>
                <w:shd w:val="clear" w:color="auto" w:fill="D6E3BC" w:themeFill="accent3" w:themeFillTint="66"/>
              </w:tcPr>
              <w:p w14:paraId="2B6D81AC" w14:textId="19952F54">
                <w:pPr>
                  <w:jc w:val="both"/>
                  <w:rPr>
                    <w:color w:val="000000"/>
                    <w:sz w:val="20"/>
                  </w:rPr>
                </w:pPr>
                <w:r>
                  <w:rPr>
                    <w:b/>
                    <w:bCs/>
                    <w:color w:val="000000"/>
                    <w:sz w:val="20"/>
                  </w:rPr>
                  <w:t>14 straipsnis.</w:t>
                </w:r>
                <w:r>
                  <w:rPr>
                    <w:color w:val="000000"/>
                    <w:sz w:val="20"/>
                  </w:rPr>
                  <w:t xml:space="preserve"> </w:t>
                </w:r>
                <w:r>
                  <w:rPr>
                    <w:b/>
                    <w:bCs/>
                    <w:color w:val="000000"/>
                    <w:sz w:val="20"/>
                  </w:rPr>
                  <w:t>Teisių gynimas</w:t>
                </w:r>
              </w:p>
            </w:tc>
          </w:tr>
          <w:tr w14:paraId="145AFA6D" w14:textId="77777777">
            <w:tc>
              <w:tcPr>
                <w:tcW w:w="8391" w:type="dxa"/>
                <w:tcBorders>
                  <w:bottom w:val="single" w:sz="4" w:space="0" w:color="auto"/>
                </w:tcBorders>
                <w:shd w:val="clear" w:color="auto" w:fill="FFFFFF" w:themeFill="background1"/>
              </w:tcPr>
              <w:p w14:paraId="3F3438E4" w14:textId="0F20FFBB">
                <w:pPr>
                  <w:jc w:val="both"/>
                  <w:rPr>
                    <w:bCs/>
                    <w:sz w:val="20"/>
                  </w:rPr>
                </w:pPr>
                <w:r>
                  <w:rPr>
                    <w:bCs/>
                    <w:sz w:val="20"/>
                  </w:rPr>
                  <w:t>Valstybės narės užtikrina, kad po galimos taikinimo procedūros visi darbuotojai, laikantys save nukentėjusiais dėl vienodo darbo užmokesčio principo netaikymo, turėtų galimybę inicijuoti teismo procesinius veiksmus dėl teisių ir pareigų, susijusių su vienodo darbo užmokesčio principu, vykdymo užtikrinimu. Tokie procesiniai veiksmai turi būti lengvai prieinami darbuotojams ir jų vardu veikiantiems asmenims net ir pasibaigus darbo santykiams, kurių metu, kaip įtariama, buvo diskriminuojama.</w:t>
                </w:r>
              </w:p>
            </w:tc>
            <w:tc>
              <w:tcPr>
                <w:tcW w:w="5347" w:type="dxa"/>
                <w:tcBorders>
                  <w:bottom w:val="single" w:sz="4" w:space="0" w:color="auto"/>
                </w:tcBorders>
                <w:shd w:val="clear" w:color="auto" w:fill="FFFFFF" w:themeFill="background1"/>
              </w:tcPr>
              <w:p w14:paraId="166A140D" w14:textId="2AF57350">
                <w:pPr>
                  <w:jc w:val="both"/>
                  <w:rPr>
                    <w:b/>
                    <w:color w:val="000000"/>
                    <w:sz w:val="20"/>
                  </w:rPr>
                </w:pPr>
                <w:r>
                  <w:rPr>
                    <w:b/>
                    <w:color w:val="000000"/>
                    <w:sz w:val="20"/>
                  </w:rPr>
                  <w:t>DK</w:t>
                </w:r>
              </w:p>
              <w:p w14:paraId="10CB4945" w14:textId="77777777">
                <w:pPr>
                  <w:jc w:val="both"/>
                  <w:rPr>
                    <w:b/>
                    <w:bCs/>
                    <w:color w:val="000000"/>
                    <w:sz w:val="20"/>
                  </w:rPr>
                </w:pPr>
                <w:r>
                  <w:rPr>
                    <w:b/>
                    <w:bCs/>
                    <w:color w:val="000000"/>
                    <w:sz w:val="20"/>
                  </w:rPr>
                  <w:t>15 straipsnis. Ieškinio senatis</w:t>
                </w:r>
              </w:p>
              <w:p w14:paraId="3C5BDF69" w14:textId="4E7F9D88">
                <w:pPr>
                  <w:jc w:val="both"/>
                  <w:rPr>
                    <w:b/>
                    <w:bCs/>
                    <w:color w:val="000000"/>
                    <w:sz w:val="20"/>
                  </w:rPr>
                </w:pPr>
                <w:r>
                  <w:rPr>
                    <w:color w:val="000000"/>
                    <w:sz w:val="20"/>
                  </w:rPr>
                  <w:t>1. Ieškinio senatis – įstatymų nustatytas laiko tarpas (terminas), per kurį asmuo gali apginti savo pažeistas teises pareikšdamas ieškinį ar pateikdamas prašymą išnagrinėti darbo ginčą.</w:t>
                </w:r>
              </w:p>
              <w:p w14:paraId="2B968A39" w14:textId="77777777">
                <w:pPr>
                  <w:jc w:val="both"/>
                  <w:rPr>
                    <w:color w:val="000000"/>
                    <w:sz w:val="20"/>
                  </w:rPr>
                </w:pPr>
                <w:r>
                  <w:rPr>
                    <w:color w:val="000000"/>
                    <w:sz w:val="20"/>
                  </w:rPr>
                  <w:t>2. Bendrasis ieškinio senaties terminas šio kodekso reglamentuojamiems santykiams yra treji metai, jeigu šis kodeksas ir kiti įstatymai atskiriems reikalavimams nenustato trumpesnių ieškinio senaties terminų.</w:t>
                </w:r>
              </w:p>
              <w:p w14:paraId="494186B2" w14:textId="77777777">
                <w:pPr>
                  <w:jc w:val="both"/>
                  <w:rPr>
                    <w:color w:val="000000"/>
                    <w:sz w:val="20"/>
                  </w:rPr>
                </w:pPr>
                <w:r>
                  <w:rPr>
                    <w:color w:val="000000"/>
                    <w:sz w:val="20"/>
                  </w:rPr>
                  <w:t>3. 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p w14:paraId="7377286B" w14:textId="71D93A45">
                <w:pPr>
                  <w:jc w:val="both"/>
                  <w:rPr>
                    <w:color w:val="000000"/>
                    <w:sz w:val="20"/>
                  </w:rPr>
                </w:pPr>
                <w:r>
                  <w:rPr>
                    <w:color w:val="000000"/>
                    <w:sz w:val="20"/>
                  </w:rPr>
                  <w:t>4. Ieškinio senačiai skaičiuoti ir taikyti taikomos Lietuvos Respublikos civilinio kodekso ir Lietuvos Respublikos civilinio proceso kodekso nuostatos, jeigu šis kodeksas ar kiti įstatymai nenustato specialių ieškinio senaties taikymo nuostatų.</w:t>
                </w:r>
              </w:p>
              <w:p w14:paraId="248076D8" w14:textId="77777777">
                <w:pPr>
                  <w:jc w:val="both"/>
                  <w:rPr>
                    <w:color w:val="000000"/>
                    <w:sz w:val="20"/>
                  </w:rPr>
                </w:pPr>
                <w:r>
                  <w:rPr>
                    <w:b/>
                    <w:bCs/>
                    <w:color w:val="000000"/>
                    <w:sz w:val="20"/>
                  </w:rPr>
                  <w:t>219 straipsnis. Sprendimai bylose dėl darbo užmokesčio ir išmokų, susijusių su darbo santykiais</w:t>
                </w:r>
              </w:p>
              <w:p w14:paraId="514D7B4F" w14:textId="3B705CBD">
                <w:pPr>
                  <w:jc w:val="both"/>
                  <w:rPr>
                    <w:color w:val="000000"/>
                    <w:sz w:val="20"/>
                  </w:rPr>
                </w:pPr>
                <w:r>
                  <w:rPr>
                    <w:color w:val="000000"/>
                    <w:sz w:val="20"/>
                  </w:rPr>
                  <w:t>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w:t>
                </w:r>
              </w:p>
              <w:p w14:paraId="52F2DE4C" w14:textId="77777777">
                <w:pPr>
                  <w:jc w:val="both"/>
                  <w:rPr>
                    <w:b/>
                    <w:color w:val="000000"/>
                    <w:sz w:val="20"/>
                  </w:rPr>
                </w:pPr>
                <w:r>
                  <w:rPr>
                    <w:b/>
                    <w:bCs/>
                    <w:color w:val="000000"/>
                    <w:sz w:val="20"/>
                  </w:rPr>
                  <w:t>220 straipsnis. Darbo ginčo dėl teisės nagrinėjimas darbo ginčų komisijoje ir teisme</w:t>
                </w:r>
              </w:p>
              <w:p w14:paraId="4A46F488" w14:textId="77777777">
                <w:pPr>
                  <w:jc w:val="both"/>
                  <w:rPr>
                    <w:bCs/>
                    <w:color w:val="000000"/>
                    <w:sz w:val="20"/>
                  </w:rPr>
                </w:pPr>
                <w:r>
                  <w:rPr>
                    <w:bCs/>
                    <w:color w:val="000000"/>
                    <w:sz w:val="20"/>
                  </w:rPr>
                  <w:t>1.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 –per vieną mėnesį nuo tada, kai sužinojo ar turėjo sužinoti apie jo teisių pažeidimą.</w:t>
                </w:r>
              </w:p>
              <w:p w14:paraId="1F1FE6F7" w14:textId="77777777">
                <w:pPr>
                  <w:jc w:val="both"/>
                  <w:rPr>
                    <w:bCs/>
                    <w:color w:val="000000"/>
                    <w:sz w:val="20"/>
                  </w:rPr>
                </w:pPr>
                <w:r>
                  <w:rPr>
                    <w:bCs/>
                    <w:color w:val="000000"/>
                    <w:sz w:val="20"/>
                  </w:rPr>
                  <w:t>2. 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 dėl darbo ginčo dėl teisės išnagrinėjimo teisme.</w:t>
                </w:r>
              </w:p>
              <w:p w14:paraId="2300EAC5" w14:textId="06430EBA">
                <w:pPr>
                  <w:jc w:val="both"/>
                  <w:rPr>
                    <w:b/>
                    <w:bCs/>
                    <w:color w:val="000000"/>
                    <w:sz w:val="20"/>
                  </w:rPr>
                </w:pPr>
                <w:r>
                  <w:rPr>
                    <w:b/>
                    <w:bCs/>
                    <w:color w:val="000000"/>
                    <w:sz w:val="20"/>
                  </w:rPr>
                  <w:t>226 straipsnis. Ginčo nagrinėjimas</w:t>
                </w:r>
              </w:p>
              <w:p w14:paraId="43EE4E0A" w14:textId="4C21C22A">
                <w:pPr>
                  <w:jc w:val="both"/>
                  <w:rPr>
                    <w:color w:val="000000"/>
                    <w:sz w:val="20"/>
                  </w:rPr>
                </w:pPr>
                <w:r>
                  <w:rPr>
                    <w:color w:val="000000"/>
                    <w:sz w:val="20"/>
                  </w:rPr>
                  <w:t>&lt;...&gt;</w:t>
                </w:r>
              </w:p>
              <w:p w14:paraId="5ED70260" w14:textId="47A14F90">
                <w:pPr>
                  <w:jc w:val="both"/>
                  <w:rPr>
                    <w:bCs/>
                    <w:color w:val="000000"/>
                    <w:sz w:val="20"/>
                  </w:rPr>
                </w:pPr>
                <w:r>
                  <w:rPr>
                    <w:bCs/>
                    <w:color w:val="000000"/>
                    <w:sz w:val="20"/>
                  </w:rPr>
                  <w:t>7.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p w14:paraId="7096B0F8" w14:textId="16BAE00F">
                <w:pPr>
                  <w:jc w:val="both"/>
                  <w:rPr>
                    <w:bCs/>
                    <w:color w:val="000000"/>
                    <w:sz w:val="20"/>
                  </w:rPr>
                </w:pPr>
                <w:r>
                  <w:rPr>
                    <w:bCs/>
                    <w:color w:val="000000"/>
                    <w:sz w:val="20"/>
                  </w:rPr>
                  <w:t>&lt;...&gt;</w:t>
                </w:r>
              </w:p>
              <w:p w14:paraId="08570C3C" w14:textId="77777777">
                <w:pPr>
                  <w:jc w:val="both"/>
                  <w:rPr>
                    <w:color w:val="000000"/>
                    <w:sz w:val="20"/>
                  </w:rPr>
                </w:pPr>
                <w:r>
                  <w:rPr>
                    <w:i/>
                    <w:iCs/>
                    <w:color w:val="000000"/>
                    <w:sz w:val="20"/>
                  </w:rPr>
                  <w:t>Straipsnio pakeitimai:</w:t>
                </w:r>
              </w:p>
              <w:p w14:paraId="0E7D15E5" w14:textId="77777777">
                <w:pPr>
                  <w:rPr>
                    <w:color w:val="000000"/>
                    <w:sz w:val="20"/>
                  </w:rPr>
                </w:pPr>
                <w:r>
                  <w:rPr>
                    <w:i/>
                    <w:iCs/>
                    <w:color w:val="000000"/>
                    <w:sz w:val="20"/>
                  </w:rPr>
                  <w:t>Nr. </w:t>
                </w:r>
                <w:hyperlink r:id="rId31" w:tgtFrame="_parent" w:history="1">
                  <w:r>
                    <w:rPr>
                      <w:i/>
                      <w:iCs/>
                      <w:color w:val="0000FF"/>
                      <w:sz w:val="20"/>
                      <w:u w:val="single"/>
                    </w:rPr>
                    <w:t>XIV-1187</w:t>
                  </w:r>
                </w:hyperlink>
                <w:r>
                  <w:rPr>
                    <w:i/>
                    <w:iCs/>
                    <w:color w:val="000000"/>
                    <w:sz w:val="20"/>
                  </w:rPr>
                  <w:t>, 2022-06-28, paskelbta TAR 2022-07-11, i. k. 2022-15174</w:t>
                </w:r>
              </w:p>
              <w:p w14:paraId="57BE195A" w14:textId="76B3F3A3">
                <w:pPr>
                  <w:jc w:val="both"/>
                  <w:rPr>
                    <w:color w:val="000000"/>
                    <w:sz w:val="20"/>
                  </w:rPr>
                </w:pPr>
                <w:r>
                  <w:rPr>
                    <w:b/>
                    <w:bCs/>
                    <w:color w:val="000000"/>
                    <w:sz w:val="20"/>
                  </w:rPr>
                  <w:t>229 straipsnis. Darbo ginčų komisijos sprendimo įsiteisėjimas</w:t>
                </w:r>
              </w:p>
              <w:p w14:paraId="32DF7504" w14:textId="77777777">
                <w:pPr>
                  <w:jc w:val="both"/>
                  <w:rPr>
                    <w:color w:val="000000"/>
                    <w:sz w:val="20"/>
                  </w:rPr>
                </w:pPr>
                <w:r>
                  <w:rPr>
                    <w:color w:val="000000"/>
                    <w:sz w:val="20"/>
                  </w:rPr>
                  <w:t>1. Darbo ginčų komisijos sprendimas įsiteisėja, pasibaigus šio kodekso 231 straipsnyje nustatytam ieškinio pareiškimo teismui terminui, jeigu nė viena šalis jo metu nepareiškė ieškinio teisme.</w:t>
                </w:r>
              </w:p>
              <w:p w14:paraId="4198D80B" w14:textId="77777777">
                <w:pPr>
                  <w:jc w:val="both"/>
                  <w:rPr>
                    <w:color w:val="000000"/>
                    <w:sz w:val="20"/>
                  </w:rPr>
                </w:pPr>
                <w:r>
                  <w:rPr>
                    <w:color w:val="000000"/>
                    <w:sz w:val="20"/>
                  </w:rPr>
                  <w:t>2. Jeigu darbo ginčų komisijos sprendimas ginčijamas iš dalies, sprendimas įsiteisėja dėl dalies, nesusijusios su ginčijama dalimi.</w:t>
                </w:r>
              </w:p>
              <w:p w14:paraId="651B5E46" w14:textId="77777777">
                <w:pPr>
                  <w:jc w:val="both"/>
                  <w:rPr>
                    <w:color w:val="000000"/>
                    <w:sz w:val="20"/>
                  </w:rPr>
                </w:pPr>
                <w:r>
                  <w:rPr>
                    <w:b/>
                    <w:bCs/>
                    <w:color w:val="000000"/>
                    <w:sz w:val="20"/>
                  </w:rPr>
                  <w:t>231 straipsnis. Darbo ginčo nagrinėjimas teisme</w:t>
                </w:r>
              </w:p>
              <w:p w14:paraId="65FC99E4" w14:textId="77777777">
                <w:pPr>
                  <w:jc w:val="both"/>
                  <w:rPr>
                    <w:color w:val="000000"/>
                    <w:sz w:val="20"/>
                  </w:rPr>
                </w:pPr>
                <w:r>
                  <w:rPr>
                    <w:color w:val="000000"/>
                    <w:sz w:val="20"/>
                  </w:rPr>
                  <w:t>1.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w:t>
                </w:r>
              </w:p>
              <w:p w14:paraId="26A8A056" w14:textId="77777777">
                <w:pPr>
                  <w:jc w:val="both"/>
                  <w:rPr>
                    <w:color w:val="000000"/>
                    <w:sz w:val="20"/>
                  </w:rPr>
                </w:pPr>
                <w:r>
                  <w:rPr>
                    <w:color w:val="000000"/>
                    <w:sz w:val="20"/>
                  </w:rPr>
                  <w:t>2. Šio straipsnio 1 dalyje numatytas praleistas ieškinio pareiškimo terminas gali būti atnaujintas teismo, jeigu nurodytas termino praleidimo priežastis teismas pripažįsta svarbiomis.</w:t>
                </w:r>
              </w:p>
              <w:p w14:paraId="2E1BDB49" w14:textId="77777777">
                <w:pPr>
                  <w:jc w:val="both"/>
                  <w:rPr>
                    <w:color w:val="000000"/>
                    <w:sz w:val="20"/>
                  </w:rPr>
                </w:pPr>
                <w:r>
                  <w:rPr>
                    <w:color w:val="000000"/>
                    <w:sz w:val="20"/>
                  </w:rPr>
                  <w:t>3.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p w14:paraId="517747E9" w14:textId="3E6A358D">
                <w:pPr>
                  <w:jc w:val="both"/>
                  <w:rPr>
                    <w:color w:val="000000"/>
                    <w:sz w:val="20"/>
                  </w:rPr>
                </w:pPr>
                <w:r>
                  <w:rPr>
                    <w:color w:val="000000"/>
                    <w:sz w:val="20"/>
                  </w:rPr>
                  <w:t>4. Darbo ginčų komisijos sprendimas nėra apeliacijos ar sprendimo peržiūros dalykas.</w:t>
                </w:r>
              </w:p>
            </w:tc>
            <w:tc>
              <w:tcPr>
                <w:tcW w:w="1572" w:type="dxa"/>
                <w:tcBorders>
                  <w:bottom w:val="single" w:sz="4" w:space="0" w:color="auto"/>
                </w:tcBorders>
                <w:shd w:val="clear" w:color="auto" w:fill="FFFFFF" w:themeFill="background1"/>
              </w:tcPr>
              <w:p w14:paraId="680EA19D" w14:textId="692DAA9C">
                <w:pPr>
                  <w:jc w:val="both"/>
                  <w:rPr>
                    <w:color w:val="000000"/>
                    <w:sz w:val="20"/>
                  </w:rPr>
                </w:pPr>
                <w:r>
                  <w:rPr>
                    <w:color w:val="000000"/>
                    <w:sz w:val="20"/>
                  </w:rPr>
                  <w:t>Visiškas</w:t>
                </w:r>
              </w:p>
            </w:tc>
          </w:tr>
          <w:tr w14:paraId="4100932B" w14:textId="77777777">
            <w:tc>
              <w:tcPr>
                <w:tcW w:w="15310" w:type="dxa"/>
                <w:gridSpan w:val="3"/>
                <w:tcBorders>
                  <w:bottom w:val="single" w:sz="4" w:space="0" w:color="auto"/>
                </w:tcBorders>
                <w:shd w:val="clear" w:color="auto" w:fill="D6E3BC" w:themeFill="accent3" w:themeFillTint="66"/>
              </w:tcPr>
              <w:p w14:paraId="3079856E" w14:textId="12A00420">
                <w:pPr>
                  <w:jc w:val="both"/>
                  <w:rPr>
                    <w:b/>
                    <w:bCs/>
                    <w:color w:val="000000"/>
                    <w:sz w:val="20"/>
                  </w:rPr>
                </w:pPr>
                <w:r>
                  <w:rPr>
                    <w:b/>
                    <w:bCs/>
                    <w:color w:val="000000"/>
                    <w:sz w:val="20"/>
                  </w:rPr>
                  <w:t>15 straipsnis. Procedūros darbuotojų vardu arba jiems paremti</w:t>
                </w:r>
              </w:p>
            </w:tc>
          </w:tr>
          <w:tr w14:paraId="15E1C008" w14:textId="77777777">
            <w:tc>
              <w:tcPr>
                <w:tcW w:w="8391" w:type="dxa"/>
                <w:tcBorders>
                  <w:top w:val="single" w:sz="4" w:space="0" w:color="auto"/>
                </w:tcBorders>
              </w:tcPr>
              <w:p w14:paraId="763B0D93" w14:textId="3A3DFC2A">
                <w:pPr>
                  <w:jc w:val="both"/>
                  <w:rPr>
                    <w:bCs/>
                    <w:sz w:val="20"/>
                  </w:rPr>
                </w:pPr>
                <w:r>
                  <w:rPr>
                    <w:bCs/>
                    <w:sz w:val="20"/>
                  </w:rPr>
                  <w:t>Valstybės narės užtikrina, kad asociacijos, organizacijos, lygybės institucijos ir darbuotojų atstovai arba kiti juridiniai asmenys, kurie pagal nacionalinėje teisėje nustatytus kriterijus turi teisėtą interesą užtikrinti vyrų ir moterų lygybę, galėtų dalyvauti bet kokiame administraciniame arba teismo procese dėl teisių ar pareigų, susijusių su vienodo darbo užmokesčio principu, įtariamo pažeidimo. Tokie subjektai gali veikti darbuotojo, kuris, kaip įtariama, yra su vienodo darbo užmokesčio principu susijusios teisės ar pareigos pažeidimo auka, vardu arba jį remdami, jei tas asmuo su tuo sutinka.</w:t>
                </w:r>
              </w:p>
            </w:tc>
            <w:tc>
              <w:tcPr>
                <w:tcW w:w="5347" w:type="dxa"/>
                <w:tcBorders>
                  <w:top w:val="single" w:sz="4" w:space="0" w:color="auto"/>
                </w:tcBorders>
              </w:tcPr>
              <w:p w14:paraId="1A97E641" w14:textId="4871C74B">
                <w:pPr>
                  <w:jc w:val="both"/>
                  <w:rPr>
                    <w:b/>
                    <w:color w:val="000000"/>
                    <w:sz w:val="20"/>
                  </w:rPr>
                </w:pPr>
                <w:r>
                  <w:rPr>
                    <w:b/>
                    <w:color w:val="000000"/>
                    <w:sz w:val="20"/>
                  </w:rPr>
                  <w:t>PSĮ</w:t>
                </w:r>
              </w:p>
              <w:p w14:paraId="38B3E863" w14:textId="1A0D03AA">
                <w:pPr>
                  <w:spacing w:line="276" w:lineRule="auto"/>
                  <w:rPr>
                    <w:b/>
                    <w:color w:val="000000"/>
                    <w:sz w:val="20"/>
                  </w:rPr>
                </w:pPr>
                <w:r>
                  <w:rPr>
                    <w:b/>
                    <w:color w:val="000000"/>
                    <w:sz w:val="20"/>
                  </w:rPr>
                  <w:t>10 straipsnis. Profesinės sąjungos ir darbdavys</w:t>
                </w:r>
              </w:p>
              <w:p w14:paraId="174FFF89" w14:textId="6D1423F2">
                <w:pPr>
                  <w:jc w:val="both"/>
                  <w:rPr>
                    <w:bCs/>
                    <w:color w:val="000000"/>
                    <w:sz w:val="20"/>
                  </w:rPr>
                </w:pPr>
                <w:r>
                  <w:rPr>
                    <w:bCs/>
                    <w:color w:val="000000"/>
                    <w:sz w:val="20"/>
                  </w:rPr>
                  <w:t>Profesinės sąjungos atstovauja profesinės sąjungos nariams santykiuose su darbdaviu, jo įgaliotuoju atstovu. Profesinės sąjungos gina savo narių darbo ir ekonomines socialines teises bei interesus.</w:t>
                </w:r>
              </w:p>
              <w:p w14:paraId="63C728CA" w14:textId="4B12478E">
                <w:pPr>
                  <w:jc w:val="both"/>
                  <w:rPr>
                    <w:b/>
                    <w:color w:val="000000"/>
                    <w:sz w:val="20"/>
                  </w:rPr>
                </w:pPr>
                <w:r>
                  <w:rPr>
                    <w:b/>
                    <w:color w:val="000000"/>
                    <w:sz w:val="20"/>
                  </w:rPr>
                  <w:t>20 straipsnis. Profesinių sąjungų ir jų narių teisių gynimas</w:t>
                </w:r>
              </w:p>
              <w:p w14:paraId="4E13A289" w14:textId="77777777">
                <w:pPr>
                  <w:jc w:val="both"/>
                  <w:rPr>
                    <w:bCs/>
                    <w:color w:val="000000"/>
                    <w:sz w:val="20"/>
                  </w:rPr>
                </w:pPr>
                <w:r>
                  <w:rPr>
                    <w:bCs/>
                    <w:color w:val="000000"/>
                    <w:sz w:val="20"/>
                  </w:rPr>
                  <w:t>Profesinės sąjungos ir jų nariai įstatymų nustatyta tvarka turi teisę kreiptis į teismą dėl jų teisių ir teisėtų interesų pažeidimo.</w:t>
                </w:r>
              </w:p>
              <w:p w14:paraId="75CB4EAE" w14:textId="4CC733C1">
                <w:pPr>
                  <w:jc w:val="both"/>
                  <w:rPr>
                    <w:b/>
                    <w:color w:val="000000"/>
                    <w:sz w:val="20"/>
                  </w:rPr>
                </w:pPr>
                <w:r>
                  <w:rPr>
                    <w:b/>
                    <w:color w:val="000000"/>
                    <w:sz w:val="20"/>
                  </w:rPr>
                  <w:t>LGĮ</w:t>
                </w:r>
              </w:p>
              <w:p w14:paraId="1DCF6681" w14:textId="16A2450C">
                <w:pPr>
                  <w:jc w:val="both"/>
                  <w:rPr>
                    <w:b/>
                    <w:color w:val="000000"/>
                    <w:sz w:val="20"/>
                  </w:rPr>
                </w:pPr>
                <w:r>
                  <w:rPr>
                    <w:b/>
                    <w:color w:val="000000"/>
                    <w:sz w:val="20"/>
                  </w:rPr>
                  <w:t>17 straipsnis. Lygių galimybių kontrolieriaus kompetencija</w:t>
                </w:r>
              </w:p>
              <w:p w14:paraId="000B5DC9" w14:textId="6A3F9986">
                <w:pPr>
                  <w:jc w:val="both"/>
                  <w:rPr>
                    <w:bCs/>
                    <w:color w:val="000000"/>
                    <w:sz w:val="20"/>
                  </w:rPr>
                </w:pPr>
                <w:r>
                  <w:rPr>
                    <w:bCs/>
                    <w:color w:val="000000"/>
                    <w:sz w:val="20"/>
                  </w:rPr>
                  <w:t>1. Lygių galimybių kontrolierius, vadovaudamasis teisėtumo, nešališkumo ir teisingumo principais, šio įstatymo nustatyta tvarka tiria skundus, atlieka tyrimus savo iniciatyva ir teikia konsultacijas dėl paklausimų.</w:t>
                </w:r>
              </w:p>
              <w:p w14:paraId="64091CAE" w14:textId="021FCBDD">
                <w:pPr>
                  <w:jc w:val="both"/>
                  <w:rPr>
                    <w:bCs/>
                    <w:color w:val="000000"/>
                    <w:sz w:val="20"/>
                  </w:rPr>
                </w:pPr>
                <w:r>
                  <w:rPr>
                    <w:bCs/>
                    <w:color w:val="000000"/>
                    <w:sz w:val="20"/>
                  </w:rPr>
                  <w:t>2. Lygių galimybių kontrolierius atlieka nepriklausomus tyrimus, susijusius su diskriminacijos atvejais, ir nepriklausomas diskriminacijos padėties apžvalgas, skelbia nepriklausomas ataskaitas, teikia išvadas ir rekomendacijas bet kokiais su diskriminacija susijusiais klausimais dėl šio įstatymo įgyvendinimo, taip pat pasiūlymus valstybės ir savivaldybių institucijoms ir įstaigoms dėl teisės aktų tobulinimo ir lygių teisių įgyvendinimo politikos prioritetų, vykdo prevencinę ir švietėjišką veiklą, lygių galimybių užtikrinimo sklaidą.</w:t>
                </w:r>
              </w:p>
              <w:p w14:paraId="41318000" w14:textId="15BA37DD">
                <w:pPr>
                  <w:jc w:val="both"/>
                  <w:rPr>
                    <w:b/>
                    <w:color w:val="000000"/>
                    <w:sz w:val="20"/>
                  </w:rPr>
                </w:pPr>
                <w:r>
                  <w:rPr>
                    <w:b/>
                    <w:color w:val="000000"/>
                    <w:sz w:val="20"/>
                  </w:rPr>
                  <w:t>DK</w:t>
                </w:r>
              </w:p>
              <w:p w14:paraId="7D517DED" w14:textId="6875BF86">
                <w:pPr>
                  <w:jc w:val="both"/>
                  <w:rPr>
                    <w:b/>
                    <w:color w:val="000000"/>
                    <w:sz w:val="20"/>
                  </w:rPr>
                </w:pPr>
                <w:r>
                  <w:rPr>
                    <w:b/>
                    <w:color w:val="000000"/>
                    <w:sz w:val="20"/>
                  </w:rPr>
                  <w:t>165 straipsnis. Darbuotojų atstovavimo sistema</w:t>
                </w:r>
              </w:p>
              <w:p w14:paraId="77988C19" w14:textId="3A58DE17">
                <w:pPr>
                  <w:jc w:val="both"/>
                  <w:rPr>
                    <w:bCs/>
                    <w:color w:val="000000"/>
                    <w:sz w:val="20"/>
                  </w:rPr>
                </w:pPr>
                <w:r>
                  <w:rPr>
                    <w:bCs/>
                    <w:color w:val="000000"/>
                    <w:sz w:val="20"/>
                  </w:rPr>
                  <w:t>1.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p w14:paraId="325D39FD" w14:textId="5385FBB7">
                <w:pPr>
                  <w:jc w:val="both"/>
                  <w:rPr>
                    <w:b/>
                    <w:color w:val="000000"/>
                    <w:sz w:val="20"/>
                  </w:rPr>
                </w:pPr>
                <w:r>
                  <w:rPr>
                    <w:b/>
                    <w:color w:val="000000"/>
                    <w:sz w:val="20"/>
                  </w:rPr>
                  <w:t>225 straipsnis. Pasirengimas nagrinėti prašymą</w:t>
                </w:r>
              </w:p>
              <w:p w14:paraId="3D71BD96" w14:textId="16D4B313">
                <w:pPr>
                  <w:jc w:val="both"/>
                  <w:rPr>
                    <w:bCs/>
                    <w:color w:val="000000"/>
                    <w:sz w:val="20"/>
                  </w:rPr>
                </w:pPr>
                <w:r>
                  <w:rPr>
                    <w:bCs/>
                    <w:color w:val="000000"/>
                    <w:sz w:val="20"/>
                  </w:rPr>
                  <w:t>1. Darbo ginčų komisijos pirmininkas, rengdamasis nagrinėti prašymą išnagrinėti darbo ginčą dėl teisės, atsižvelgdamas į bylos aplinkybes, iš atitinkamų tarnybų ir asmenų išreikalauja darbo ginčui nagrinėti reikalingus dokumentus (jų kopijas), kitus įrodymus, kviečia liudytojus.</w:t>
                </w:r>
              </w:p>
              <w:p w14:paraId="51ADA50D" w14:textId="77777777">
                <w:pPr>
                  <w:rPr>
                    <w:b/>
                    <w:color w:val="000000"/>
                    <w:sz w:val="20"/>
                  </w:rPr>
                </w:pPr>
                <w:r>
                  <w:rPr>
                    <w:b/>
                    <w:bCs/>
                    <w:color w:val="000000"/>
                    <w:sz w:val="20"/>
                  </w:rPr>
                  <w:t>226 straipsnis. Ginčo nagrinėjimas</w:t>
                </w:r>
              </w:p>
              <w:p w14:paraId="0DA1C894" w14:textId="77777777">
                <w:pPr>
                  <w:jc w:val="both"/>
                  <w:rPr>
                    <w:bCs/>
                    <w:color w:val="000000"/>
                    <w:sz w:val="20"/>
                  </w:rPr>
                </w:pPr>
                <w:r>
                  <w:rPr>
                    <w:bCs/>
                    <w:color w:val="000000"/>
                    <w:sz w:val="20"/>
                  </w:rPr>
                  <w:t>1. Darbo ginčas nagrinėjamas dalyvaujant ieškovui ir atsakovui ir (arba) jų atstovams, liudytojams, išskyrus šio straipsnio 2 ir 3 dalyse nustatytus atvejus.</w:t>
                </w:r>
              </w:p>
              <w:p w14:paraId="43A49CD4" w14:textId="3857C603">
                <w:pPr>
                  <w:jc w:val="both"/>
                  <w:rPr>
                    <w:b/>
                    <w:bCs/>
                    <w:color w:val="000000"/>
                    <w:sz w:val="20"/>
                    <w:lang w:eastAsia="lt-LT"/>
                  </w:rPr>
                </w:pPr>
                <w:r>
                  <w:rPr>
                    <w:b/>
                    <w:bCs/>
                    <w:color w:val="000000"/>
                    <w:sz w:val="20"/>
                    <w:lang w:eastAsia="lt-LT"/>
                  </w:rPr>
                  <w:t>VDI darbo reglamentas</w:t>
                </w:r>
              </w:p>
              <w:p w14:paraId="1636F6B5" w14:textId="77777777">
                <w:pPr>
                  <w:jc w:val="both"/>
                  <w:rPr>
                    <w:color w:val="000000"/>
                    <w:sz w:val="20"/>
                    <w:lang w:eastAsia="lt-LT"/>
                  </w:rPr>
                </w:pPr>
                <w:r>
                  <w:rPr>
                    <w:b/>
                    <w:bCs/>
                    <w:color w:val="000000"/>
                    <w:sz w:val="20"/>
                    <w:lang w:eastAsia="lt-LT"/>
                  </w:rPr>
                  <w:t>3 punktas</w:t>
                </w:r>
                <w:r>
                  <w:rPr>
                    <w:color w:val="000000"/>
                    <w:sz w:val="20"/>
                    <w:lang w:eastAsia="lt-LT"/>
                  </w:rPr>
                  <w:t>. VDI veikla grindžiama teisėtumo, teisingumo, įstatymo viršenybės, objektyvumo, proporcingumo, nepiktnaudžiavimo valdžia, tarnybinio bendradarbiavimo ir kitais Lietuvos Respublikos viešojo administravimo įstatyme (toliau – Viešojo administravimo įstatymas) nustatytais principais.</w:t>
                </w:r>
              </w:p>
              <w:p w14:paraId="0EE3C997" w14:textId="54227527">
                <w:pPr>
                  <w:jc w:val="both"/>
                  <w:rPr>
                    <w:b/>
                    <w:bCs/>
                    <w:color w:val="000000"/>
                    <w:sz w:val="20"/>
                    <w:lang w:eastAsia="lt-LT"/>
                  </w:rPr>
                </w:pPr>
                <w:r>
                  <w:rPr>
                    <w:b/>
                    <w:bCs/>
                    <w:color w:val="000000"/>
                    <w:sz w:val="20"/>
                    <w:lang w:eastAsia="lt-LT"/>
                  </w:rPr>
                  <w:t>AĮ</w:t>
                </w:r>
              </w:p>
              <w:p w14:paraId="4B80FD3A" w14:textId="347E4EB1">
                <w:pPr>
                  <w:jc w:val="both"/>
                  <w:rPr>
                    <w:color w:val="000000"/>
                    <w:sz w:val="20"/>
                    <w:lang w:eastAsia="lt-LT"/>
                  </w:rPr>
                </w:pPr>
                <w:r>
                  <w:rPr>
                    <w:b/>
                    <w:bCs/>
                    <w:color w:val="000000"/>
                    <w:sz w:val="20"/>
                    <w:lang w:eastAsia="lt-LT"/>
                  </w:rPr>
                  <w:t>2 straipsnis. Asociacijos samprata</w:t>
                </w:r>
              </w:p>
              <w:p w14:paraId="2E7F7EDA" w14:textId="77777777">
                <w:pPr>
                  <w:jc w:val="both"/>
                  <w:rPr>
                    <w:color w:val="000000"/>
                    <w:sz w:val="20"/>
                    <w:lang w:eastAsia="lt-LT"/>
                  </w:rPr>
                </w:pPr>
                <w:r>
                  <w:rPr>
                    <w:color w:val="000000"/>
                    <w:sz w:val="20"/>
                    <w:lang w:eastAsia="lt-LT"/>
                  </w:rPr>
                  <w:t>1. Asociacija – savo pavadinimą turintis ribotos civilinės atsakomybės viešasis juridinis asmuo, kurio tikslas – koordinuoti asociacijos narių veiklą, atstovauti asociacijos narių interesams ir juos ginti ar tenkinti kitus viešuosius interesus.</w:t>
                </w:r>
              </w:p>
              <w:p w14:paraId="5D2DC964" w14:textId="77777777">
                <w:pPr>
                  <w:jc w:val="both"/>
                  <w:rPr>
                    <w:color w:val="000000"/>
                    <w:sz w:val="20"/>
                    <w:lang w:eastAsia="lt-LT"/>
                  </w:rPr>
                </w:pPr>
                <w:r>
                  <w:rPr>
                    <w:color w:val="000000"/>
                    <w:sz w:val="20"/>
                    <w:lang w:eastAsia="lt-LT"/>
                  </w:rPr>
                  <w:t>&lt;...&gt;</w:t>
                </w:r>
              </w:p>
              <w:p w14:paraId="5D49C66F" w14:textId="2EC6E727">
                <w:pPr>
                  <w:jc w:val="both"/>
                  <w:rPr>
                    <w:b/>
                    <w:bCs/>
                    <w:color w:val="000000"/>
                    <w:sz w:val="20"/>
                    <w:lang w:eastAsia="lt-LT"/>
                  </w:rPr>
                </w:pPr>
                <w:r>
                  <w:rPr>
                    <w:b/>
                    <w:bCs/>
                    <w:color w:val="000000"/>
                    <w:sz w:val="20"/>
                    <w:lang w:eastAsia="lt-LT"/>
                  </w:rPr>
                  <w:t xml:space="preserve">MVLGĮ </w:t>
                </w:r>
              </w:p>
              <w:p w14:paraId="15109887" w14:textId="77777777">
                <w:pPr>
                  <w:jc w:val="both"/>
                  <w:rPr>
                    <w:color w:val="000000"/>
                    <w:sz w:val="20"/>
                    <w:lang w:eastAsia="lt-LT"/>
                  </w:rPr>
                </w:pPr>
                <w:r>
                  <w:rPr>
                    <w:b/>
                    <w:bCs/>
                    <w:color w:val="000000"/>
                    <w:sz w:val="20"/>
                    <w:lang w:eastAsia="lt-LT"/>
                  </w:rPr>
                  <w:t>17 straipsnis. Diskriminuojamo asmens ir jam atstovaujančių asmenų teisės</w:t>
                </w:r>
              </w:p>
              <w:p w14:paraId="38B82938" w14:textId="77777777">
                <w:pPr>
                  <w:jc w:val="both"/>
                  <w:rPr>
                    <w:color w:val="000000"/>
                    <w:sz w:val="20"/>
                    <w:lang w:eastAsia="lt-LT"/>
                  </w:rPr>
                </w:pPr>
                <w:r>
                  <w:rPr>
                    <w:color w:val="000000"/>
                    <w:sz w:val="20"/>
                    <w:lang w:eastAsia="lt-LT"/>
                  </w:rPr>
                  <w:t>1.</w:t>
                </w:r>
                <w:r>
                  <w:rPr>
                    <w:b/>
                    <w:bCs/>
                    <w:color w:val="000000"/>
                    <w:sz w:val="20"/>
                    <w:lang w:eastAsia="lt-LT"/>
                  </w:rPr>
                  <w:t> </w:t>
                </w:r>
                <w:r>
                  <w:rPr>
                    <w:color w:val="000000"/>
                    <w:sz w:val="20"/>
                    <w:lang w:eastAsia="lt-LT"/>
                  </w:rPr>
                  <w:t>Asmuo, manantis, kad jam buvo taikomi šiame skyriuje nurodyti diskriminaciniai veiksmai, arba tapęs seksualinio priekabiavimo ar priekabiavimo objektu, turi teisę kreiptis objektyvios ir nešališkos pagalbos į Lietuvos Respublikos lygių galimybių kontrolierių (toliau – lygių galimybių kontrolierius).</w:t>
                </w:r>
              </w:p>
              <w:p w14:paraId="5284C5C6" w14:textId="09AF0EAC">
                <w:pPr>
                  <w:jc w:val="both"/>
                  <w:rPr>
                    <w:color w:val="000000"/>
                    <w:sz w:val="20"/>
                    <w:lang w:eastAsia="lt-LT"/>
                  </w:rPr>
                </w:pPr>
                <w:r>
                  <w:rPr>
                    <w:color w:val="000000"/>
                    <w:sz w:val="20"/>
                    <w:lang w:eastAsia="lt-LT"/>
                  </w:rPr>
                  <w:t>2. Darbuotojų ir darbdavių organizacijos arba kiti juridiniai asmenys, turintys teisėtą interesą, gavę asmens rašytinį sutikimą, gali įstatymų nustatyta tvarka atstovauti jam teisminėse arba administracinėse procedūrose.</w:t>
                </w:r>
              </w:p>
            </w:tc>
            <w:tc>
              <w:tcPr>
                <w:tcW w:w="1572" w:type="dxa"/>
                <w:tcBorders>
                  <w:top w:val="single" w:sz="4" w:space="0" w:color="auto"/>
                </w:tcBorders>
              </w:tcPr>
              <w:p w14:paraId="4AA4230E" w14:textId="41694050">
                <w:pPr>
                  <w:jc w:val="both"/>
                  <w:rPr>
                    <w:color w:val="000000"/>
                    <w:sz w:val="20"/>
                  </w:rPr>
                </w:pPr>
                <w:r>
                  <w:rPr>
                    <w:color w:val="000000"/>
                    <w:sz w:val="20"/>
                  </w:rPr>
                  <w:t>Visiškas</w:t>
                </w:r>
              </w:p>
            </w:tc>
          </w:tr>
          <w:tr w14:paraId="7BE3480C" w14:textId="77777777">
            <w:tc>
              <w:tcPr>
                <w:tcW w:w="15310" w:type="dxa"/>
                <w:gridSpan w:val="3"/>
                <w:shd w:val="clear" w:color="auto" w:fill="D6E3BC" w:themeFill="accent3" w:themeFillTint="66"/>
              </w:tcPr>
              <w:p w14:paraId="5C9FDCB7" w14:textId="4326F399">
                <w:pPr>
                  <w:jc w:val="both"/>
                  <w:rPr>
                    <w:color w:val="000000"/>
                    <w:sz w:val="20"/>
                  </w:rPr>
                </w:pPr>
                <w:r>
                  <w:rPr>
                    <w:b/>
                    <w:bCs/>
                    <w:color w:val="000000"/>
                    <w:sz w:val="20"/>
                  </w:rPr>
                  <w:t>16 straipsnis. Teisė į kompensaciją</w:t>
                </w:r>
              </w:p>
            </w:tc>
          </w:tr>
          <w:tr w14:paraId="72DC7FE8" w14:textId="77777777">
            <w:tc>
              <w:tcPr>
                <w:tcW w:w="8391" w:type="dxa"/>
                <w:shd w:val="clear" w:color="auto" w:fill="FFFFFF" w:themeFill="background1"/>
              </w:tcPr>
              <w:p w14:paraId="53835AA7" w14:textId="10B16038">
                <w:pPr>
                  <w:jc w:val="both"/>
                  <w:rPr>
                    <w:bCs/>
                    <w:sz w:val="20"/>
                  </w:rPr>
                </w:pPr>
                <w:r>
                  <w:rPr>
                    <w:bCs/>
                    <w:sz w:val="20"/>
                  </w:rPr>
                  <w:t xml:space="preserve">1.   Valstybės narės užtikrina, kad darbuotojas, patyręs žalą dėl bet kurios teisės ar pareigos, susijusios su vienodo darbo užmokesčio principu  pažeidimo, turėtų teisę reikalauti ir gauti visą valstybės narės nustatytą kompensaciją už tą žalą arba tos žalos atlyginimą.</w:t>
                </w:r>
              </w:p>
            </w:tc>
            <w:tc>
              <w:tcPr>
                <w:tcW w:w="5347" w:type="dxa"/>
                <w:shd w:val="clear" w:color="auto" w:fill="FFFFFF" w:themeFill="background1"/>
              </w:tcPr>
              <w:p w14:paraId="2A51A6BA" w14:textId="0E8DBFA7">
                <w:pPr>
                  <w:jc w:val="both"/>
                  <w:rPr>
                    <w:b/>
                    <w:color w:val="000000"/>
                    <w:sz w:val="20"/>
                  </w:rPr>
                </w:pPr>
                <w:r>
                  <w:rPr>
                    <w:b/>
                    <w:color w:val="000000"/>
                    <w:sz w:val="20"/>
                  </w:rPr>
                  <w:t>DK projektas</w:t>
                </w:r>
              </w:p>
              <w:p w14:paraId="104CA09E" w14:textId="67D3933F">
                <w:pPr>
                  <w:jc w:val="both"/>
                  <w:rPr>
                    <w:b/>
                    <w:bCs/>
                    <w:sz w:val="20"/>
                  </w:rPr>
                </w:pPr>
                <w:r>
                  <w:rPr>
                    <w:b/>
                    <w:bCs/>
                    <w:sz w:val="20"/>
                  </w:rPr>
                  <w:t>19 straipsnis. 219 straipsnio pakeitimas</w:t>
                </w:r>
              </w:p>
              <w:p w14:paraId="66BA879E" w14:textId="77777777">
                <w:pPr>
                  <w:jc w:val="both"/>
                  <w:rPr>
                    <w:b/>
                    <w:bCs/>
                    <w:sz w:val="20"/>
                  </w:rPr>
                </w:pPr>
                <w:r>
                  <w:rPr>
                    <w:b/>
                    <w:bCs/>
                    <w:sz w:val="20"/>
                  </w:rPr>
                  <w:t>Pakeisti 219 straipsnį ir jį išdėstyti taip:</w:t>
                </w:r>
              </w:p>
              <w:p w14:paraId="3518365B" w14:textId="77777777">
                <w:pPr>
                  <w:jc w:val="both"/>
                  <w:rPr>
                    <w:b/>
                    <w:bCs/>
                    <w:sz w:val="20"/>
                  </w:rPr>
                </w:pPr>
                <w:r>
                  <w:rPr>
                    <w:b/>
                    <w:bCs/>
                    <w:sz w:val="20"/>
                  </w:rPr>
                  <w:t>219 straipsnis. Sprendimai bylose dėl darbo užmokesčio ir kitų išmokų, susijusių su darbo santykiais</w:t>
                </w:r>
              </w:p>
              <w:p w14:paraId="58975427" w14:textId="77777777">
                <w:pPr>
                  <w:jc w:val="both"/>
                  <w:rPr>
                    <w:b/>
                    <w:bCs/>
                    <w:sz w:val="20"/>
                  </w:rPr>
                </w:pPr>
                <w:r>
                  <w:rPr>
                    <w:b/>
                    <w:bCs/>
                    <w:sz w:val="20"/>
                  </w:rPr>
                  <w:t>1. Jeigu šiame kodekse nenustatyta kitaip, darbo ginčą nagrinėjantis organas, priimdamas sprendimus dėl uždelsto sumokėti darbo užmokesčio ir kitų išmokų, susijusių su darbo santykiais, priteisimo, priteisia visas šias sumas, atsižvelgdamas į šio kodekso nustatytus apribojimus ir ieškinio senaties taikymo taisykles.</w:t>
                </w:r>
              </w:p>
              <w:p w14:paraId="71398DC9" w14:textId="40844AB0">
                <w:pPr>
                  <w:jc w:val="both"/>
                  <w:rPr>
                    <w:bCs/>
                    <w:sz w:val="20"/>
                    <w:lang w:eastAsia="lt-LT"/>
                  </w:rPr>
                </w:pPr>
                <w:r>
                  <w:rPr>
                    <w:b/>
                    <w:bCs/>
                    <w:sz w:val="20"/>
                  </w:rPr>
                  <w:t>2. Jeigu darbo ginčą nagrinėjantis organas nustato, kad darbdavys pažeidė pareigą už tokį patį ar vienodos vertės darbą mokėti vienodą darbo užmokestį, darbuotojui priteisiama kompensacija. Ši kompensacija – visiškas nesumokėto darbo užmokesčio ar mokėjimų natūra atgavimas, taip pat kompensacija už prarastas galimybes, neturtinės žalos ar kitokios žalos, sukeltos kitų svarbių veiksnių, apimančių daugialypę diskriminaciją, atlyginimas.“</w:t>
                </w:r>
              </w:p>
            </w:tc>
            <w:tc>
              <w:tcPr>
                <w:tcW w:w="1572" w:type="dxa"/>
                <w:shd w:val="clear" w:color="auto" w:fill="FFFFFF" w:themeFill="background1"/>
              </w:tcPr>
              <w:p w14:paraId="625452F6" w14:textId="653B407B">
                <w:pPr>
                  <w:jc w:val="both"/>
                  <w:rPr>
                    <w:color w:val="000000"/>
                    <w:sz w:val="20"/>
                  </w:rPr>
                </w:pPr>
                <w:r>
                  <w:rPr>
                    <w:color w:val="000000"/>
                    <w:sz w:val="20"/>
                  </w:rPr>
                  <w:t>Visiškas</w:t>
                </w:r>
              </w:p>
              <w:p w14:paraId="010C746B" w14:textId="77777777">
                <w:pPr>
                  <w:jc w:val="both"/>
                  <w:rPr>
                    <w:color w:val="000000"/>
                    <w:sz w:val="20"/>
                  </w:rPr>
                </w:pPr>
              </w:p>
              <w:p w14:paraId="48013F0C" w14:textId="53BAA0C9">
                <w:pPr>
                  <w:jc w:val="both"/>
                  <w:rPr>
                    <w:color w:val="000000"/>
                    <w:sz w:val="20"/>
                  </w:rPr>
                </w:pPr>
              </w:p>
            </w:tc>
          </w:tr>
          <w:tr w14:paraId="02A03175" w14:textId="77777777">
            <w:tc>
              <w:tcPr>
                <w:tcW w:w="8391" w:type="dxa"/>
                <w:shd w:val="clear" w:color="auto" w:fill="FFFFFF" w:themeFill="background1"/>
              </w:tcPr>
              <w:p w14:paraId="66315294" w14:textId="58484D5C">
                <w:pPr>
                  <w:jc w:val="both"/>
                  <w:rPr>
                    <w:bCs/>
                    <w:sz w:val="20"/>
                  </w:rPr>
                </w:pPr>
                <w:r>
                  <w:rPr>
                    <w:bCs/>
                    <w:sz w:val="20"/>
                  </w:rPr>
                  <w:t>2.   1 dalyje nurodyta kompensacija arba žalos atlyginimas turi būti reali ir veiksminga valstybės narės atgrasomu ir proporcingu būdu nustatyta kompensacija už patirtus nuostolius ir žalą arba jų atlyginimas.</w:t>
                </w:r>
              </w:p>
            </w:tc>
            <w:tc>
              <w:tcPr>
                <w:tcW w:w="5347" w:type="dxa"/>
                <w:shd w:val="clear" w:color="auto" w:fill="FFFFFF" w:themeFill="background1"/>
              </w:tcPr>
              <w:p w14:paraId="299F6E86" w14:textId="369C8884">
                <w:pPr>
                  <w:jc w:val="both"/>
                  <w:rPr>
                    <w:b/>
                    <w:sz w:val="20"/>
                  </w:rPr>
                </w:pPr>
                <w:r>
                  <w:rPr>
                    <w:b/>
                    <w:sz w:val="20"/>
                  </w:rPr>
                  <w:t>DK projektas</w:t>
                </w:r>
              </w:p>
              <w:p w14:paraId="180E0062" w14:textId="1BCA831E">
                <w:pPr>
                  <w:jc w:val="both"/>
                  <w:rPr>
                    <w:b/>
                    <w:sz w:val="20"/>
                    <w:lang w:eastAsia="lt-LT"/>
                  </w:rPr>
                </w:pPr>
                <w:r>
                  <w:rPr>
                    <w:b/>
                    <w:sz w:val="20"/>
                    <w:lang w:eastAsia="lt-LT"/>
                  </w:rPr>
                  <w:t>15 straipsnio. 147 straipsnio pakeitimas</w:t>
                </w:r>
              </w:p>
              <w:p w14:paraId="6C315F41" w14:textId="77777777">
                <w:pPr>
                  <w:jc w:val="both"/>
                  <w:rPr>
                    <w:b/>
                    <w:sz w:val="20"/>
                    <w:lang w:eastAsia="lt-LT"/>
                  </w:rPr>
                </w:pPr>
                <w:r>
                  <w:rPr>
                    <w:b/>
                    <w:sz w:val="20"/>
                    <w:lang w:eastAsia="lt-LT"/>
                  </w:rPr>
                  <w:t>Pakeisti 147 straipsnį ir jį išdėstyti taip:</w:t>
                </w:r>
              </w:p>
              <w:p w14:paraId="6659F7A3" w14:textId="77777777">
                <w:pPr>
                  <w:jc w:val="both"/>
                  <w:rPr>
                    <w:b/>
                    <w:sz w:val="20"/>
                    <w:lang w:eastAsia="lt-LT"/>
                  </w:rPr>
                </w:pPr>
                <w:r>
                  <w:rPr>
                    <w:b/>
                    <w:sz w:val="20"/>
                    <w:lang w:eastAsia="lt-LT"/>
                  </w:rPr>
                  <w:t>„147 straipsnis. Pavėluotas ar netinkamas darbo užmokesčio ir kitų su darbo santykiais susijusių išmokų mokėjimas</w:t>
                </w:r>
              </w:p>
              <w:p w14:paraId="238CA4E0" w14:textId="77777777">
                <w:pPr>
                  <w:jc w:val="both"/>
                  <w:rPr>
                    <w:b/>
                    <w:sz w:val="20"/>
                    <w:lang w:eastAsia="lt-LT"/>
                  </w:rPr>
                </w:pPr>
                <w:r>
                  <w:rPr>
                    <w:b/>
                    <w:sz w:val="20"/>
                    <w:lang w:eastAsia="lt-LT"/>
                  </w:rPr>
                  <w:t>1.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14:paraId="659DE882" w14:textId="77777777">
                <w:pPr>
                  <w:jc w:val="both"/>
                  <w:rPr>
                    <w:b/>
                    <w:sz w:val="20"/>
                    <w:lang w:eastAsia="lt-LT"/>
                  </w:rPr>
                </w:pPr>
                <w:r>
                  <w:rPr>
                    <w:b/>
                    <w:sz w:val="20"/>
                    <w:lang w:eastAsia="lt-LT"/>
                  </w:rPr>
                  <w:t>2. Darbo santykiams pasibaigus, jei darbdavys ne dėl darbuotojo kaltės uždelsė atsiskaityti su juo (šio kodekso 146 straipsnio 2 dalis), darbdavys privalo mokėti netesybas, kurių dydis – darbuotojo vidutinis darbo užmokestis per mėnesį, padaugintas iš uždelstų mėnesių skaičiaus. Jeigu uždelsta suma yra mažesnė negu darbuotojo vieno mėnesio vidutinis darbo užmokestis, netesybų dydį sudaro darbdavio uždelsta suma, padauginta iš uždelstų mėnesių skaičiaus. Jeigu uždelsto atsiskaitymo laikotarpis yra trumpesnis negu vienas mėnuo, netesybų dydį sudaro darbuotojo vidutinio darbo užmokesčio suma, apskaičiuota proporcingai uždelsto atsiskaitymo laikotarpiui.</w:t>
                </w:r>
              </w:p>
              <w:p w14:paraId="0D39DA99" w14:textId="75EDB9D6">
                <w:pPr>
                  <w:jc w:val="both"/>
                  <w:rPr>
                    <w:b/>
                    <w:sz w:val="20"/>
                    <w:lang w:eastAsia="lt-LT"/>
                  </w:rPr>
                </w:pPr>
                <w:r>
                  <w:rPr>
                    <w:b/>
                    <w:sz w:val="20"/>
                    <w:lang w:eastAsia="lt-LT"/>
                  </w:rPr>
                  <w:t>3. Jei darbdavys netinkamai vykdė pareigą už tokį patį ar vienodos vertės darbą mokėti vienodą darbo užmokestį, darbo santykiams tęsiantis mutatis mutandis taikomos šio straipsnio 1 dalies nuostatos, o darbo santykiams pasibaigus – šio straipsnio 2 dalies nuostatos.“</w:t>
                </w:r>
              </w:p>
            </w:tc>
            <w:tc>
              <w:tcPr>
                <w:tcW w:w="1572" w:type="dxa"/>
                <w:shd w:val="clear" w:color="auto" w:fill="FFFFFF" w:themeFill="background1"/>
              </w:tcPr>
              <w:p w14:paraId="74366F37" w14:textId="77777777">
                <w:pPr>
                  <w:jc w:val="both"/>
                  <w:rPr>
                    <w:color w:val="000000"/>
                    <w:sz w:val="20"/>
                  </w:rPr>
                </w:pPr>
                <w:r>
                  <w:rPr>
                    <w:color w:val="000000"/>
                    <w:sz w:val="20"/>
                  </w:rPr>
                  <w:t>Visiškas</w:t>
                </w:r>
              </w:p>
              <w:p w14:paraId="4E49544A" w14:textId="65BF3A8F">
                <w:pPr>
                  <w:ind w:firstLine="53"/>
                  <w:jc w:val="both"/>
                  <w:rPr>
                    <w:color w:val="000000"/>
                    <w:sz w:val="20"/>
                    <w:highlight w:val="yellow"/>
                  </w:rPr>
                </w:pPr>
              </w:p>
              <w:p w14:paraId="7F83E975" w14:textId="0B41ECDB">
                <w:pPr>
                  <w:jc w:val="both"/>
                  <w:rPr>
                    <w:color w:val="000000"/>
                    <w:sz w:val="20"/>
                  </w:rPr>
                </w:pPr>
              </w:p>
            </w:tc>
          </w:tr>
          <w:tr w14:paraId="518FC9CC" w14:textId="77777777">
            <w:tc>
              <w:tcPr>
                <w:tcW w:w="8391" w:type="dxa"/>
                <w:shd w:val="clear" w:color="auto" w:fill="FFFFFF" w:themeFill="background1"/>
              </w:tcPr>
              <w:p w14:paraId="526E2B6A" w14:textId="77FD33EC">
                <w:pPr>
                  <w:jc w:val="both"/>
                  <w:rPr>
                    <w:bCs/>
                    <w:sz w:val="20"/>
                  </w:rPr>
                </w:pPr>
                <w:r>
                  <w:rPr>
                    <w:bCs/>
                    <w:sz w:val="20"/>
                  </w:rPr>
                  <w:t>3.   Kompensacija arba žalos atlyginimas užtikrina žalą patyrusiam darbuotojui tokią padėtį, kurioje jis būtų, jei nebūtų buvęs diskriminuojamas dėl lyties arba nebūtų buvusios pažeistos bet kokios teisės ar pareigos, susijusios su vienodo darbo užmokesčio principu. Valstybės narės užtikrina, kad kompensacija arba žalos atlyginimas apimtų visišką nesumokėto darbo užmokesčio ir susijusių premijų ar mokėjimų natūra atgavimą, kompensaciją už prarastas galimybes, neturtinę žalą, bet kokią žalą, sukeltą kitų svarbių veiksnių, kurie gali apimti daugialypę diskriminaciją, taip pat delspinigius.</w:t>
                </w:r>
              </w:p>
            </w:tc>
            <w:tc>
              <w:tcPr>
                <w:tcW w:w="5347" w:type="dxa"/>
                <w:shd w:val="clear" w:color="auto" w:fill="FFFFFF" w:themeFill="background1"/>
              </w:tcPr>
              <w:p w14:paraId="6CCDF65D" w14:textId="77777777">
                <w:pPr>
                  <w:jc w:val="both"/>
                  <w:rPr>
                    <w:b/>
                    <w:sz w:val="20"/>
                  </w:rPr>
                </w:pPr>
                <w:r>
                  <w:rPr>
                    <w:b/>
                    <w:sz w:val="20"/>
                  </w:rPr>
                  <w:t>DK projektas</w:t>
                </w:r>
              </w:p>
              <w:p w14:paraId="3D5984E3" w14:textId="77777777">
                <w:pPr>
                  <w:jc w:val="both"/>
                  <w:rPr>
                    <w:b/>
                    <w:color w:val="000000"/>
                    <w:sz w:val="20"/>
                    <w:lang w:eastAsia="lt-LT"/>
                  </w:rPr>
                </w:pPr>
                <w:r>
                  <w:rPr>
                    <w:b/>
                    <w:color w:val="000000"/>
                    <w:sz w:val="20"/>
                    <w:lang w:eastAsia="lt-LT"/>
                  </w:rPr>
                  <w:t>19 straipsnis. 219 straipsnio pakeitimas</w:t>
                </w:r>
              </w:p>
              <w:p w14:paraId="2E4BD800" w14:textId="77777777">
                <w:pPr>
                  <w:jc w:val="both"/>
                  <w:rPr>
                    <w:b/>
                    <w:color w:val="000000"/>
                    <w:sz w:val="20"/>
                    <w:lang w:eastAsia="lt-LT"/>
                  </w:rPr>
                </w:pPr>
                <w:r>
                  <w:rPr>
                    <w:b/>
                    <w:color w:val="000000"/>
                    <w:sz w:val="20"/>
                    <w:lang w:eastAsia="lt-LT"/>
                  </w:rPr>
                  <w:t>Pakeisti 219 straipsnį ir jį išdėstyti taip:</w:t>
                </w:r>
              </w:p>
              <w:p w14:paraId="2EAA422E" w14:textId="77777777">
                <w:pPr>
                  <w:jc w:val="both"/>
                  <w:rPr>
                    <w:b/>
                    <w:color w:val="000000"/>
                    <w:sz w:val="20"/>
                    <w:lang w:eastAsia="lt-LT"/>
                  </w:rPr>
                </w:pPr>
                <w:r>
                  <w:rPr>
                    <w:b/>
                    <w:color w:val="000000"/>
                    <w:sz w:val="20"/>
                    <w:lang w:eastAsia="lt-LT"/>
                  </w:rPr>
                  <w:t>„219 straipsnis. Sprendimai bylose dėl darbo užmokesčio ir kitų išmokų, susijusių su darbo santykiais</w:t>
                </w:r>
              </w:p>
              <w:p w14:paraId="54B9B1CE" w14:textId="569C124E">
                <w:pPr>
                  <w:jc w:val="both"/>
                  <w:rPr>
                    <w:b/>
                    <w:color w:val="000000"/>
                    <w:sz w:val="20"/>
                    <w:lang w:eastAsia="lt-LT"/>
                  </w:rPr>
                </w:pPr>
                <w:r>
                  <w:rPr>
                    <w:b/>
                    <w:color w:val="000000"/>
                    <w:sz w:val="20"/>
                    <w:lang w:eastAsia="lt-LT"/>
                  </w:rPr>
                  <w:t>&lt;...&gt;</w:t>
                </w:r>
              </w:p>
              <w:p w14:paraId="678474AC" w14:textId="51EE3B7E">
                <w:pPr>
                  <w:jc w:val="both"/>
                  <w:rPr>
                    <w:b/>
                    <w:color w:val="000000"/>
                    <w:sz w:val="20"/>
                  </w:rPr>
                </w:pPr>
                <w:r>
                  <w:rPr>
                    <w:b/>
                    <w:color w:val="000000"/>
                    <w:sz w:val="20"/>
                    <w:lang w:eastAsia="lt-LT"/>
                  </w:rPr>
                  <w:t>2. Jeigu darbo ginčą nagrinėjantis organas nustato, kad darbdavys pažeidė pareigą už tokį patį ar vienodos vertės darbą mokėti vienodą darbo užmokestį, darbuotojui priteisiama kompensacija. Ši kompensacija – visiškas nesumokėto darbo užmokesčio ar mokėjimų natūra atgavimas, taip pat kompensacija už prarastas galimybes, neturtinės žalos ar kitokios žalos, sukeltos kitų svarbių veiksnių, apimančių daugialypę diskriminaciją, atlyginimas.“</w:t>
                </w:r>
              </w:p>
            </w:tc>
            <w:tc>
              <w:tcPr>
                <w:tcW w:w="1572" w:type="dxa"/>
                <w:shd w:val="clear" w:color="auto" w:fill="FFFFFF" w:themeFill="background1"/>
              </w:tcPr>
              <w:p w14:paraId="56998B6E" w14:textId="1657591D">
                <w:pPr>
                  <w:jc w:val="both"/>
                  <w:rPr>
                    <w:color w:val="000000"/>
                    <w:sz w:val="20"/>
                  </w:rPr>
                </w:pPr>
                <w:r>
                  <w:rPr>
                    <w:color w:val="000000"/>
                    <w:sz w:val="20"/>
                  </w:rPr>
                  <w:t>Visiškas</w:t>
                </w:r>
              </w:p>
              <w:p w14:paraId="68BA85F4" w14:textId="77777777">
                <w:pPr>
                  <w:jc w:val="both"/>
                  <w:rPr>
                    <w:color w:val="000000"/>
                    <w:sz w:val="20"/>
                    <w:highlight w:val="yellow"/>
                  </w:rPr>
                </w:pPr>
              </w:p>
              <w:p w14:paraId="5F7CCB4A" w14:textId="45B3C400">
                <w:pPr>
                  <w:jc w:val="both"/>
                  <w:rPr>
                    <w:color w:val="000000"/>
                    <w:sz w:val="20"/>
                  </w:rPr>
                </w:pPr>
              </w:p>
            </w:tc>
          </w:tr>
          <w:tr w14:paraId="25C33B8F" w14:textId="77777777">
            <w:tc>
              <w:tcPr>
                <w:tcW w:w="8391" w:type="dxa"/>
                <w:shd w:val="clear" w:color="auto" w:fill="FFFFFF" w:themeFill="background1"/>
              </w:tcPr>
              <w:p w14:paraId="1BF68206" w14:textId="0BA8F874">
                <w:pPr>
                  <w:jc w:val="both"/>
                  <w:rPr>
                    <w:bCs/>
                    <w:sz w:val="20"/>
                  </w:rPr>
                </w:pPr>
                <w:r>
                  <w:rPr>
                    <w:bCs/>
                    <w:sz w:val="20"/>
                  </w:rPr>
                  <w:t>4.   Kompensacija arba žalos atlyginimas neturi būti ribojami iš anksto nustatant didžiausią viršutinę ribą.</w:t>
                </w:r>
              </w:p>
            </w:tc>
            <w:tc>
              <w:tcPr>
                <w:tcW w:w="5347" w:type="dxa"/>
                <w:shd w:val="clear" w:color="auto" w:fill="FFFFFF" w:themeFill="background1"/>
              </w:tcPr>
              <w:p w14:paraId="35C4A475" w14:textId="77777777">
                <w:pPr>
                  <w:jc w:val="both"/>
                  <w:rPr>
                    <w:b/>
                    <w:sz w:val="20"/>
                  </w:rPr>
                </w:pPr>
                <w:r>
                  <w:rPr>
                    <w:b/>
                    <w:sz w:val="20"/>
                  </w:rPr>
                  <w:t>DK projektas</w:t>
                </w:r>
              </w:p>
              <w:p w14:paraId="53E5E003" w14:textId="33AF0693">
                <w:pPr>
                  <w:jc w:val="both"/>
                  <w:rPr>
                    <w:b/>
                    <w:sz w:val="20"/>
                    <w:lang w:eastAsia="lt-LT"/>
                  </w:rPr>
                </w:pPr>
                <w:r>
                  <w:rPr>
                    <w:b/>
                    <w:sz w:val="20"/>
                    <w:lang w:eastAsia="lt-LT"/>
                  </w:rPr>
                  <w:t>15 straipsnio. 147 straipsnio pakeitimas</w:t>
                </w:r>
              </w:p>
              <w:p w14:paraId="34CFC62E" w14:textId="77777777">
                <w:pPr>
                  <w:jc w:val="both"/>
                  <w:rPr>
                    <w:b/>
                    <w:sz w:val="20"/>
                    <w:lang w:eastAsia="lt-LT"/>
                  </w:rPr>
                </w:pPr>
                <w:r>
                  <w:rPr>
                    <w:b/>
                    <w:sz w:val="20"/>
                    <w:lang w:eastAsia="lt-LT"/>
                  </w:rPr>
                  <w:t>Pakeisti 147 straipsnį ir jį išdėstyti taip:</w:t>
                </w:r>
              </w:p>
              <w:p w14:paraId="66C042ED" w14:textId="77777777">
                <w:pPr>
                  <w:jc w:val="both"/>
                  <w:rPr>
                    <w:b/>
                    <w:sz w:val="20"/>
                    <w:lang w:eastAsia="lt-LT"/>
                  </w:rPr>
                </w:pPr>
                <w:r>
                  <w:rPr>
                    <w:b/>
                    <w:sz w:val="20"/>
                    <w:lang w:eastAsia="lt-LT"/>
                  </w:rPr>
                  <w:t>„147 straipsnis. Pavėluotas ar netinkamas darbo užmokesčio ir kitų su darbo santykiais susijusių išmokų mokėjimas</w:t>
                </w:r>
              </w:p>
              <w:p w14:paraId="1A67EE8B" w14:textId="77777777">
                <w:pPr>
                  <w:jc w:val="both"/>
                  <w:rPr>
                    <w:b/>
                    <w:sz w:val="20"/>
                    <w:lang w:eastAsia="lt-LT"/>
                  </w:rPr>
                </w:pPr>
                <w:r>
                  <w:rPr>
                    <w:b/>
                    <w:sz w:val="20"/>
                    <w:lang w:eastAsia="lt-LT"/>
                  </w:rPr>
                  <w:t>1.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14:paraId="20371414" w14:textId="77777777">
                <w:pPr>
                  <w:jc w:val="both"/>
                  <w:rPr>
                    <w:b/>
                    <w:sz w:val="20"/>
                    <w:lang w:eastAsia="lt-LT"/>
                  </w:rPr>
                </w:pPr>
                <w:r>
                  <w:rPr>
                    <w:b/>
                    <w:sz w:val="20"/>
                    <w:lang w:eastAsia="lt-LT"/>
                  </w:rPr>
                  <w:t>2. Darbo santykiams pasibaigus, jei darbdavys ne dėl darbuotojo kaltės uždelsė atsiskaityti su juo (šio kodekso 146 straipsnio 2 dalis), darbdavys privalo mokėti netesybas, kurių dydis – darbuotojo vidutinis darbo užmokestis per mėnesį, padaugintas iš uždelstų mėnesių skaičiaus. Jeigu uždelsta suma yra mažesnė negu darbuotojo vieno mėnesio vidutinis darbo užmokestis, netesybų dydį sudaro darbdavio uždelsta suma, padauginta iš uždelstų mėnesių skaičiaus. Jeigu uždelsto atsiskaitymo laikotarpis yra trumpesnis negu vienas mėnuo, netesybų dydį sudaro darbuotojo vidutinio darbo užmokesčio suma, apskaičiuota proporcingai uždelsto atsiskaitymo laikotarpiui.</w:t>
                </w:r>
              </w:p>
              <w:p w14:paraId="5AE6EB1B" w14:textId="7C0A04F9">
                <w:pPr>
                  <w:jc w:val="both"/>
                  <w:rPr>
                    <w:b/>
                    <w:color w:val="000000"/>
                    <w:sz w:val="20"/>
                  </w:rPr>
                </w:pPr>
                <w:r>
                  <w:rPr>
                    <w:b/>
                    <w:color w:val="000000"/>
                    <w:sz w:val="20"/>
                    <w:lang w:eastAsia="lt-LT"/>
                  </w:rPr>
                  <w:t>3. Jei darbdavys netinkamai vykdė pareigą už tokį patį ar vienodos vertės darbą mokėti vienodą darbo užmokestį, darbo santykiams tęsiantis mutatis mutandis taikomos šio straipsnio 1 dalies nuostatos, o darbo santykiams pasibaigus – šio straipsnio 2 dalies nuostatos.“</w:t>
                </w:r>
              </w:p>
            </w:tc>
            <w:tc>
              <w:tcPr>
                <w:tcW w:w="1572" w:type="dxa"/>
                <w:shd w:val="clear" w:color="auto" w:fill="FFFFFF" w:themeFill="background1"/>
              </w:tcPr>
              <w:p w14:paraId="50571A42" w14:textId="77777777">
                <w:pPr>
                  <w:jc w:val="both"/>
                  <w:rPr>
                    <w:color w:val="000000"/>
                    <w:sz w:val="20"/>
                  </w:rPr>
                </w:pPr>
                <w:r>
                  <w:rPr>
                    <w:color w:val="000000"/>
                    <w:sz w:val="20"/>
                  </w:rPr>
                  <w:t>Visiškas</w:t>
                </w:r>
              </w:p>
              <w:p w14:paraId="67D65D39" w14:textId="2B7810C4">
                <w:pPr>
                  <w:jc w:val="both"/>
                  <w:rPr>
                    <w:color w:val="000000"/>
                    <w:sz w:val="20"/>
                  </w:rPr>
                </w:pPr>
              </w:p>
            </w:tc>
          </w:tr>
          <w:tr w14:paraId="7D4F8E60" w14:textId="77777777">
            <w:tc>
              <w:tcPr>
                <w:tcW w:w="15310" w:type="dxa"/>
                <w:gridSpan w:val="3"/>
                <w:shd w:val="clear" w:color="auto" w:fill="D6E3BC" w:themeFill="accent3" w:themeFillTint="66"/>
              </w:tcPr>
              <w:p w14:paraId="10C554B6" w14:textId="2B1AF887">
                <w:pPr>
                  <w:jc w:val="both"/>
                  <w:rPr>
                    <w:color w:val="000000"/>
                    <w:sz w:val="20"/>
                  </w:rPr>
                </w:pPr>
                <w:r>
                  <w:rPr>
                    <w:b/>
                    <w:bCs/>
                    <w:color w:val="000000"/>
                    <w:sz w:val="20"/>
                  </w:rPr>
                  <w:t>17 straipsnis.</w:t>
                </w:r>
                <w:r>
                  <w:rPr>
                    <w:color w:val="000000"/>
                    <w:sz w:val="20"/>
                  </w:rPr>
                  <w:t xml:space="preserve"> </w:t>
                </w:r>
                <w:r>
                  <w:rPr>
                    <w:b/>
                    <w:bCs/>
                    <w:color w:val="000000"/>
                    <w:sz w:val="20"/>
                  </w:rPr>
                  <w:t>Kitos teisių gynimo priemonės</w:t>
                </w:r>
              </w:p>
            </w:tc>
          </w:tr>
          <w:tr w14:paraId="363002E6" w14:textId="77777777">
            <w:tc>
              <w:tcPr>
                <w:tcW w:w="8391" w:type="dxa"/>
                <w:shd w:val="clear" w:color="auto" w:fill="FFFFFF" w:themeFill="background1"/>
              </w:tcPr>
              <w:p w14:paraId="539D4022" w14:textId="0BCDBBCD">
                <w:pPr>
                  <w:jc w:val="both"/>
                  <w:rPr>
                    <w:bCs/>
                    <w:sz w:val="20"/>
                  </w:rPr>
                </w:pPr>
                <w:r>
                  <w:rPr>
                    <w:bCs/>
                    <w:sz w:val="20"/>
                  </w:rPr>
                  <w:t>1.   Valstybės narės užtikrina, kad teisių ar pareigų, susijusių su vienodo darbo užmokesčio principu, pažeidimo atveju kompetentingos institucijos ar nacionaliniai teismai, laikydamiesi nacionalinės teisės, ieškovo prašymu ir atsakovo sąskaita galėtų priimti:</w:t>
                </w:r>
              </w:p>
            </w:tc>
            <w:tc>
              <w:tcPr>
                <w:tcW w:w="5347" w:type="dxa"/>
                <w:shd w:val="clear" w:color="auto" w:fill="FFFFFF" w:themeFill="background1"/>
              </w:tcPr>
              <w:p w14:paraId="0B6FA48F" w14:textId="05909483">
                <w:pPr>
                  <w:jc w:val="both"/>
                  <w:rPr>
                    <w:b/>
                    <w:bCs/>
                    <w:sz w:val="20"/>
                    <w:lang w:eastAsia="lt-LT"/>
                  </w:rPr>
                </w:pPr>
                <w:r>
                  <w:rPr>
                    <w:b/>
                    <w:bCs/>
                    <w:sz w:val="20"/>
                    <w:lang w:eastAsia="lt-LT"/>
                  </w:rPr>
                  <w:t>DK</w:t>
                </w:r>
              </w:p>
              <w:p w14:paraId="1F8C0A20" w14:textId="77777777">
                <w:pPr>
                  <w:rPr>
                    <w:b/>
                    <w:color w:val="000000"/>
                    <w:sz w:val="20"/>
                  </w:rPr>
                </w:pPr>
                <w:r>
                  <w:rPr>
                    <w:b/>
                    <w:bCs/>
                    <w:color w:val="000000"/>
                    <w:sz w:val="20"/>
                  </w:rPr>
                  <w:t>217 straipsnis. Darbo ginčus dėl teisės nagrinėjančių organų kompetencija</w:t>
                </w:r>
              </w:p>
              <w:p w14:paraId="52B23B68" w14:textId="583D6A49">
                <w:pPr>
                  <w:rPr>
                    <w:bCs/>
                    <w:color w:val="000000"/>
                    <w:sz w:val="20"/>
                  </w:rPr>
                </w:pPr>
                <w:r>
                  <w:rPr>
                    <w:bCs/>
                    <w:color w:val="000000"/>
                    <w:sz w:val="20"/>
                  </w:rPr>
                  <w:t>1. Nagrinėdamas darbo ginčus dėl teisės, darbo ginčą nagrinėjantis organas turi teisę:</w:t>
                </w:r>
              </w:p>
            </w:tc>
            <w:tc>
              <w:tcPr>
                <w:tcW w:w="1572" w:type="dxa"/>
                <w:shd w:val="clear" w:color="auto" w:fill="FFFFFF" w:themeFill="background1"/>
              </w:tcPr>
              <w:p w14:paraId="1A9DE391" w14:textId="6215A3C9">
                <w:pPr>
                  <w:jc w:val="both"/>
                  <w:rPr>
                    <w:color w:val="000000"/>
                    <w:sz w:val="20"/>
                  </w:rPr>
                </w:pPr>
                <w:r>
                  <w:rPr>
                    <w:color w:val="000000"/>
                    <w:sz w:val="20"/>
                  </w:rPr>
                  <w:t>Visiškas</w:t>
                </w:r>
              </w:p>
            </w:tc>
          </w:tr>
          <w:tr w14:paraId="71D081F5" w14:textId="77777777">
            <w:tc>
              <w:tcPr>
                <w:tcW w:w="8391" w:type="dxa"/>
                <w:shd w:val="clear" w:color="auto" w:fill="FFFFFF" w:themeFill="background1"/>
              </w:tcPr>
              <w:p w14:paraId="6E977135" w14:textId="0FF92086">
                <w:pPr>
                  <w:jc w:val="both"/>
                  <w:rPr>
                    <w:bCs/>
                    <w:sz w:val="20"/>
                  </w:rPr>
                </w:pPr>
                <w:r>
                  <w:rPr>
                    <w:bCs/>
                    <w:sz w:val="20"/>
                  </w:rPr>
                  <w:t>a) nutartį nutraukti pažeidimą;</w:t>
                </w:r>
              </w:p>
            </w:tc>
            <w:tc>
              <w:tcPr>
                <w:tcW w:w="5347" w:type="dxa"/>
                <w:shd w:val="clear" w:color="auto" w:fill="FFFFFF" w:themeFill="background1"/>
              </w:tcPr>
              <w:p w14:paraId="3126AC3B" w14:textId="3E3E87F7">
                <w:pPr>
                  <w:rPr>
                    <w:b/>
                    <w:bCs/>
                    <w:color w:val="000000"/>
                    <w:sz w:val="20"/>
                  </w:rPr>
                </w:pPr>
                <w:r>
                  <w:rPr>
                    <w:b/>
                    <w:bCs/>
                    <w:color w:val="000000"/>
                    <w:sz w:val="20"/>
                  </w:rPr>
                  <w:t>DK</w:t>
                </w:r>
              </w:p>
              <w:p w14:paraId="642F1D4E" w14:textId="472352A7">
                <w:pPr>
                  <w:rPr>
                    <w:b/>
                    <w:color w:val="000000"/>
                    <w:sz w:val="20"/>
                  </w:rPr>
                </w:pPr>
                <w:r>
                  <w:rPr>
                    <w:b/>
                    <w:bCs/>
                    <w:color w:val="000000"/>
                    <w:sz w:val="20"/>
                  </w:rPr>
                  <w:t>217 straipsnis. Darbo ginčus dėl teisės nagrinėjančių organų kompetencija</w:t>
                </w:r>
              </w:p>
              <w:p w14:paraId="7E841678" w14:textId="0B597F96">
                <w:pPr>
                  <w:rPr>
                    <w:bCs/>
                    <w:color w:val="000000"/>
                    <w:sz w:val="20"/>
                  </w:rPr>
                </w:pPr>
                <w:r>
                  <w:rPr>
                    <w:bCs/>
                    <w:color w:val="000000"/>
                    <w:sz w:val="20"/>
                  </w:rPr>
                  <w:t>&lt;...&gt;</w:t>
                </w:r>
              </w:p>
              <w:p w14:paraId="2C5EF155" w14:textId="77777777">
                <w:pPr>
                  <w:rPr>
                    <w:bCs/>
                    <w:color w:val="000000"/>
                    <w:sz w:val="20"/>
                  </w:rPr>
                </w:pPr>
                <w:r>
                  <w:rPr>
                    <w:bCs/>
                    <w:color w:val="000000"/>
                    <w:sz w:val="20"/>
                  </w:rPr>
                  <w:t>1) įpareigoti kitą šalį atkurti dėl darbo teisės normų ar abipusių susitarimų nevykdymo ar netinkamo vykdymo pažeistas teises;</w:t>
                </w:r>
              </w:p>
              <w:p w14:paraId="515D078B" w14:textId="150C28F2">
                <w:pPr>
                  <w:rPr>
                    <w:bCs/>
                    <w:color w:val="000000"/>
                    <w:sz w:val="20"/>
                  </w:rPr>
                </w:pPr>
                <w:r>
                  <w:rPr>
                    <w:bCs/>
                    <w:color w:val="000000"/>
                    <w:sz w:val="20"/>
                  </w:rPr>
                  <w:t>&lt;...&gt;</w:t>
                </w:r>
              </w:p>
              <w:p w14:paraId="42DEFB62" w14:textId="2746D563">
                <w:pPr>
                  <w:rPr>
                    <w:bCs/>
                    <w:color w:val="000000"/>
                    <w:sz w:val="20"/>
                  </w:rPr>
                </w:pPr>
                <w:r>
                  <w:rPr>
                    <w:bCs/>
                    <w:color w:val="000000"/>
                    <w:sz w:val="20"/>
                  </w:rPr>
                  <w:t>3) nutraukti arba pakeisti teisinius santykius;</w:t>
                </w:r>
              </w:p>
            </w:tc>
            <w:tc>
              <w:tcPr>
                <w:tcW w:w="1572" w:type="dxa"/>
                <w:shd w:val="clear" w:color="auto" w:fill="FFFFFF" w:themeFill="background1"/>
              </w:tcPr>
              <w:p w14:paraId="7F5EC5A0" w14:textId="235B8A69">
                <w:pPr>
                  <w:jc w:val="both"/>
                  <w:rPr>
                    <w:color w:val="000000"/>
                    <w:sz w:val="20"/>
                  </w:rPr>
                </w:pPr>
                <w:r>
                  <w:rPr>
                    <w:color w:val="000000"/>
                    <w:sz w:val="20"/>
                  </w:rPr>
                  <w:t>Visiškas</w:t>
                </w:r>
              </w:p>
            </w:tc>
          </w:tr>
          <w:tr w14:paraId="13241F43" w14:textId="77777777">
            <w:tc>
              <w:tcPr>
                <w:tcW w:w="8391" w:type="dxa"/>
                <w:shd w:val="clear" w:color="auto" w:fill="FFFFFF" w:themeFill="background1"/>
              </w:tcPr>
              <w:p w14:paraId="3F81D276" w14:textId="509551C5">
                <w:pPr>
                  <w:jc w:val="both"/>
                  <w:rPr>
                    <w:bCs/>
                    <w:sz w:val="20"/>
                  </w:rPr>
                </w:pPr>
                <w:r>
                  <w:rPr>
                    <w:bCs/>
                    <w:sz w:val="20"/>
                  </w:rPr>
                  <w:t>b) nutartį imtis priemonių, kuriomis būtų užtikrinta, kad būtų taikomos su vienodo darbo užmokesčio principu susijusios teisės ar pareigos.</w:t>
                </w:r>
              </w:p>
            </w:tc>
            <w:tc>
              <w:tcPr>
                <w:tcW w:w="5347" w:type="dxa"/>
                <w:shd w:val="clear" w:color="auto" w:fill="FFFFFF" w:themeFill="background1"/>
              </w:tcPr>
              <w:p w14:paraId="0775DAD6" w14:textId="0A544756">
                <w:pPr>
                  <w:rPr>
                    <w:b/>
                    <w:bCs/>
                    <w:color w:val="000000"/>
                    <w:sz w:val="20"/>
                  </w:rPr>
                </w:pPr>
                <w:r>
                  <w:rPr>
                    <w:b/>
                    <w:bCs/>
                    <w:color w:val="000000"/>
                    <w:sz w:val="20"/>
                  </w:rPr>
                  <w:t>DK</w:t>
                </w:r>
              </w:p>
              <w:p w14:paraId="4F58E83B" w14:textId="77777777">
                <w:pPr>
                  <w:rPr>
                    <w:b/>
                    <w:color w:val="000000"/>
                    <w:sz w:val="20"/>
                  </w:rPr>
                </w:pPr>
                <w:r>
                  <w:rPr>
                    <w:b/>
                    <w:bCs/>
                    <w:color w:val="000000"/>
                    <w:sz w:val="20"/>
                  </w:rPr>
                  <w:t>217 straipsnis. Darbo ginčus dėl teisės nagrinėjančių organų kompetencija</w:t>
                </w:r>
              </w:p>
              <w:p w14:paraId="59E1C720" w14:textId="3D088BF0">
                <w:pPr>
                  <w:rPr>
                    <w:bCs/>
                    <w:color w:val="000000"/>
                    <w:sz w:val="20"/>
                  </w:rPr>
                </w:pPr>
                <w:r>
                  <w:rPr>
                    <w:bCs/>
                    <w:color w:val="000000"/>
                    <w:sz w:val="20"/>
                  </w:rPr>
                  <w:t>&lt;...&gt;</w:t>
                </w:r>
              </w:p>
              <w:p w14:paraId="3307CCFA" w14:textId="1B0CECB6">
                <w:pPr>
                  <w:rPr>
                    <w:bCs/>
                    <w:color w:val="000000"/>
                    <w:sz w:val="20"/>
                  </w:rPr>
                </w:pPr>
                <w:r>
                  <w:rPr>
                    <w:bCs/>
                    <w:color w:val="000000"/>
                    <w:sz w:val="20"/>
                  </w:rPr>
                  <w:t>1) įpareigoti kitą šalį atkurti dėl darbo teisės normų ar abipusių susitarimų nevykdymo ar netinkamo vykdymo pažeistas teises;</w:t>
                </w:r>
              </w:p>
              <w:p w14:paraId="7273C84A" w14:textId="3CAB84A8">
                <w:pPr>
                  <w:rPr>
                    <w:bCs/>
                    <w:color w:val="000000"/>
                    <w:sz w:val="20"/>
                  </w:rPr>
                </w:pPr>
                <w:r>
                  <w:rPr>
                    <w:bCs/>
                    <w:color w:val="000000"/>
                    <w:sz w:val="20"/>
                  </w:rPr>
                  <w:t>2) priteisti padarytą turtinę ar neturtinę žalą, o darbo teisės normų ar susitarimų nustatytais atvejais – ir baudas ar delspinigius;</w:t>
                </w:r>
              </w:p>
            </w:tc>
            <w:tc>
              <w:tcPr>
                <w:tcW w:w="1572" w:type="dxa"/>
                <w:shd w:val="clear" w:color="auto" w:fill="FFFFFF" w:themeFill="background1"/>
              </w:tcPr>
              <w:p w14:paraId="5ED7AD67" w14:textId="12E8AB51">
                <w:pPr>
                  <w:jc w:val="both"/>
                  <w:rPr>
                    <w:color w:val="000000"/>
                    <w:sz w:val="20"/>
                  </w:rPr>
                </w:pPr>
                <w:r>
                  <w:rPr>
                    <w:color w:val="000000"/>
                    <w:sz w:val="20"/>
                  </w:rPr>
                  <w:t>Visiškas</w:t>
                </w:r>
              </w:p>
            </w:tc>
          </w:tr>
          <w:tr w14:paraId="2B8A4756" w14:textId="77777777">
            <w:tc>
              <w:tcPr>
                <w:tcW w:w="8391" w:type="dxa"/>
                <w:shd w:val="clear" w:color="auto" w:fill="FFFFFF" w:themeFill="background1"/>
              </w:tcPr>
              <w:p w14:paraId="7DF8A576" w14:textId="490E63D6">
                <w:pPr>
                  <w:jc w:val="both"/>
                  <w:rPr>
                    <w:bCs/>
                    <w:sz w:val="20"/>
                  </w:rPr>
                </w:pPr>
                <w:r>
                  <w:rPr>
                    <w:bCs/>
                    <w:sz w:val="20"/>
                  </w:rPr>
                  <w:t>2.   Jei atsakovas nesilaiko pagal 1 dalį priimtos nutarties, valstybės narės užtikrina, kad jų kompetentingos institucijos ar nacionaliniai teismai galėtų, kai tinkama, priimti nutartį dėl nevienkartinės baudos, kad būtų užtikrintas laikymasis.</w:t>
                </w:r>
              </w:p>
            </w:tc>
            <w:tc>
              <w:tcPr>
                <w:tcW w:w="5347" w:type="dxa"/>
                <w:shd w:val="clear" w:color="auto" w:fill="FFFFFF" w:themeFill="background1"/>
              </w:tcPr>
              <w:p w14:paraId="2C05D25A" w14:textId="4F26D065">
                <w:pPr>
                  <w:jc w:val="both"/>
                  <w:rPr>
                    <w:b/>
                    <w:color w:val="000000"/>
                    <w:sz w:val="20"/>
                  </w:rPr>
                </w:pPr>
                <w:r>
                  <w:rPr>
                    <w:b/>
                    <w:color w:val="000000"/>
                    <w:sz w:val="20"/>
                  </w:rPr>
                  <w:t>DK</w:t>
                </w:r>
              </w:p>
              <w:p w14:paraId="1EFC9B3F" w14:textId="77777777">
                <w:pPr>
                  <w:jc w:val="both"/>
                  <w:rPr>
                    <w:b/>
                    <w:color w:val="000000"/>
                    <w:sz w:val="20"/>
                  </w:rPr>
                </w:pPr>
                <w:r>
                  <w:rPr>
                    <w:b/>
                    <w:bCs/>
                    <w:color w:val="000000"/>
                    <w:sz w:val="20"/>
                  </w:rPr>
                  <w:t>232 straipsnis. Darbo ginčų komisijų ir teismų sprendimų darbo bylose neįvykdymo pasekmės</w:t>
                </w:r>
              </w:p>
              <w:p w14:paraId="5BDC8C3D" w14:textId="77777777">
                <w:pPr>
                  <w:jc w:val="both"/>
                  <w:rPr>
                    <w:bCs/>
                    <w:color w:val="000000"/>
                    <w:sz w:val="20"/>
                  </w:rPr>
                </w:pPr>
                <w:r>
                  <w:rPr>
                    <w:bCs/>
                    <w:color w:val="000000"/>
                    <w:sz w:val="20"/>
                  </w:rPr>
                  <w:t>1.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w:t>
                </w:r>
              </w:p>
              <w:p w14:paraId="36FCDD86" w14:textId="77777777">
                <w:pPr>
                  <w:jc w:val="both"/>
                  <w:rPr>
                    <w:bCs/>
                    <w:color w:val="000000"/>
                    <w:sz w:val="20"/>
                  </w:rPr>
                </w:pPr>
                <w:r>
                  <w:rPr>
                    <w:bCs/>
                    <w:color w:val="000000"/>
                    <w:sz w:val="20"/>
                  </w:rPr>
                  <w:t>2. Darbo ginčų komisijos sprendimas skirti baudą yra vykdomasis dokumentas, vykdomas Lietuvos Respublikos civilinio proceso kodekso nustatyta tvarka.</w:t>
                </w:r>
              </w:p>
              <w:p w14:paraId="46F09FD8" w14:textId="4D723FA2">
                <w:pPr>
                  <w:jc w:val="both"/>
                  <w:rPr>
                    <w:b/>
                    <w:color w:val="000000"/>
                    <w:sz w:val="20"/>
                  </w:rPr>
                </w:pPr>
                <w:r>
                  <w:rPr>
                    <w:bCs/>
                    <w:color w:val="000000"/>
                    <w:sz w:val="20"/>
                  </w:rPr>
                  <w:t>3. Darbo ginčų komisijos sprendimas dėl baudos dydžio ir pagrįstumo gali būti skundžiamas teismui įstatymų nustatyta tvarka.</w:t>
                </w:r>
              </w:p>
            </w:tc>
            <w:tc>
              <w:tcPr>
                <w:tcW w:w="1572" w:type="dxa"/>
                <w:shd w:val="clear" w:color="auto" w:fill="FFFFFF" w:themeFill="background1"/>
              </w:tcPr>
              <w:p w14:paraId="1831049A" w14:textId="28E67855">
                <w:pPr>
                  <w:jc w:val="both"/>
                  <w:rPr>
                    <w:color w:val="000000"/>
                    <w:sz w:val="20"/>
                  </w:rPr>
                </w:pPr>
                <w:r>
                  <w:rPr>
                    <w:color w:val="000000"/>
                    <w:sz w:val="20"/>
                  </w:rPr>
                  <w:t>Visiškas</w:t>
                </w:r>
              </w:p>
            </w:tc>
          </w:tr>
          <w:tr w14:paraId="5C3E43B4" w14:textId="77777777">
            <w:tc>
              <w:tcPr>
                <w:tcW w:w="15310" w:type="dxa"/>
                <w:gridSpan w:val="3"/>
                <w:shd w:val="clear" w:color="auto" w:fill="D6E3BC" w:themeFill="accent3" w:themeFillTint="66"/>
              </w:tcPr>
              <w:p w14:paraId="0D3242ED" w14:textId="5A6C513F">
                <w:pPr>
                  <w:jc w:val="both"/>
                  <w:rPr>
                    <w:color w:val="000000"/>
                    <w:sz w:val="20"/>
                  </w:rPr>
                </w:pPr>
                <w:r>
                  <w:rPr>
                    <w:b/>
                    <w:bCs/>
                    <w:color w:val="000000"/>
                    <w:sz w:val="20"/>
                  </w:rPr>
                  <w:t>18 straipsnis.</w:t>
                </w:r>
                <w:r>
                  <w:rPr>
                    <w:color w:val="000000"/>
                    <w:sz w:val="20"/>
                  </w:rPr>
                  <w:t xml:space="preserve"> </w:t>
                </w:r>
                <w:r>
                  <w:rPr>
                    <w:b/>
                    <w:bCs/>
                    <w:color w:val="000000"/>
                    <w:sz w:val="20"/>
                  </w:rPr>
                  <w:t>Įrodinėjimo pareigos perkėlimas</w:t>
                </w:r>
              </w:p>
            </w:tc>
          </w:tr>
          <w:tr w14:paraId="65A812DA" w14:textId="77777777">
            <w:tc>
              <w:tcPr>
                <w:tcW w:w="8391" w:type="dxa"/>
                <w:shd w:val="clear" w:color="auto" w:fill="FFFFFF" w:themeFill="background1"/>
              </w:tcPr>
              <w:p w14:paraId="7CF88401" w14:textId="47A76255">
                <w:pPr>
                  <w:jc w:val="both"/>
                  <w:rPr>
                    <w:bCs/>
                    <w:sz w:val="20"/>
                  </w:rPr>
                </w:pPr>
                <w:r>
                  <w:rPr>
                    <w:bCs/>
                    <w:sz w:val="20"/>
                  </w:rPr>
                  <w:t>1.   Valstybės narės, atsižvelgdamos į savo nacionalines teismų sistemas, imasi tinkamų priemonių užtikrinti, kad tais atvejais, kai darbuotojai, laikantys save nukentėjusiais dėl to, kad jiems nebuvo taikomas vienodo darbo užmokesčio principas, kompetentingai institucijai ar nacionaliniam teismui nurodo faktines aplinkybes, leidžiančias daryti prielaidą, kad buvo tiesiogiai arba netiesiogiai diskriminuojama, pareiga įrodinėti, kad tiesioginės arba netiesioginės diskriminacijos darbo užmokesčio srityje nebuvo, tektų atsakovui.</w:t>
                </w:r>
              </w:p>
            </w:tc>
            <w:tc>
              <w:tcPr>
                <w:tcW w:w="5347" w:type="dxa"/>
                <w:shd w:val="clear" w:color="auto" w:fill="FFFFFF" w:themeFill="background1"/>
              </w:tcPr>
              <w:p w14:paraId="74699164" w14:textId="0291FB1D">
                <w:pPr>
                  <w:jc w:val="both"/>
                  <w:rPr>
                    <w:b/>
                    <w:color w:val="000000"/>
                    <w:sz w:val="20"/>
                  </w:rPr>
                </w:pPr>
                <w:r>
                  <w:rPr>
                    <w:b/>
                    <w:color w:val="000000"/>
                    <w:sz w:val="20"/>
                  </w:rPr>
                  <w:t>DK</w:t>
                </w:r>
              </w:p>
              <w:p w14:paraId="71FA12EE" w14:textId="77777777">
                <w:pPr>
                  <w:jc w:val="both"/>
                  <w:rPr>
                    <w:b/>
                    <w:bCs/>
                    <w:color w:val="000000"/>
                    <w:sz w:val="20"/>
                  </w:rPr>
                </w:pPr>
                <w:r>
                  <w:rPr>
                    <w:b/>
                    <w:bCs/>
                    <w:color w:val="000000"/>
                    <w:sz w:val="20"/>
                  </w:rPr>
                  <w:t>26 straipsnis. Darbuotojų lyčių lygybė ir nediskriminavimas kitais pagrindais</w:t>
                </w:r>
              </w:p>
              <w:p w14:paraId="6BE1FF80" w14:textId="77777777">
                <w:pPr>
                  <w:jc w:val="both"/>
                  <w:rPr>
                    <w:color w:val="000000"/>
                    <w:sz w:val="20"/>
                  </w:rPr>
                </w:pPr>
                <w:r>
                  <w:rPr>
                    <w:color w:val="000000"/>
                    <w:sz w:val="20"/>
                  </w:rPr>
                  <w:t>&lt;...&gt;</w:t>
                </w:r>
              </w:p>
              <w:p w14:paraId="7DBD796E" w14:textId="77777777">
                <w:pPr>
                  <w:jc w:val="both"/>
                  <w:rPr>
                    <w:bCs/>
                    <w:color w:val="000000"/>
                    <w:sz w:val="20"/>
                    <w:u w:val="single"/>
                  </w:rPr>
                </w:pPr>
                <w:r>
                  <w:rPr>
                    <w:bCs/>
                    <w:color w:val="000000"/>
                    <w:sz w:val="20"/>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14:paraId="3052136D" w14:textId="462517CB">
                <w:pPr>
                  <w:jc w:val="both"/>
                  <w:rPr>
                    <w:b/>
                    <w:color w:val="000000"/>
                    <w:sz w:val="20"/>
                  </w:rPr>
                </w:pPr>
                <w:r>
                  <w:rPr>
                    <w:b/>
                    <w:color w:val="000000"/>
                    <w:sz w:val="20"/>
                  </w:rPr>
                  <w:t xml:space="preserve">LGĮ </w:t>
                </w:r>
              </w:p>
              <w:p w14:paraId="7DCFE65C" w14:textId="77777777">
                <w:pPr>
                  <w:jc w:val="both"/>
                  <w:rPr>
                    <w:bCs/>
                    <w:color w:val="000000"/>
                    <w:sz w:val="20"/>
                  </w:rPr>
                </w:pPr>
                <w:r>
                  <w:rPr>
                    <w:b/>
                    <w:bCs/>
                    <w:color w:val="000000"/>
                    <w:sz w:val="20"/>
                  </w:rPr>
                  <w:t>4 straipsnis. Įrodinėjimo pareiga</w:t>
                </w:r>
              </w:p>
              <w:p w14:paraId="7BFFA833" w14:textId="4D29E318">
                <w:pPr>
                  <w:jc w:val="both"/>
                  <w:rPr>
                    <w:bCs/>
                    <w:color w:val="000000"/>
                    <w:sz w:val="20"/>
                    <w:u w:val="single"/>
                  </w:rPr>
                </w:pPr>
                <w:r>
                  <w:rPr>
                    <w:bCs/>
                    <w:color w:val="000000"/>
                    <w:sz w:val="20"/>
                  </w:rPr>
                  <w:t>Teismuose ar kitose kompetentingose institucijose nagrinėjant fizinių, juridinių asmenų, kitų organizacijų ir jų padalinių skundus, pareiškimus, prašymus, pranešimus ar ieškinius dėl diskriminacijos lyties, rasės, tautybės, pilietybės, kalbos, kilmės, socialinės padėties, tikėjimo, įsitikinimų ar pažiūrų, amžiaus, lytinės orientacijos, negalios, etninės priklausomybės, religijos pagrindu, pareiškėjui nurodžius aplinkybes, leidžiančias daryti prielaidą dėl tiesioginės ar netiesioginės diskriminacijos, priekabiavimo, seksualinio priekabiavimo, nurodymo diskriminuoti, persekiojimo, priešiško elgesio ar neigiamų padarinių dėl skundo dėl diskriminacijos pateikimo, dalyvavimo byloje dėl diskriminacijos ar pranešimo apie diskriminaciją buvimo, preziumuojama, kad tiesioginės ar netiesioginės diskriminacijos, priekabiavimo, seksualinio priekabiavimo, nurodymo diskriminuoti, persekiojimo, priešiško elgesio ar neigiamų padarinių dėl skundo dėl diskriminacijos pateikimo, dalyvavimo byloje dėl diskriminacijos ar pranešimo apie diskriminaciją faktas buvo. Skundžiamas asmuo turi įrodyti, kad lygių galimybių principas nebuvo pažeistas.</w:t>
                </w:r>
              </w:p>
              <w:p w14:paraId="68375678" w14:textId="77777777">
                <w:pPr>
                  <w:jc w:val="both"/>
                  <w:rPr>
                    <w:bCs/>
                    <w:color w:val="000000"/>
                    <w:sz w:val="20"/>
                  </w:rPr>
                </w:pPr>
                <w:r>
                  <w:rPr>
                    <w:bCs/>
                    <w:i/>
                    <w:iCs/>
                    <w:color w:val="000000"/>
                    <w:sz w:val="20"/>
                  </w:rPr>
                  <w:t>Straipsnio pakeitimai:</w:t>
                </w:r>
              </w:p>
              <w:p w14:paraId="2DFD27E4" w14:textId="77777777">
                <w:pPr>
                  <w:rPr>
                    <w:bCs/>
                    <w:color w:val="000000"/>
                    <w:sz w:val="20"/>
                  </w:rPr>
                </w:pPr>
                <w:r>
                  <w:rPr>
                    <w:bCs/>
                    <w:i/>
                    <w:iCs/>
                    <w:color w:val="000000"/>
                    <w:sz w:val="20"/>
                  </w:rPr>
                  <w:t>Nr. </w:t>
                </w:r>
                <w:hyperlink r:id="rId32" w:tgtFrame="_parent" w:history="1">
                  <w:r>
                    <w:rPr>
                      <w:bCs/>
                      <w:i/>
                      <w:iCs/>
                      <w:color w:val="0000FF"/>
                      <w:sz w:val="20"/>
                      <w:u w:val="single"/>
                    </w:rPr>
                    <w:t>XIII-618</w:t>
                  </w:r>
                </w:hyperlink>
                <w:r>
                  <w:rPr>
                    <w:bCs/>
                    <w:i/>
                    <w:iCs/>
                    <w:color w:val="000000"/>
                    <w:sz w:val="20"/>
                  </w:rPr>
                  <w:t>, 2017-07-11, paskelbta TAR 2017-07-24, i. k. 2017-12573</w:t>
                </w:r>
              </w:p>
              <w:p w14:paraId="63F017B0" w14:textId="77777777">
                <w:pPr>
                  <w:rPr>
                    <w:bCs/>
                    <w:color w:val="000000"/>
                    <w:sz w:val="20"/>
                  </w:rPr>
                </w:pPr>
                <w:r>
                  <w:rPr>
                    <w:bCs/>
                    <w:i/>
                    <w:iCs/>
                    <w:color w:val="000000"/>
                    <w:sz w:val="20"/>
                  </w:rPr>
                  <w:t>Nr. </w:t>
                </w:r>
                <w:hyperlink r:id="rId33" w:tgtFrame="_parent" w:history="1">
                  <w:r>
                    <w:rPr>
                      <w:bCs/>
                      <w:i/>
                      <w:iCs/>
                      <w:color w:val="0000FF"/>
                      <w:sz w:val="20"/>
                      <w:u w:val="single"/>
                    </w:rPr>
                    <w:t>XIV-1109</w:t>
                  </w:r>
                </w:hyperlink>
                <w:r>
                  <w:rPr>
                    <w:bCs/>
                    <w:i/>
                    <w:iCs/>
                    <w:color w:val="000000"/>
                    <w:sz w:val="20"/>
                  </w:rPr>
                  <w:t>, 2022-05-19, paskelbta TAR 2022-06-01, i. k. 2022-11867</w:t>
                </w:r>
              </w:p>
              <w:p w14:paraId="65BB78C3" w14:textId="51C48A6F">
                <w:pPr>
                  <w:jc w:val="both"/>
                  <w:rPr>
                    <w:b/>
                    <w:color w:val="000000"/>
                    <w:sz w:val="20"/>
                  </w:rPr>
                </w:pPr>
                <w:r>
                  <w:rPr>
                    <w:b/>
                    <w:color w:val="000000"/>
                    <w:sz w:val="20"/>
                  </w:rPr>
                  <w:t xml:space="preserve">MVLGĮ </w:t>
                </w:r>
              </w:p>
              <w:p w14:paraId="5F99BC03" w14:textId="77777777">
                <w:pPr>
                  <w:jc w:val="both"/>
                  <w:rPr>
                    <w:bCs/>
                    <w:color w:val="000000"/>
                    <w:sz w:val="20"/>
                  </w:rPr>
                </w:pPr>
                <w:r>
                  <w:rPr>
                    <w:b/>
                    <w:bCs/>
                    <w:color w:val="000000"/>
                    <w:sz w:val="20"/>
                  </w:rPr>
                  <w:t>3 straipsnis. Įrodinėjimo pareiga</w:t>
                </w:r>
              </w:p>
              <w:p w14:paraId="64ED0D74" w14:textId="564A7558">
                <w:pPr>
                  <w:jc w:val="both"/>
                  <w:rPr>
                    <w:bCs/>
                    <w:color w:val="000000"/>
                    <w:sz w:val="20"/>
                  </w:rPr>
                </w:pPr>
                <w:r>
                  <w:rPr>
                    <w:bCs/>
                    <w:color w:val="000000"/>
                    <w:sz w:val="20"/>
                  </w:rPr>
                  <w:t>Teismuose ar kitose kompetentingose institucijose nagrinėjant fizinių asmenų skundus ir pareiškimus, taip pat asmenų ginčus dėl diskriminacijos lyties pagrindu, preziumuojama, kad tiesioginės ar netiesioginės diskriminacijos faktas buvo. Skundžiamas asmuo turi įrodyti, kad lygių teisių principas nebuvo pažeistas.</w:t>
                </w:r>
              </w:p>
            </w:tc>
            <w:tc>
              <w:tcPr>
                <w:tcW w:w="1572" w:type="dxa"/>
                <w:shd w:val="clear" w:color="auto" w:fill="FFFFFF" w:themeFill="background1"/>
              </w:tcPr>
              <w:p w14:paraId="7529F4FA" w14:textId="323C63D6">
                <w:pPr>
                  <w:jc w:val="both"/>
                  <w:rPr>
                    <w:color w:val="000000"/>
                    <w:sz w:val="20"/>
                  </w:rPr>
                </w:pPr>
                <w:r>
                  <w:rPr>
                    <w:color w:val="000000"/>
                    <w:sz w:val="20"/>
                  </w:rPr>
                  <w:t>Visiškas</w:t>
                </w:r>
              </w:p>
            </w:tc>
          </w:tr>
          <w:tr w14:paraId="21334171" w14:textId="77777777">
            <w:tc>
              <w:tcPr>
                <w:tcW w:w="8391" w:type="dxa"/>
                <w:shd w:val="clear" w:color="auto" w:fill="FFFFFF" w:themeFill="background1"/>
              </w:tcPr>
              <w:p w14:paraId="6F14921F" w14:textId="77777777">
                <w:pPr>
                  <w:jc w:val="both"/>
                  <w:rPr>
                    <w:bCs/>
                    <w:color w:val="000000"/>
                    <w:sz w:val="20"/>
                  </w:rPr>
                </w:pPr>
                <w:r>
                  <w:rPr>
                    <w:bCs/>
                    <w:color w:val="000000"/>
                    <w:sz w:val="20"/>
                  </w:rPr>
                  <w:t>2.   Valstybės narės užtikrina, kad administraciniuose arba teismo procesuose dėl įtariamos tiesioginės arba netiesioginės diskriminacijos darbo užmokesčio srityje, kai darbdavys nesilaikė 5, 6, 7, 9 ir 10 straipsniuose nustatytų darbo užmokesčio skaidrumo pareigų, pareiga įrodinėti, kad tokios diskriminacijos nebuvo, tektų darbdaviui.</w:t>
                </w:r>
              </w:p>
              <w:p w14:paraId="4E704E26" w14:textId="4AD887AF">
                <w:pPr>
                  <w:jc w:val="both"/>
                  <w:rPr>
                    <w:bCs/>
                    <w:color w:val="000000"/>
                    <w:sz w:val="20"/>
                  </w:rPr>
                </w:pPr>
                <w:r>
                  <w:rPr>
                    <w:bCs/>
                    <w:color w:val="000000"/>
                    <w:sz w:val="20"/>
                  </w:rPr>
                  <w:t>Šios dalies pirma pastraipa netaikoma, kai darbdavys įrodo, kad 5, 6, 7, 9 ir 10 straipsniuose nustatytų pareigų pažeidimas buvo akivaizdžiai netyčinis ir nereikšmingas.</w:t>
                </w:r>
              </w:p>
            </w:tc>
            <w:tc>
              <w:tcPr>
                <w:tcW w:w="5347" w:type="dxa"/>
                <w:shd w:val="clear" w:color="auto" w:fill="FFFFFF" w:themeFill="background1"/>
              </w:tcPr>
              <w:p w14:paraId="59CAC046" w14:textId="00044DFE">
                <w:pPr>
                  <w:jc w:val="both"/>
                  <w:rPr>
                    <w:b/>
                    <w:color w:val="000000"/>
                    <w:sz w:val="20"/>
                  </w:rPr>
                </w:pPr>
                <w:r>
                  <w:rPr>
                    <w:b/>
                    <w:color w:val="000000"/>
                    <w:sz w:val="20"/>
                  </w:rPr>
                  <w:t>DK</w:t>
                </w:r>
              </w:p>
              <w:p w14:paraId="523F1E03" w14:textId="77777777">
                <w:pPr>
                  <w:jc w:val="both"/>
                  <w:rPr>
                    <w:b/>
                    <w:bCs/>
                    <w:color w:val="000000"/>
                    <w:sz w:val="20"/>
                  </w:rPr>
                </w:pPr>
                <w:r>
                  <w:rPr>
                    <w:b/>
                    <w:bCs/>
                    <w:color w:val="000000"/>
                    <w:sz w:val="20"/>
                  </w:rPr>
                  <w:t>26 straipsnis. Darbuotojų lyčių lygybė ir nediskriminavimas kitais pagrindais</w:t>
                </w:r>
              </w:p>
              <w:p w14:paraId="5A6F3819" w14:textId="77777777">
                <w:pPr>
                  <w:jc w:val="both"/>
                  <w:rPr>
                    <w:color w:val="000000"/>
                    <w:sz w:val="20"/>
                  </w:rPr>
                </w:pPr>
                <w:r>
                  <w:rPr>
                    <w:color w:val="000000"/>
                    <w:sz w:val="20"/>
                  </w:rPr>
                  <w:t>&lt;...&gt;</w:t>
                </w:r>
              </w:p>
              <w:p w14:paraId="77C7FD35" w14:textId="77777777">
                <w:pPr>
                  <w:jc w:val="both"/>
                  <w:rPr>
                    <w:bCs/>
                    <w:color w:val="000000"/>
                    <w:sz w:val="20"/>
                  </w:rPr>
                </w:pPr>
                <w:r>
                  <w:rPr>
                    <w:bCs/>
                    <w:color w:val="000000"/>
                    <w:sz w:val="20"/>
                  </w:rPr>
                  <w:t>5.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p w14:paraId="4E49CA32" w14:textId="323FAD77">
                <w:pPr>
                  <w:jc w:val="both"/>
                  <w:rPr>
                    <w:b/>
                    <w:color w:val="000000"/>
                    <w:sz w:val="20"/>
                  </w:rPr>
                </w:pPr>
                <w:r>
                  <w:rPr>
                    <w:b/>
                    <w:color w:val="000000"/>
                    <w:sz w:val="20"/>
                  </w:rPr>
                  <w:t>LGĮ</w:t>
                </w:r>
              </w:p>
              <w:p w14:paraId="7FDEC863" w14:textId="77777777">
                <w:pPr>
                  <w:jc w:val="both"/>
                  <w:rPr>
                    <w:bCs/>
                    <w:color w:val="000000"/>
                    <w:sz w:val="20"/>
                  </w:rPr>
                </w:pPr>
                <w:r>
                  <w:rPr>
                    <w:b/>
                    <w:bCs/>
                    <w:color w:val="000000"/>
                    <w:sz w:val="20"/>
                  </w:rPr>
                  <w:t>4 straipsnis. Įrodinėjimo pareiga</w:t>
                </w:r>
              </w:p>
              <w:p w14:paraId="20BA7135" w14:textId="77777777">
                <w:pPr>
                  <w:jc w:val="both"/>
                  <w:rPr>
                    <w:bCs/>
                    <w:color w:val="000000"/>
                    <w:sz w:val="20"/>
                  </w:rPr>
                </w:pPr>
                <w:r>
                  <w:rPr>
                    <w:bCs/>
                    <w:color w:val="000000"/>
                    <w:sz w:val="20"/>
                  </w:rPr>
                  <w:t>Teismuose ar kitose kompetentingose institucijose nagrinėjant fizinių, juridinių asmenų, kitų organizacijų ir jų padalinių skundus, pareiškimus, prašymus, pranešimus ar ieškinius dėl diskriminacijos lyties, rasės, tautybės, pilietybės, kalbos, kilmės, socialinės padėties, tikėjimo, įsitikinimų ar pažiūrų, amžiaus, lytinės orientacijos, negalios, etninės priklausomybės, religijos pagrindu, pareiškėjui nurodžius aplinkybes, leidžiančias daryti prielaidą dėl tiesioginės ar netiesioginės diskriminacijos, priekabiavimo, seksualinio priekabiavimo, nurodymo diskriminuoti, persekiojimo, priešiško elgesio ar neigiamų padarinių dėl skundo dėl diskriminacijos pateikimo, dalyvavimo byloje dėl diskriminacijos ar pranešimo apie diskriminaciją buvimo, preziumuojama, kad tiesioginės ar netiesioginės diskriminacijos, priekabiavimo, seksualinio priekabiavimo, nurodymo diskriminuoti, persekiojimo, priešiško elgesio ar neigiamų padarinių dėl skundo dėl diskriminacijos pateikimo, dalyvavimo byloje dėl diskriminacijos ar pranešimo apie diskriminaciją faktas buvo. Skundžiamas asmuo turi įrodyti, kad lygių galimybių principas nebuvo pažeistas.</w:t>
                </w:r>
              </w:p>
              <w:p w14:paraId="72C2B38D" w14:textId="77777777">
                <w:pPr>
                  <w:jc w:val="both"/>
                  <w:rPr>
                    <w:bCs/>
                    <w:color w:val="000000"/>
                    <w:sz w:val="20"/>
                    <w:u w:val="single"/>
                  </w:rPr>
                </w:pPr>
                <w:r>
                  <w:rPr>
                    <w:bCs/>
                    <w:i/>
                    <w:iCs/>
                    <w:color w:val="000000"/>
                    <w:sz w:val="20"/>
                    <w:u w:val="single"/>
                  </w:rPr>
                  <w:t>Straipsnio pakeitimai:</w:t>
                </w:r>
              </w:p>
              <w:p w14:paraId="326F1DC9" w14:textId="77777777">
                <w:pPr>
                  <w:rPr>
                    <w:bCs/>
                    <w:color w:val="000000"/>
                    <w:sz w:val="20"/>
                    <w:u w:val="single"/>
                  </w:rPr>
                </w:pPr>
                <w:r>
                  <w:rPr>
                    <w:bCs/>
                    <w:i/>
                    <w:iCs/>
                    <w:color w:val="000000"/>
                    <w:sz w:val="20"/>
                    <w:u w:val="single"/>
                  </w:rPr>
                  <w:t>Nr. </w:t>
                </w:r>
                <w:hyperlink r:id="rId34" w:tgtFrame="_parent" w:history="1">
                  <w:r>
                    <w:rPr>
                      <w:bCs/>
                      <w:i/>
                      <w:iCs/>
                      <w:color w:val="0000FF"/>
                      <w:sz w:val="20"/>
                      <w:u w:val="single"/>
                    </w:rPr>
                    <w:t>XIII-618</w:t>
                  </w:r>
                </w:hyperlink>
                <w:r>
                  <w:rPr>
                    <w:bCs/>
                    <w:i/>
                    <w:iCs/>
                    <w:color w:val="000000"/>
                    <w:sz w:val="20"/>
                    <w:u w:val="single"/>
                  </w:rPr>
                  <w:t>, 2017-07-11, paskelbta TAR 2017-07-24, i. k. 2017-12573</w:t>
                </w:r>
              </w:p>
              <w:p w14:paraId="34780741" w14:textId="770DCEF9">
                <w:pPr>
                  <w:rPr>
                    <w:bCs/>
                    <w:color w:val="000000"/>
                    <w:sz w:val="20"/>
                    <w:u w:val="single"/>
                  </w:rPr>
                </w:pPr>
                <w:r>
                  <w:rPr>
                    <w:bCs/>
                    <w:i/>
                    <w:iCs/>
                    <w:color w:val="000000"/>
                    <w:sz w:val="20"/>
                    <w:u w:val="single"/>
                  </w:rPr>
                  <w:t>Nr. </w:t>
                </w:r>
                <w:hyperlink r:id="rId35" w:tgtFrame="_parent" w:history="1">
                  <w:r>
                    <w:rPr>
                      <w:bCs/>
                      <w:i/>
                      <w:iCs/>
                      <w:color w:val="0000FF"/>
                      <w:sz w:val="20"/>
                      <w:u w:val="single"/>
                    </w:rPr>
                    <w:t>XIV-1109</w:t>
                  </w:r>
                </w:hyperlink>
                <w:r>
                  <w:rPr>
                    <w:bCs/>
                    <w:i/>
                    <w:iCs/>
                    <w:color w:val="000000"/>
                    <w:sz w:val="20"/>
                    <w:u w:val="single"/>
                  </w:rPr>
                  <w:t>, 2022-05-19, paskelbta TAR 2022-06-01, i. k. 2022-11867</w:t>
                </w:r>
              </w:p>
              <w:p w14:paraId="2B95BFD1" w14:textId="742CC3AB">
                <w:pPr>
                  <w:jc w:val="both"/>
                  <w:rPr>
                    <w:b/>
                    <w:color w:val="000000"/>
                    <w:sz w:val="20"/>
                  </w:rPr>
                </w:pPr>
                <w:r>
                  <w:rPr>
                    <w:b/>
                    <w:color w:val="000000"/>
                    <w:sz w:val="20"/>
                  </w:rPr>
                  <w:t>MVLGĮ</w:t>
                </w:r>
              </w:p>
              <w:p w14:paraId="2AEC8C4B" w14:textId="77777777">
                <w:pPr>
                  <w:jc w:val="both"/>
                  <w:rPr>
                    <w:bCs/>
                    <w:color w:val="000000"/>
                    <w:sz w:val="20"/>
                  </w:rPr>
                </w:pPr>
                <w:r>
                  <w:rPr>
                    <w:b/>
                    <w:bCs/>
                    <w:color w:val="000000"/>
                    <w:sz w:val="20"/>
                  </w:rPr>
                  <w:t>3 straipsnis. Įrodinėjimo pareiga</w:t>
                </w:r>
              </w:p>
              <w:p w14:paraId="4572E251" w14:textId="4FCEEB24">
                <w:pPr>
                  <w:jc w:val="both"/>
                  <w:rPr>
                    <w:bCs/>
                    <w:color w:val="000000"/>
                    <w:sz w:val="20"/>
                  </w:rPr>
                </w:pPr>
                <w:r>
                  <w:rPr>
                    <w:bCs/>
                    <w:color w:val="000000"/>
                    <w:sz w:val="20"/>
                  </w:rPr>
                  <w:t>Teismuose ar kitose kompetentingose institucijose nagrinėjant fizinių asmenų skundus ir pareiškimus, taip pat asmenų ginčus dėl diskriminacijos lyties pagrindu, preziumuojama, kad tiesioginės ar netiesioginės diskriminacijos faktas buvo. Skundžiamas asmuo turi įrodyti, kad lygių teisių principas</w:t>
                </w:r>
                <w:r>
                  <w:rPr>
                    <w:bCs/>
                    <w:color w:val="000000"/>
                    <w:sz w:val="20"/>
                    <w:u w:val="single"/>
                  </w:rPr>
                  <w:t xml:space="preserve"> </w:t>
                </w:r>
                <w:r>
                  <w:rPr>
                    <w:bCs/>
                    <w:color w:val="000000"/>
                    <w:sz w:val="20"/>
                  </w:rPr>
                  <w:t>nebuvo pažeistas.</w:t>
                </w:r>
              </w:p>
            </w:tc>
            <w:tc>
              <w:tcPr>
                <w:tcW w:w="1572" w:type="dxa"/>
                <w:shd w:val="clear" w:color="auto" w:fill="FFFFFF" w:themeFill="background1"/>
              </w:tcPr>
              <w:p w14:paraId="63612773" w14:textId="525DAFFE">
                <w:pPr>
                  <w:jc w:val="both"/>
                  <w:rPr>
                    <w:color w:val="000000"/>
                    <w:sz w:val="20"/>
                  </w:rPr>
                </w:pPr>
                <w:r>
                  <w:rPr>
                    <w:color w:val="000000"/>
                    <w:sz w:val="20"/>
                  </w:rPr>
                  <w:t>Visiškas</w:t>
                </w:r>
              </w:p>
            </w:tc>
          </w:tr>
          <w:tr w14:paraId="38FBF964" w14:textId="77777777">
            <w:tc>
              <w:tcPr>
                <w:tcW w:w="8391" w:type="dxa"/>
                <w:shd w:val="clear" w:color="auto" w:fill="FFFFFF" w:themeFill="background1"/>
              </w:tcPr>
              <w:p w14:paraId="1A9FCA00" w14:textId="62088E9F">
                <w:pPr>
                  <w:jc w:val="both"/>
                  <w:rPr>
                    <w:bCs/>
                    <w:sz w:val="20"/>
                  </w:rPr>
                </w:pPr>
                <w:r>
                  <w:rPr>
                    <w:bCs/>
                    <w:sz w:val="20"/>
                  </w:rPr>
                  <w:t>3.   Šia direktyva valstybėms narėms neužkertamas kelias nustatyti įrodinėjimo taisykles, kurios būtų palankesnės darbuotojui, pradėjusiam administracinį arba teismo procesą dėl bet kurių teisių ar pareigų, susijusių su vienodo darbo užmokesčio principu, įtariamo pažeidimo.</w:t>
                </w:r>
              </w:p>
            </w:tc>
            <w:tc>
              <w:tcPr>
                <w:tcW w:w="5347" w:type="dxa"/>
                <w:shd w:val="clear" w:color="auto" w:fill="FFFFFF" w:themeFill="background1"/>
              </w:tcPr>
              <w:p w14:paraId="7F15328B" w14:textId="541305A4">
                <w:pPr>
                  <w:jc w:val="both"/>
                  <w:rPr>
                    <w:bCs/>
                    <w:color w:val="000000"/>
                    <w:sz w:val="20"/>
                  </w:rPr>
                </w:pPr>
              </w:p>
            </w:tc>
            <w:tc>
              <w:tcPr>
                <w:tcW w:w="1572" w:type="dxa"/>
                <w:shd w:val="clear" w:color="auto" w:fill="FFFFFF" w:themeFill="background1"/>
              </w:tcPr>
              <w:p w14:paraId="6B4108D0" w14:textId="01845A06">
                <w:pPr>
                  <w:jc w:val="both"/>
                  <w:rPr>
                    <w:color w:val="000000"/>
                    <w:sz w:val="20"/>
                  </w:rPr>
                </w:pPr>
              </w:p>
            </w:tc>
          </w:tr>
          <w:tr w14:paraId="325E25A8" w14:textId="77777777">
            <w:tc>
              <w:tcPr>
                <w:tcW w:w="8391" w:type="dxa"/>
                <w:shd w:val="clear" w:color="auto" w:fill="FFFFFF" w:themeFill="background1"/>
              </w:tcPr>
              <w:p w14:paraId="2A4768AD" w14:textId="1B0FAE86">
                <w:pPr>
                  <w:jc w:val="both"/>
                  <w:rPr>
                    <w:bCs/>
                    <w:sz w:val="20"/>
                  </w:rPr>
                </w:pPr>
                <w:r>
                  <w:rPr>
                    <w:bCs/>
                    <w:sz w:val="20"/>
                  </w:rPr>
                  <w:t>4.   Valstybėms narėms nebūtina 1 dalies taikyti procedūroms ir procesiniams veiksmams, kai bylos faktines aplinkybes turi ištirti kompetentinga institucija arba nacionalinis teismas.</w:t>
                </w:r>
              </w:p>
            </w:tc>
            <w:tc>
              <w:tcPr>
                <w:tcW w:w="5347" w:type="dxa"/>
                <w:shd w:val="clear" w:color="auto" w:fill="FFFFFF" w:themeFill="background1"/>
              </w:tcPr>
              <w:p w14:paraId="10878B8B" w14:textId="78CC4E73">
                <w:pPr>
                  <w:jc w:val="both"/>
                  <w:rPr>
                    <w:bCs/>
                    <w:color w:val="000000"/>
                    <w:sz w:val="20"/>
                  </w:rPr>
                </w:pPr>
              </w:p>
            </w:tc>
            <w:tc>
              <w:tcPr>
                <w:tcW w:w="1572" w:type="dxa"/>
                <w:shd w:val="clear" w:color="auto" w:fill="FFFFFF" w:themeFill="background1"/>
              </w:tcPr>
              <w:p w14:paraId="3B010D0B" w14:textId="7AEA1714">
                <w:pPr>
                  <w:jc w:val="both"/>
                  <w:rPr>
                    <w:color w:val="000000"/>
                    <w:sz w:val="20"/>
                  </w:rPr>
                </w:pPr>
              </w:p>
            </w:tc>
          </w:tr>
          <w:tr w14:paraId="36768007" w14:textId="77777777">
            <w:tc>
              <w:tcPr>
                <w:tcW w:w="8391" w:type="dxa"/>
                <w:shd w:val="clear" w:color="auto" w:fill="FFFFFF" w:themeFill="background1"/>
              </w:tcPr>
              <w:p w14:paraId="58A87848" w14:textId="605A5335">
                <w:pPr>
                  <w:jc w:val="both"/>
                  <w:rPr>
                    <w:bCs/>
                    <w:sz w:val="20"/>
                  </w:rPr>
                </w:pPr>
                <w:r>
                  <w:rPr>
                    <w:bCs/>
                    <w:sz w:val="20"/>
                  </w:rPr>
                  <w:t>5.   Šis straipsnis netaikomas baudžiamajam procesui, nebent nacionalinėje teisėje nustatyta kitaip.</w:t>
                </w:r>
              </w:p>
            </w:tc>
            <w:tc>
              <w:tcPr>
                <w:tcW w:w="5347" w:type="dxa"/>
                <w:shd w:val="clear" w:color="auto" w:fill="FFFFFF" w:themeFill="background1"/>
              </w:tcPr>
              <w:p w14:paraId="521B3E18" w14:textId="50EA84DE">
                <w:pPr>
                  <w:jc w:val="both"/>
                  <w:rPr>
                    <w:bCs/>
                    <w:color w:val="000000"/>
                    <w:sz w:val="20"/>
                  </w:rPr>
                </w:pPr>
              </w:p>
            </w:tc>
            <w:tc>
              <w:tcPr>
                <w:tcW w:w="1572" w:type="dxa"/>
                <w:shd w:val="clear" w:color="auto" w:fill="FFFFFF" w:themeFill="background1"/>
              </w:tcPr>
              <w:p w14:paraId="7A29F3AF" w14:textId="4FF8127D">
                <w:pPr>
                  <w:jc w:val="both"/>
                  <w:rPr>
                    <w:color w:val="000000"/>
                    <w:sz w:val="20"/>
                  </w:rPr>
                </w:pPr>
              </w:p>
            </w:tc>
          </w:tr>
          <w:tr w14:paraId="028C5702" w14:textId="77777777">
            <w:tc>
              <w:tcPr>
                <w:tcW w:w="15310" w:type="dxa"/>
                <w:gridSpan w:val="3"/>
                <w:shd w:val="clear" w:color="auto" w:fill="D6E3BC" w:themeFill="accent3" w:themeFillTint="66"/>
              </w:tcPr>
              <w:p w14:paraId="15D409E5" w14:textId="6224EB01">
                <w:pPr>
                  <w:jc w:val="both"/>
                  <w:rPr>
                    <w:b/>
                    <w:bCs/>
                    <w:sz w:val="20"/>
                  </w:rPr>
                </w:pPr>
                <w:r>
                  <w:rPr>
                    <w:b/>
                    <w:bCs/>
                    <w:sz w:val="20"/>
                  </w:rPr>
                  <w:t>19 straipsnis. Vienodo ar vienodos vertės darbo įrodymas</w:t>
                </w:r>
              </w:p>
            </w:tc>
          </w:tr>
          <w:tr w14:paraId="0D5CB947" w14:textId="77777777">
            <w:tc>
              <w:tcPr>
                <w:tcW w:w="8391" w:type="dxa"/>
                <w:shd w:val="clear" w:color="auto" w:fill="FFFFFF" w:themeFill="background1"/>
              </w:tcPr>
              <w:p w14:paraId="49ED9C16" w14:textId="77777777">
                <w:pPr>
                  <w:jc w:val="both"/>
                  <w:rPr>
                    <w:bCs/>
                    <w:sz w:val="20"/>
                  </w:rPr>
                </w:pPr>
                <w:r>
                  <w:rPr>
                    <w:bCs/>
                    <w:sz w:val="20"/>
                  </w:rPr>
                  <w:t>1.   Vertinant, ar darbuotojos moterys ir darbuotojai vyrai atlieka tą patį arba vienodos vertės darbą, vertinimas, ar darbuotojų padėtis yra panaši, neapsiriboja tik tais atvejais, kai darbuotojos moterys ir darbuotojai vyrai dirba tam pačiam darbdaviui, bet apima ir vieną darbo užmokesčio sąlygas nustatantį šaltinį. Vienas šaltinis yra tada, kai juo nustatomi darbo užmokesčio elementai, svarbūs darbuotojams palyginti.</w:t>
                </w:r>
              </w:p>
              <w:p w14:paraId="2F7D7E7C" w14:textId="77777777">
                <w:pPr>
                  <w:jc w:val="both"/>
                  <w:rPr>
                    <w:bCs/>
                    <w:sz w:val="20"/>
                  </w:rPr>
                </w:pPr>
              </w:p>
              <w:p w14:paraId="11423CBA" w14:textId="77777777">
                <w:pPr>
                  <w:jc w:val="both"/>
                  <w:rPr>
                    <w:bCs/>
                    <w:sz w:val="20"/>
                  </w:rPr>
                </w:pPr>
              </w:p>
              <w:p w14:paraId="6D644A19" w14:textId="10E59F9C">
                <w:pPr>
                  <w:jc w:val="both"/>
                  <w:rPr>
                    <w:sz w:val="20"/>
                  </w:rPr>
                </w:pPr>
              </w:p>
            </w:tc>
            <w:tc>
              <w:tcPr>
                <w:tcW w:w="5347" w:type="dxa"/>
                <w:shd w:val="clear" w:color="auto" w:fill="FFFFFF" w:themeFill="background1"/>
              </w:tcPr>
              <w:p w14:paraId="1CE52107" w14:textId="015987A2">
                <w:pPr>
                  <w:jc w:val="both"/>
                  <w:rPr>
                    <w:b/>
                    <w:color w:val="000000"/>
                    <w:sz w:val="20"/>
                  </w:rPr>
                </w:pPr>
                <w:r>
                  <w:rPr>
                    <w:b/>
                    <w:color w:val="000000"/>
                    <w:sz w:val="20"/>
                  </w:rPr>
                  <w:t>DK projektas</w:t>
                </w:r>
              </w:p>
              <w:p w14:paraId="3C894DD6" w14:textId="77777777">
                <w:pPr>
                  <w:jc w:val="both"/>
                  <w:rPr>
                    <w:b/>
                    <w:bCs/>
                    <w:sz w:val="20"/>
                  </w:rPr>
                </w:pPr>
                <w:r>
                  <w:rPr>
                    <w:b/>
                    <w:bCs/>
                    <w:sz w:val="20"/>
                  </w:rPr>
                  <w:t>2 straipsnis. 26 straipsnio pakeitimas</w:t>
                </w:r>
              </w:p>
              <w:p w14:paraId="7A7BE9F9" w14:textId="77777777">
                <w:pPr>
                  <w:jc w:val="both"/>
                  <w:rPr>
                    <w:b/>
                    <w:bCs/>
                    <w:sz w:val="20"/>
                  </w:rPr>
                </w:pPr>
                <w:r>
                  <w:rPr>
                    <w:b/>
                    <w:bCs/>
                    <w:sz w:val="20"/>
                  </w:rPr>
                  <w:t>Pakeisti 26 straipsnio 4 dalį ir ją išdėstyti taip:</w:t>
                </w:r>
              </w:p>
              <w:p w14:paraId="5C25F3D2" w14:textId="77777777">
                <w:pPr>
                  <w:jc w:val="both"/>
                  <w:rPr>
                    <w:b/>
                    <w:bCs/>
                    <w:sz w:val="20"/>
                  </w:rPr>
                </w:pPr>
                <w:r>
                  <w:rPr>
                    <w:b/>
                    <w:bCs/>
                    <w:sz w:val="20"/>
                  </w:rPr>
                  <w:t>„4. Nagrinėjant diskriminacijos dėl darbo užmokesčio bylas:</w:t>
                </w:r>
              </w:p>
              <w:p w14:paraId="370796F5" w14:textId="77777777">
                <w:pPr>
                  <w:jc w:val="both"/>
                  <w:rPr>
                    <w:b/>
                    <w:bCs/>
                    <w:sz w:val="20"/>
                  </w:rPr>
                </w:pPr>
                <w:r>
                  <w:rPr>
                    <w:b/>
                    <w:bCs/>
                    <w:sz w:val="20"/>
                  </w:rPr>
                  <w:t>1) atlyginimu už darbą laikomas darbo užmokestis ar bet koks kitas atlygis (įskaitant atlygį grynaisiais pinigais arba natūra), kurį darbuotojas tiesiogiai ar netiesiogiai gauna iš darbdavio už darbą;</w:t>
                </w:r>
              </w:p>
              <w:p w14:paraId="3936FC69" w14:textId="77777777">
                <w:pPr>
                  <w:jc w:val="both"/>
                  <w:rPr>
                    <w:b/>
                    <w:bCs/>
                    <w:sz w:val="20"/>
                  </w:rPr>
                </w:pPr>
                <w:r>
                  <w:rPr>
                    <w:b/>
                    <w:bCs/>
                    <w:sz w:val="20"/>
                  </w:rPr>
                  <w:t>2)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kai daugiau nei vienai patronuojančios bendrovės, kaip ji apibrėžta Lietuvos Respublikos akcinių bendrovių įstatyme, dukterinei bendrovei ar įmonei centralizuotai nustatomos atitinkamos lyginant darbuotojus svarbios darbo užmokesčio sąlygos, nurodytos šio kodekso 140 straipsnyje;</w:t>
                </w:r>
              </w:p>
              <w:p w14:paraId="0D7E25F5" w14:textId="77777777">
                <w:pPr>
                  <w:jc w:val="both"/>
                  <w:rPr>
                    <w:b/>
                    <w:bCs/>
                    <w:sz w:val="20"/>
                  </w:rPr>
                </w:pPr>
                <w:r>
                  <w:rPr>
                    <w:b/>
                    <w:bCs/>
                    <w:sz w:val="20"/>
                  </w:rPr>
                  <w:t>3) jei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darbuotojas panašioje padėtyje, neatsižvelgiant į jo įdarbinimo momentą;</w:t>
                </w:r>
              </w:p>
              <w:p w14:paraId="3B7B80D7" w14:textId="3B82EB5D">
                <w:pPr>
                  <w:jc w:val="both"/>
                  <w:rPr>
                    <w:b/>
                    <w:bCs/>
                    <w:sz w:val="20"/>
                  </w:rPr>
                </w:pPr>
                <w:r>
                  <w:rPr>
                    <w:b/>
                    <w:bCs/>
                    <w:sz w:val="20"/>
                  </w:rPr>
                  <w:t>4)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tc>
            <w:tc>
              <w:tcPr>
                <w:tcW w:w="1572" w:type="dxa"/>
                <w:shd w:val="clear" w:color="auto" w:fill="FFFFFF" w:themeFill="background1"/>
              </w:tcPr>
              <w:p w14:paraId="7C29F4DF" w14:textId="51347C53">
                <w:pPr>
                  <w:jc w:val="both"/>
                  <w:rPr>
                    <w:sz w:val="20"/>
                  </w:rPr>
                </w:pPr>
                <w:r>
                  <w:rPr>
                    <w:sz w:val="20"/>
                  </w:rPr>
                  <w:t>Visiškas</w:t>
                </w:r>
              </w:p>
              <w:p w14:paraId="0C0A9758" w14:textId="1C7E5030">
                <w:pPr>
                  <w:jc w:val="both"/>
                  <w:rPr>
                    <w:b/>
                    <w:bCs/>
                    <w:color w:val="000000"/>
                    <w:sz w:val="20"/>
                  </w:rPr>
                </w:pPr>
              </w:p>
            </w:tc>
          </w:tr>
          <w:tr w14:paraId="618FCA37" w14:textId="77777777">
            <w:tc>
              <w:tcPr>
                <w:tcW w:w="8391" w:type="dxa"/>
                <w:shd w:val="clear" w:color="auto" w:fill="FFFFFF" w:themeFill="background1"/>
              </w:tcPr>
              <w:p w14:paraId="34BF06A8" w14:textId="5E3360E5">
                <w:pPr>
                  <w:jc w:val="both"/>
                  <w:rPr>
                    <w:bCs/>
                    <w:sz w:val="20"/>
                  </w:rPr>
                </w:pPr>
                <w:r>
                  <w:rPr>
                    <w:bCs/>
                    <w:sz w:val="20"/>
                  </w:rPr>
                  <w:t>2.   Vertinant, ar darbuotojų padėtis yra panaši, neturi būti apsiribojama darbuotojais, įdarbintais tuo pačiu metu kaip ir atitinkamas darbuotojas.</w:t>
                </w:r>
              </w:p>
            </w:tc>
            <w:tc>
              <w:tcPr>
                <w:tcW w:w="5347" w:type="dxa"/>
                <w:shd w:val="clear" w:color="auto" w:fill="FFFFFF" w:themeFill="background1"/>
              </w:tcPr>
              <w:p w14:paraId="62A1CB91" w14:textId="0C991810">
                <w:pPr>
                  <w:jc w:val="both"/>
                  <w:rPr>
                    <w:b/>
                    <w:color w:val="000000"/>
                    <w:sz w:val="20"/>
                  </w:rPr>
                </w:pPr>
                <w:r>
                  <w:rPr>
                    <w:b/>
                    <w:color w:val="000000"/>
                    <w:sz w:val="20"/>
                  </w:rPr>
                  <w:t>DK projektas</w:t>
                </w:r>
              </w:p>
              <w:p w14:paraId="2145C436" w14:textId="25B66DDF">
                <w:pPr>
                  <w:jc w:val="both"/>
                  <w:rPr>
                    <w:b/>
                    <w:color w:val="000000"/>
                    <w:sz w:val="20"/>
                  </w:rPr>
                </w:pPr>
                <w:r>
                  <w:rPr>
                    <w:b/>
                    <w:color w:val="000000"/>
                    <w:sz w:val="20"/>
                  </w:rPr>
                  <w:t>2 straipsnis. 26 straipsnio pakeitimas</w:t>
                </w:r>
              </w:p>
              <w:p w14:paraId="0C851AD2" w14:textId="77777777">
                <w:pPr>
                  <w:jc w:val="both"/>
                  <w:rPr>
                    <w:b/>
                    <w:color w:val="000000"/>
                    <w:sz w:val="20"/>
                  </w:rPr>
                </w:pPr>
                <w:r>
                  <w:rPr>
                    <w:b/>
                    <w:color w:val="000000"/>
                    <w:sz w:val="20"/>
                  </w:rPr>
                  <w:t>Pakeisti 26 straipsnio 4 dalį ir ją išdėstyti taip:</w:t>
                </w:r>
              </w:p>
              <w:p w14:paraId="38657754" w14:textId="77777777">
                <w:pPr>
                  <w:jc w:val="both"/>
                  <w:rPr>
                    <w:b/>
                    <w:color w:val="000000"/>
                    <w:sz w:val="20"/>
                  </w:rPr>
                </w:pPr>
                <w:r>
                  <w:rPr>
                    <w:b/>
                    <w:color w:val="000000"/>
                    <w:sz w:val="20"/>
                  </w:rPr>
                  <w:t>„4. Nagrinėjant diskriminacijos dėl darbo užmokesčio bylas:</w:t>
                </w:r>
              </w:p>
              <w:p w14:paraId="279F99F9" w14:textId="77777777">
                <w:pPr>
                  <w:jc w:val="both"/>
                  <w:rPr>
                    <w:b/>
                    <w:color w:val="000000"/>
                    <w:sz w:val="20"/>
                  </w:rPr>
                </w:pPr>
                <w:r>
                  <w:rPr>
                    <w:b/>
                    <w:color w:val="000000"/>
                    <w:sz w:val="20"/>
                  </w:rPr>
                  <w:t>1) atlyginimu už darbą laikomas darbo užmokestis ar bet koks kitas atlygis (įskaitant atlygį grynaisiais pinigais arba natūra), kurį darbuotojas tiesiogiai ar netiesiogiai gauna iš darbdavio už darbą;</w:t>
                </w:r>
              </w:p>
              <w:p w14:paraId="30E2B1BC" w14:textId="77777777">
                <w:pPr>
                  <w:jc w:val="both"/>
                  <w:rPr>
                    <w:b/>
                    <w:color w:val="000000"/>
                    <w:sz w:val="20"/>
                  </w:rPr>
                </w:pPr>
                <w:r>
                  <w:rPr>
                    <w:b/>
                    <w:color w:val="000000"/>
                    <w:sz w:val="20"/>
                  </w:rPr>
                  <w:t>2)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kai daugiau nei vienai patronuojančios bendrovės, kaip ji apibrėžta Lietuvos Respublikos akcinių bendrovių įstatyme, dukterinei bendrovei ar įmonei centralizuotai nustatomos atitinkamos lyginant darbuotojus svarbios darbo užmokesčio sąlygos, nurodytos šio kodekso 140 straipsnyje;</w:t>
                </w:r>
              </w:p>
              <w:p w14:paraId="03C94FB1" w14:textId="77777777">
                <w:pPr>
                  <w:jc w:val="both"/>
                  <w:rPr>
                    <w:b/>
                    <w:color w:val="000000"/>
                    <w:sz w:val="20"/>
                  </w:rPr>
                </w:pPr>
                <w:r>
                  <w:rPr>
                    <w:b/>
                    <w:color w:val="000000"/>
                    <w:sz w:val="20"/>
                  </w:rPr>
                  <w:t>3) jei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darbuotojas panašioje padėtyje, neatsižvelgiant į jo įdarbinimo momentą;</w:t>
                </w:r>
              </w:p>
              <w:p w14:paraId="1F6F3ADE" w14:textId="708E6A95">
                <w:pPr>
                  <w:jc w:val="both"/>
                  <w:rPr>
                    <w:b/>
                    <w:color w:val="000000"/>
                    <w:sz w:val="20"/>
                  </w:rPr>
                </w:pPr>
                <w:r>
                  <w:rPr>
                    <w:b/>
                    <w:color w:val="000000"/>
                    <w:sz w:val="20"/>
                  </w:rPr>
                  <w:t>4)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tc>
            <w:tc>
              <w:tcPr>
                <w:tcW w:w="1572" w:type="dxa"/>
                <w:shd w:val="clear" w:color="auto" w:fill="FFFFFF" w:themeFill="background1"/>
              </w:tcPr>
              <w:p w14:paraId="3A6567B9" w14:textId="77777777">
                <w:pPr>
                  <w:jc w:val="both"/>
                  <w:rPr>
                    <w:sz w:val="20"/>
                  </w:rPr>
                </w:pPr>
                <w:r>
                  <w:rPr>
                    <w:sz w:val="20"/>
                  </w:rPr>
                  <w:t>Visiškas</w:t>
                </w:r>
              </w:p>
              <w:p w14:paraId="09321657" w14:textId="44B69951">
                <w:pPr>
                  <w:jc w:val="both"/>
                  <w:rPr>
                    <w:color w:val="000000"/>
                    <w:sz w:val="20"/>
                  </w:rPr>
                </w:pPr>
              </w:p>
            </w:tc>
          </w:tr>
          <w:tr w14:paraId="5217C80E" w14:textId="77777777">
            <w:tc>
              <w:tcPr>
                <w:tcW w:w="8391" w:type="dxa"/>
                <w:shd w:val="clear" w:color="auto" w:fill="FFFFFF" w:themeFill="background1"/>
              </w:tcPr>
              <w:p w14:paraId="5A91F746" w14:textId="232A0102">
                <w:pPr>
                  <w:jc w:val="both"/>
                  <w:rPr>
                    <w:bCs/>
                    <w:sz w:val="20"/>
                  </w:rPr>
                </w:pPr>
                <w:r>
                  <w:rPr>
                    <w:bCs/>
                    <w:sz w:val="20"/>
                  </w:rPr>
                  <w:t>3.   Jei neįmanoma nustatyti realaus lyginamojo subjekto, įtariamai diskriminacijai darbo užmokesčio srityje įrodyti galima naudoti bet kokius kitus įrodymus, įskaitant statistinius duomenis arba palyginimą, kaip būtų traktuojamas darbuotojas panašioje padėtyje.</w:t>
                </w:r>
              </w:p>
            </w:tc>
            <w:tc>
              <w:tcPr>
                <w:tcW w:w="5347" w:type="dxa"/>
                <w:shd w:val="clear" w:color="auto" w:fill="FFFFFF" w:themeFill="background1"/>
              </w:tcPr>
              <w:p w14:paraId="24C9B41E" w14:textId="77777777">
                <w:pPr>
                  <w:jc w:val="both"/>
                  <w:rPr>
                    <w:b/>
                    <w:color w:val="000000"/>
                    <w:sz w:val="20"/>
                  </w:rPr>
                </w:pPr>
                <w:r>
                  <w:rPr>
                    <w:b/>
                    <w:color w:val="000000"/>
                    <w:sz w:val="20"/>
                  </w:rPr>
                  <w:t>DK projektas</w:t>
                </w:r>
              </w:p>
              <w:p w14:paraId="3133FACF" w14:textId="77777777">
                <w:pPr>
                  <w:jc w:val="both"/>
                  <w:rPr>
                    <w:b/>
                    <w:bCs/>
                    <w:sz w:val="20"/>
                  </w:rPr>
                </w:pPr>
                <w:r>
                  <w:rPr>
                    <w:b/>
                    <w:bCs/>
                    <w:sz w:val="20"/>
                  </w:rPr>
                  <w:t>2 straipsnis. 26 straipsnio pakeitimas</w:t>
                </w:r>
              </w:p>
              <w:p w14:paraId="3229A43A" w14:textId="77777777">
                <w:pPr>
                  <w:jc w:val="both"/>
                  <w:rPr>
                    <w:b/>
                    <w:bCs/>
                    <w:sz w:val="20"/>
                  </w:rPr>
                </w:pPr>
                <w:r>
                  <w:rPr>
                    <w:b/>
                    <w:bCs/>
                    <w:sz w:val="20"/>
                  </w:rPr>
                  <w:t>Pakeisti 26 straipsnio 4 dalį ir ją išdėstyti taip:</w:t>
                </w:r>
              </w:p>
              <w:p w14:paraId="0CBD7B8A" w14:textId="77777777">
                <w:pPr>
                  <w:jc w:val="both"/>
                  <w:rPr>
                    <w:b/>
                    <w:bCs/>
                    <w:sz w:val="20"/>
                  </w:rPr>
                </w:pPr>
                <w:r>
                  <w:rPr>
                    <w:b/>
                    <w:bCs/>
                    <w:sz w:val="20"/>
                  </w:rPr>
                  <w:t>„4. Nagrinėjant diskriminacijos dėl darbo užmokesčio bylas:</w:t>
                </w:r>
              </w:p>
              <w:p w14:paraId="5C391B19" w14:textId="77777777">
                <w:pPr>
                  <w:jc w:val="both"/>
                  <w:rPr>
                    <w:b/>
                    <w:bCs/>
                    <w:sz w:val="20"/>
                  </w:rPr>
                </w:pPr>
                <w:r>
                  <w:rPr>
                    <w:b/>
                    <w:bCs/>
                    <w:sz w:val="20"/>
                  </w:rPr>
                  <w:t>1) atlyginimu už darbą laikomas darbo užmokestis ar bet koks kitas atlygis (įskaitant atlygį grynaisiais pinigais arba natūra), kurį darbuotojas tiesiogiai ar netiesiogiai gauna iš darbdavio už darbą;</w:t>
                </w:r>
              </w:p>
              <w:p w14:paraId="15D1703E" w14:textId="77777777">
                <w:pPr>
                  <w:jc w:val="both"/>
                  <w:rPr>
                    <w:b/>
                    <w:bCs/>
                    <w:sz w:val="20"/>
                  </w:rPr>
                </w:pPr>
                <w:r>
                  <w:rPr>
                    <w:b/>
                    <w:bCs/>
                    <w:sz w:val="20"/>
                  </w:rPr>
                  <w:t>2)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kai daugiau nei vienai patronuojančios bendrovės, kaip ji apibrėžta Lietuvos Respublikos akcinių bendrovių įstatyme, dukterinei bendrovei ar įmonei centralizuotai nustatomos atitinkamos lyginant darbuotojus svarbios darbo užmokesčio sąlygos, nurodytos šio kodekso 140 straipsnyje;</w:t>
                </w:r>
              </w:p>
              <w:p w14:paraId="1ECBAC0E" w14:textId="77777777">
                <w:pPr>
                  <w:jc w:val="both"/>
                  <w:rPr>
                    <w:b/>
                    <w:bCs/>
                    <w:sz w:val="20"/>
                  </w:rPr>
                </w:pPr>
                <w:r>
                  <w:rPr>
                    <w:b/>
                    <w:bCs/>
                    <w:sz w:val="20"/>
                  </w:rPr>
                  <w:t>3) jei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darbuotojas panašioje padėtyje, neatsižvelgiant į jo įdarbinimo momentą;</w:t>
                </w:r>
              </w:p>
              <w:p w14:paraId="2CC81BDC" w14:textId="7F2FDA8B">
                <w:pPr>
                  <w:jc w:val="both"/>
                  <w:rPr>
                    <w:bCs/>
                    <w:sz w:val="20"/>
                  </w:rPr>
                </w:pPr>
                <w:r>
                  <w:rPr>
                    <w:b/>
                    <w:bCs/>
                    <w:sz w:val="20"/>
                  </w:rPr>
                  <w:t>4)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tc>
            <w:tc>
              <w:tcPr>
                <w:tcW w:w="1572" w:type="dxa"/>
                <w:shd w:val="clear" w:color="auto" w:fill="FFFFFF" w:themeFill="background1"/>
              </w:tcPr>
              <w:p w14:paraId="11C7F090" w14:textId="77777777">
                <w:pPr>
                  <w:jc w:val="both"/>
                  <w:rPr>
                    <w:sz w:val="20"/>
                  </w:rPr>
                </w:pPr>
                <w:r>
                  <w:rPr>
                    <w:sz w:val="20"/>
                  </w:rPr>
                  <w:t>Visiškas</w:t>
                </w:r>
              </w:p>
              <w:p w14:paraId="13E1A230" w14:textId="4832AB51">
                <w:pPr>
                  <w:jc w:val="both"/>
                  <w:rPr>
                    <w:color w:val="000000"/>
                    <w:sz w:val="20"/>
                  </w:rPr>
                </w:pPr>
              </w:p>
            </w:tc>
          </w:tr>
          <w:tr w14:paraId="5DFB4E45" w14:textId="77777777">
            <w:tc>
              <w:tcPr>
                <w:tcW w:w="15310" w:type="dxa"/>
                <w:gridSpan w:val="3"/>
                <w:shd w:val="clear" w:color="auto" w:fill="D6E3BC" w:themeFill="accent3" w:themeFillTint="66"/>
              </w:tcPr>
              <w:p w14:paraId="6892ACC7" w14:textId="26675D63">
                <w:pPr>
                  <w:jc w:val="both"/>
                  <w:rPr>
                    <w:b/>
                    <w:bCs/>
                    <w:sz w:val="20"/>
                  </w:rPr>
                </w:pPr>
                <w:r>
                  <w:rPr>
                    <w:b/>
                    <w:bCs/>
                    <w:sz w:val="20"/>
                  </w:rPr>
                  <w:t>20 straipsnis. Galimybė susipažinti su įrodymais</w:t>
                </w:r>
              </w:p>
            </w:tc>
          </w:tr>
          <w:tr w14:paraId="68DBA08E" w14:textId="77777777">
            <w:tc>
              <w:tcPr>
                <w:tcW w:w="8391" w:type="dxa"/>
                <w:shd w:val="clear" w:color="auto" w:fill="FFFFFF" w:themeFill="background1"/>
              </w:tcPr>
              <w:p w14:paraId="517716E5" w14:textId="1374CC7A">
                <w:pPr>
                  <w:jc w:val="both"/>
                  <w:rPr>
                    <w:bCs/>
                    <w:sz w:val="20"/>
                  </w:rPr>
                </w:pPr>
                <w:r>
                  <w:rPr>
                    <w:bCs/>
                    <w:sz w:val="20"/>
                  </w:rPr>
                  <w:t>1.   Valstybės narės užtikrina, kad atliekant procesinius veiksmus dėl ieškinio dėl vienodo darbo užmokesčio, kompetentingos institucijos ir nacionaliniai teismai galėtų priimti nutartį, kad atsakovas atskleistų visus jo kontroliuojamus svarbius įrodymus, laikantis nacionalinės teisės ir praktikos.</w:t>
                </w:r>
              </w:p>
            </w:tc>
            <w:tc>
              <w:tcPr>
                <w:tcW w:w="5347" w:type="dxa"/>
                <w:shd w:val="clear" w:color="auto" w:fill="FFFFFF" w:themeFill="background1"/>
              </w:tcPr>
              <w:p w14:paraId="34D66FFD" w14:textId="01E3A8D4">
                <w:pPr>
                  <w:jc w:val="both"/>
                  <w:rPr>
                    <w:b/>
                    <w:color w:val="000000"/>
                    <w:sz w:val="20"/>
                  </w:rPr>
                </w:pPr>
                <w:r>
                  <w:rPr>
                    <w:b/>
                    <w:color w:val="000000"/>
                    <w:sz w:val="20"/>
                  </w:rPr>
                  <w:t>DK</w:t>
                </w:r>
              </w:p>
              <w:p w14:paraId="1EC3D33C" w14:textId="77777777">
                <w:pPr>
                  <w:rPr>
                    <w:b/>
                    <w:color w:val="000000"/>
                    <w:sz w:val="20"/>
                  </w:rPr>
                </w:pPr>
                <w:r>
                  <w:rPr>
                    <w:b/>
                    <w:bCs/>
                    <w:color w:val="000000"/>
                    <w:sz w:val="20"/>
                  </w:rPr>
                  <w:t>225 straipsnis. Pasirengimas nagrinėti prašymą</w:t>
                </w:r>
              </w:p>
              <w:p w14:paraId="1D361959" w14:textId="3A02C42D">
                <w:pPr>
                  <w:jc w:val="both"/>
                  <w:rPr>
                    <w:bCs/>
                    <w:color w:val="000000"/>
                    <w:sz w:val="20"/>
                  </w:rPr>
                </w:pPr>
                <w:r>
                  <w:rPr>
                    <w:bCs/>
                    <w:color w:val="000000"/>
                    <w:sz w:val="20"/>
                  </w:rPr>
                  <w:t>1. Darbo ginčų komisijos pirmininkas, rengdamasis nagrinėti prašymą išnagrinėti darbo ginčą dėl teisės, 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226 straipsnio 4 dalyje nurodytos priemonės.</w:t>
                </w:r>
              </w:p>
              <w:p w14:paraId="41A613F9" w14:textId="77777777">
                <w:pPr>
                  <w:jc w:val="both"/>
                  <w:rPr>
                    <w:bCs/>
                    <w:color w:val="000000"/>
                    <w:sz w:val="20"/>
                  </w:rPr>
                </w:pPr>
                <w:r>
                  <w:rPr>
                    <w:bCs/>
                    <w:i/>
                    <w:iCs/>
                    <w:color w:val="000000"/>
                    <w:sz w:val="20"/>
                  </w:rPr>
                  <w:t>Straipsnio dalies pakeitimai:</w:t>
                </w:r>
              </w:p>
              <w:p w14:paraId="63C56ECD" w14:textId="7637C66F">
                <w:pPr>
                  <w:rPr>
                    <w:bCs/>
                    <w:color w:val="000000"/>
                    <w:sz w:val="20"/>
                  </w:rPr>
                </w:pPr>
                <w:r>
                  <w:rPr>
                    <w:bCs/>
                    <w:i/>
                    <w:iCs/>
                    <w:color w:val="000000"/>
                    <w:sz w:val="20"/>
                  </w:rPr>
                  <w:t>Nr. </w:t>
                </w:r>
                <w:hyperlink r:id="rId36" w:tgtFrame="_parent" w:history="1">
                  <w:r>
                    <w:rPr>
                      <w:bCs/>
                      <w:i/>
                      <w:iCs/>
                      <w:color w:val="0000FF"/>
                      <w:sz w:val="20"/>
                      <w:u w:val="single"/>
                    </w:rPr>
                    <w:t>XIV-1187</w:t>
                  </w:r>
                </w:hyperlink>
                <w:r>
                  <w:rPr>
                    <w:bCs/>
                    <w:i/>
                    <w:iCs/>
                    <w:color w:val="000000"/>
                    <w:sz w:val="20"/>
                  </w:rPr>
                  <w:t>, 2022-06-28, paskelbta TAR 2022-07-11, i. k. 2022-15174</w:t>
                </w:r>
              </w:p>
              <w:p w14:paraId="730A1A0A" w14:textId="6E574E1D">
                <w:pPr>
                  <w:jc w:val="both"/>
                  <w:rPr>
                    <w:b/>
                    <w:color w:val="000000"/>
                    <w:sz w:val="20"/>
                  </w:rPr>
                </w:pPr>
                <w:r>
                  <w:rPr>
                    <w:b/>
                    <w:color w:val="000000"/>
                    <w:sz w:val="20"/>
                  </w:rPr>
                  <w:t xml:space="preserve">CPK </w:t>
                </w:r>
              </w:p>
              <w:p w14:paraId="375968D7" w14:textId="77777777">
                <w:pPr>
                  <w:rPr>
                    <w:bCs/>
                    <w:color w:val="000000"/>
                    <w:sz w:val="20"/>
                  </w:rPr>
                </w:pPr>
                <w:r>
                  <w:rPr>
                    <w:b/>
                    <w:bCs/>
                    <w:color w:val="000000"/>
                    <w:sz w:val="20"/>
                  </w:rPr>
                  <w:t>415 straipsnis. Pasirengimas bylai</w:t>
                </w:r>
              </w:p>
              <w:p w14:paraId="60B61DCA" w14:textId="03A2E6F8">
                <w:pPr>
                  <w:jc w:val="both"/>
                  <w:rPr>
                    <w:bCs/>
                    <w:color w:val="000000"/>
                    <w:sz w:val="20"/>
                  </w:rPr>
                </w:pPr>
                <w:r>
                  <w:rPr>
                    <w:bCs/>
                    <w:color w:val="000000"/>
                    <w:sz w:val="20"/>
                  </w:rPr>
                  <w:t>1. Teismas, rengdamasis bylą nagrinėti teisme, atsižvelgdamas į bylos aplinkybes, išreikalauja iš atsakovo dokumentus apie ieškovo priėmimą ir atleidimą (perkėlimą, nušalinimą) iš darbo, drausminių nuobaudų skyrimą, apie vidutinį ieškovo darbo užmokestį ir kitus bylai nagrinėti būtinus dokumentus, jeigu jų negali pateikti ieškovas.</w:t>
                </w:r>
              </w:p>
            </w:tc>
            <w:tc>
              <w:tcPr>
                <w:tcW w:w="1572" w:type="dxa"/>
                <w:shd w:val="clear" w:color="auto" w:fill="FFFFFF" w:themeFill="background1"/>
              </w:tcPr>
              <w:p w14:paraId="45A1BCFA" w14:textId="2A875C9F">
                <w:pPr>
                  <w:jc w:val="both"/>
                  <w:rPr>
                    <w:color w:val="000000"/>
                    <w:sz w:val="20"/>
                  </w:rPr>
                </w:pPr>
                <w:r>
                  <w:rPr>
                    <w:color w:val="000000"/>
                    <w:sz w:val="20"/>
                  </w:rPr>
                  <w:t>Visiškas</w:t>
                </w:r>
              </w:p>
            </w:tc>
          </w:tr>
          <w:tr w14:paraId="19EC2890" w14:textId="77777777">
            <w:tc>
              <w:tcPr>
                <w:tcW w:w="8391" w:type="dxa"/>
                <w:shd w:val="clear" w:color="auto" w:fill="FFFFFF" w:themeFill="background1"/>
              </w:tcPr>
              <w:p w14:paraId="50F1FE6D" w14:textId="28CB9F84">
                <w:pPr>
                  <w:jc w:val="both"/>
                  <w:rPr>
                    <w:bCs/>
                    <w:sz w:val="20"/>
                  </w:rPr>
                </w:pPr>
                <w:r>
                  <w:rPr>
                    <w:bCs/>
                    <w:sz w:val="20"/>
                  </w:rPr>
                  <w:t>2.   Valstybės narės užtikrina, kad kompetentingos institucijos ir nacionaliniai teismai turėtų įgaliojimus priimti nutartį, kad būtų atskleisti įrodymai, apimantys konfidencialią informaciją, jei jie mano, kad tie įrodymai gali būti svarbūs nagrinėjant ieškinį dėl vienodo darbo užmokesčio. Valstybės narės užtikrina, kad kompetentingos institucijos ar nacionaliniai teismai, priimdami nutartį atskleisti tokią informaciją, turėtų veiksmingų priemonių tokiai informacijai apsaugoti, laikantis nacionalinių procedūrinių taisyklių.</w:t>
                </w:r>
              </w:p>
            </w:tc>
            <w:tc>
              <w:tcPr>
                <w:tcW w:w="5347" w:type="dxa"/>
                <w:shd w:val="clear" w:color="auto" w:fill="FFFFFF" w:themeFill="background1"/>
              </w:tcPr>
              <w:p w14:paraId="5FD8F7BB" w14:textId="4CE2C997">
                <w:pPr>
                  <w:jc w:val="both"/>
                  <w:rPr>
                    <w:b/>
                    <w:color w:val="000000"/>
                    <w:sz w:val="20"/>
                  </w:rPr>
                </w:pPr>
                <w:r>
                  <w:rPr>
                    <w:b/>
                    <w:color w:val="000000"/>
                    <w:sz w:val="20"/>
                  </w:rPr>
                  <w:t>DK</w:t>
                </w:r>
              </w:p>
              <w:p w14:paraId="21A49887" w14:textId="77777777">
                <w:pPr>
                  <w:rPr>
                    <w:b/>
                    <w:color w:val="000000"/>
                    <w:sz w:val="20"/>
                  </w:rPr>
                </w:pPr>
                <w:r>
                  <w:rPr>
                    <w:b/>
                    <w:bCs/>
                    <w:color w:val="000000"/>
                    <w:sz w:val="20"/>
                  </w:rPr>
                  <w:t>225 straipsnis. Pasirengimas nagrinėti prašymą</w:t>
                </w:r>
              </w:p>
              <w:p w14:paraId="427C337B" w14:textId="77777777">
                <w:pPr>
                  <w:jc w:val="both"/>
                  <w:rPr>
                    <w:bCs/>
                    <w:color w:val="000000"/>
                    <w:sz w:val="20"/>
                  </w:rPr>
                </w:pPr>
                <w:r>
                  <w:rPr>
                    <w:bCs/>
                    <w:color w:val="000000"/>
                    <w:sz w:val="20"/>
                  </w:rPr>
                  <w:t>1. Darbo ginčų komisijos pirmininkas, rengdamasis nagrinėti prašymą išnagrinėti darbo ginčą dėl teisės, 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226 straipsnio 4 dalyje nurodytos priemonės.</w:t>
                </w:r>
              </w:p>
              <w:p w14:paraId="2EAFCBFF" w14:textId="77777777">
                <w:pPr>
                  <w:jc w:val="both"/>
                  <w:rPr>
                    <w:bCs/>
                    <w:color w:val="000000"/>
                    <w:sz w:val="20"/>
                  </w:rPr>
                </w:pPr>
                <w:r>
                  <w:rPr>
                    <w:bCs/>
                    <w:i/>
                    <w:iCs/>
                    <w:color w:val="000000"/>
                    <w:sz w:val="20"/>
                  </w:rPr>
                  <w:t>Straipsnio dalies pakeitimai:</w:t>
                </w:r>
              </w:p>
              <w:p w14:paraId="712AB8FE" w14:textId="6A907575">
                <w:pPr>
                  <w:rPr>
                    <w:bCs/>
                    <w:color w:val="000000"/>
                    <w:sz w:val="20"/>
                  </w:rPr>
                </w:pPr>
                <w:r>
                  <w:rPr>
                    <w:bCs/>
                    <w:i/>
                    <w:iCs/>
                    <w:color w:val="000000"/>
                    <w:sz w:val="20"/>
                  </w:rPr>
                  <w:t>Nr. </w:t>
                </w:r>
                <w:hyperlink r:id="rId37" w:tgtFrame="_parent" w:history="1">
                  <w:r>
                    <w:rPr>
                      <w:bCs/>
                      <w:i/>
                      <w:iCs/>
                      <w:color w:val="0000FF"/>
                      <w:sz w:val="20"/>
                      <w:u w:val="single"/>
                    </w:rPr>
                    <w:t>XIV-1187</w:t>
                  </w:r>
                </w:hyperlink>
                <w:r>
                  <w:rPr>
                    <w:bCs/>
                    <w:i/>
                    <w:iCs/>
                    <w:color w:val="000000"/>
                    <w:sz w:val="20"/>
                  </w:rPr>
                  <w:t>, 2022-06-28, paskelbta TAR 2022-07-11, i. k. 2022-15174</w:t>
                </w:r>
              </w:p>
              <w:p w14:paraId="31CFD79E" w14:textId="7F40D7A6">
                <w:pPr>
                  <w:jc w:val="both"/>
                  <w:rPr>
                    <w:b/>
                    <w:color w:val="000000"/>
                    <w:sz w:val="20"/>
                  </w:rPr>
                </w:pPr>
                <w:r>
                  <w:rPr>
                    <w:b/>
                    <w:color w:val="000000"/>
                    <w:sz w:val="20"/>
                  </w:rPr>
                  <w:t xml:space="preserve">CPK </w:t>
                </w:r>
              </w:p>
              <w:p w14:paraId="0D8F8B63" w14:textId="77777777">
                <w:pPr>
                  <w:rPr>
                    <w:bCs/>
                    <w:color w:val="000000"/>
                    <w:sz w:val="20"/>
                  </w:rPr>
                </w:pPr>
                <w:r>
                  <w:rPr>
                    <w:b/>
                    <w:bCs/>
                    <w:color w:val="000000"/>
                    <w:sz w:val="20"/>
                  </w:rPr>
                  <w:t>415 straipsnis. Pasirengimas bylai</w:t>
                </w:r>
              </w:p>
              <w:p w14:paraId="6EBA7A74" w14:textId="56E31746">
                <w:pPr>
                  <w:jc w:val="both"/>
                  <w:rPr>
                    <w:bCs/>
                    <w:color w:val="000000"/>
                    <w:sz w:val="20"/>
                  </w:rPr>
                </w:pPr>
                <w:r>
                  <w:rPr>
                    <w:bCs/>
                    <w:color w:val="000000"/>
                    <w:sz w:val="20"/>
                  </w:rPr>
                  <w:t>1. Teismas, rengdamasis bylą nagrinėti teisme, atsižvelgdamas į bylos aplinkybes, išreikalauja iš atsakovo dokumentus apie ieškovo priėmimą ir atleidimą (perkėlimą, nušalinimą) iš darbo, drausminių nuobaudų skyrimą, apie vidutinį ieškovo darbo užmokestį ir kitus bylai nagrinėti būtinus dokumentus, jeigu jų negali pateikti ieškovas.</w:t>
                </w:r>
              </w:p>
            </w:tc>
            <w:tc>
              <w:tcPr>
                <w:tcW w:w="1572" w:type="dxa"/>
                <w:shd w:val="clear" w:color="auto" w:fill="FFFFFF" w:themeFill="background1"/>
              </w:tcPr>
              <w:p w14:paraId="02F8B2B3" w14:textId="6766F6BB">
                <w:pPr>
                  <w:jc w:val="both"/>
                  <w:rPr>
                    <w:color w:val="000000"/>
                    <w:sz w:val="20"/>
                  </w:rPr>
                </w:pPr>
                <w:r>
                  <w:rPr>
                    <w:color w:val="000000"/>
                    <w:sz w:val="20"/>
                  </w:rPr>
                  <w:t>Visiškas</w:t>
                </w:r>
              </w:p>
            </w:tc>
          </w:tr>
          <w:tr w14:paraId="0620F1E7" w14:textId="77777777">
            <w:tc>
              <w:tcPr>
                <w:tcW w:w="8391" w:type="dxa"/>
                <w:shd w:val="clear" w:color="auto" w:fill="FFFFFF" w:themeFill="background1"/>
              </w:tcPr>
              <w:p w14:paraId="0D6F89BA" w14:textId="57D9AAAF">
                <w:pPr>
                  <w:jc w:val="both"/>
                  <w:rPr>
                    <w:bCs/>
                    <w:sz w:val="20"/>
                  </w:rPr>
                </w:pPr>
                <w:r>
                  <w:rPr>
                    <w:bCs/>
                    <w:sz w:val="20"/>
                  </w:rPr>
                  <w:t>3.   Šiuo straipsniu valstybėms narėms neužkertamas kelias palikti galioti arba nustatyti ieškovams palankesnes taisykles.</w:t>
                </w:r>
              </w:p>
            </w:tc>
            <w:tc>
              <w:tcPr>
                <w:tcW w:w="5347" w:type="dxa"/>
                <w:shd w:val="clear" w:color="auto" w:fill="FFFFFF" w:themeFill="background1"/>
              </w:tcPr>
              <w:p w14:paraId="0B034BFC" w14:textId="002CADD7">
                <w:pPr>
                  <w:jc w:val="both"/>
                  <w:rPr>
                    <w:bCs/>
                    <w:color w:val="000000"/>
                    <w:sz w:val="20"/>
                  </w:rPr>
                </w:pPr>
              </w:p>
            </w:tc>
            <w:tc>
              <w:tcPr>
                <w:tcW w:w="1572" w:type="dxa"/>
                <w:shd w:val="clear" w:color="auto" w:fill="FFFFFF" w:themeFill="background1"/>
              </w:tcPr>
              <w:p w14:paraId="1886CADB" w14:textId="4D15D1FE">
                <w:pPr>
                  <w:jc w:val="both"/>
                  <w:rPr>
                    <w:color w:val="000000"/>
                    <w:sz w:val="20"/>
                  </w:rPr>
                </w:pPr>
              </w:p>
            </w:tc>
          </w:tr>
          <w:tr w14:paraId="0322DE45" w14:textId="77777777">
            <w:tc>
              <w:tcPr>
                <w:tcW w:w="15310" w:type="dxa"/>
                <w:gridSpan w:val="3"/>
                <w:shd w:val="clear" w:color="auto" w:fill="D6E3BC" w:themeFill="accent3" w:themeFillTint="66"/>
              </w:tcPr>
              <w:p w14:paraId="5C7EAF95" w14:textId="44488EA5">
                <w:pPr>
                  <w:jc w:val="both"/>
                  <w:rPr>
                    <w:color w:val="000000"/>
                    <w:sz w:val="20"/>
                  </w:rPr>
                </w:pPr>
                <w:r>
                  <w:rPr>
                    <w:b/>
                    <w:bCs/>
                    <w:color w:val="000000"/>
                    <w:sz w:val="20"/>
                  </w:rPr>
                  <w:t>21 straipsnis. Senaties terminai</w:t>
                </w:r>
              </w:p>
            </w:tc>
          </w:tr>
          <w:tr w14:paraId="533E6E5C" w14:textId="77777777">
            <w:tc>
              <w:tcPr>
                <w:tcW w:w="8391" w:type="dxa"/>
                <w:shd w:val="clear" w:color="auto" w:fill="FFFFFF" w:themeFill="background1"/>
              </w:tcPr>
              <w:p w14:paraId="54276011" w14:textId="0BB332C0">
                <w:pPr>
                  <w:jc w:val="both"/>
                  <w:rPr>
                    <w:bCs/>
                    <w:sz w:val="20"/>
                  </w:rPr>
                </w:pPr>
                <w:r>
                  <w:rPr>
                    <w:bCs/>
                    <w:sz w:val="20"/>
                  </w:rPr>
                  <w:t>1.   Valstybės narės užtikrina, kad nacionalinėse taisyklėse, taikomose ieškinių dėl vienodo darbo užmokesčio pateikimo terminams, būtų nustatoma, kada tokie terminai pradedami skaičiuoti, nustatoma jų trukmė ir aplinkybės, kuriomis jie gali būti sustabdyti arba laikinai sustabdyti. Senaties terminai nepradedami skaičiuoti anksčiau, nei ieškovas sužino apie pažeidimą arba pagrįstai galima manyti, kad jis apie jį žino. Valstybės narės gali nuspręsti, kad senaties terminai nepradedami skaičiuoti tol, kol pažeidimas vis dar vykdomas, arba anksčiau nei baigiasi darbo sutarties galiojimas ar darbo santykiai. Tokie senaties terminai negali būti trumpesni kaip treji metai.</w:t>
                </w:r>
              </w:p>
            </w:tc>
            <w:tc>
              <w:tcPr>
                <w:tcW w:w="5347" w:type="dxa"/>
                <w:shd w:val="clear" w:color="auto" w:fill="FFFFFF" w:themeFill="background1"/>
              </w:tcPr>
              <w:p w14:paraId="119D56B6" w14:textId="453DDCB7">
                <w:pPr>
                  <w:jc w:val="both"/>
                  <w:rPr>
                    <w:b/>
                    <w:bCs/>
                    <w:color w:val="000000"/>
                    <w:sz w:val="20"/>
                  </w:rPr>
                </w:pPr>
                <w:r>
                  <w:rPr>
                    <w:b/>
                    <w:bCs/>
                    <w:color w:val="000000"/>
                    <w:sz w:val="20"/>
                  </w:rPr>
                  <w:t>DK</w:t>
                </w:r>
              </w:p>
              <w:p w14:paraId="23789834" w14:textId="7C60334F">
                <w:pPr>
                  <w:jc w:val="both"/>
                  <w:rPr>
                    <w:bCs/>
                    <w:color w:val="000000"/>
                    <w:sz w:val="20"/>
                  </w:rPr>
                </w:pPr>
                <w:r>
                  <w:rPr>
                    <w:b/>
                    <w:bCs/>
                    <w:color w:val="000000"/>
                    <w:sz w:val="20"/>
                  </w:rPr>
                  <w:t>15 straipsnis. Ieškinio senatis</w:t>
                </w:r>
              </w:p>
              <w:p w14:paraId="6473D7B5" w14:textId="0B7A2F9F">
                <w:pPr>
                  <w:jc w:val="both"/>
                  <w:rPr>
                    <w:bCs/>
                    <w:color w:val="000000"/>
                    <w:sz w:val="20"/>
                  </w:rPr>
                </w:pPr>
                <w:r>
                  <w:rPr>
                    <w:bCs/>
                    <w:color w:val="000000"/>
                    <w:sz w:val="20"/>
                  </w:rPr>
                  <w:t>&lt;...&gt;</w:t>
                </w:r>
              </w:p>
              <w:p w14:paraId="4B272C45" w14:textId="77777777">
                <w:pPr>
                  <w:jc w:val="both"/>
                  <w:rPr>
                    <w:bCs/>
                    <w:color w:val="000000"/>
                    <w:sz w:val="20"/>
                  </w:rPr>
                </w:pPr>
                <w:r>
                  <w:rPr>
                    <w:bCs/>
                    <w:color w:val="000000"/>
                    <w:sz w:val="20"/>
                  </w:rPr>
                  <w:t>2. Bendrasis ieškinio senaties terminas šio kodekso reglamentuojamiems santykiams yra treji metai, jeigu šis kodeksas ir kiti įstatymai atskiriems reikalavimams nenustato trumpesnių ieškinio senaties terminų.</w:t>
                </w:r>
              </w:p>
              <w:p w14:paraId="37C3D0C2" w14:textId="77777777">
                <w:pPr>
                  <w:jc w:val="both"/>
                  <w:rPr>
                    <w:bCs/>
                    <w:color w:val="000000"/>
                    <w:sz w:val="20"/>
                  </w:rPr>
                </w:pPr>
                <w:r>
                  <w:rPr>
                    <w:bCs/>
                    <w:color w:val="000000"/>
                    <w:sz w:val="20"/>
                  </w:rPr>
                  <w:t>&lt;...&gt;</w:t>
                </w:r>
              </w:p>
              <w:p w14:paraId="25C5E26E" w14:textId="77777777">
                <w:pPr>
                  <w:jc w:val="both"/>
                  <w:rPr>
                    <w:bCs/>
                    <w:color w:val="000000"/>
                    <w:sz w:val="20"/>
                  </w:rPr>
                </w:pPr>
                <w:r>
                  <w:rPr>
                    <w:bCs/>
                    <w:color w:val="000000"/>
                    <w:sz w:val="20"/>
                  </w:rPr>
                  <w:t>4. Ieškinio senačiai skaičiuoti ir taikyti taikomos Lietuvos Respublikos civilinio kodekso ir Lietuvos Respublikos civilinio proceso kodekso nuostatos, jeigu šis kodeksas ar kiti įstatymai nenustato specialių ieškinio senaties taikymo nuostatų.</w:t>
                </w:r>
              </w:p>
              <w:p w14:paraId="4BFFDBEC" w14:textId="3C9F2229">
                <w:pPr>
                  <w:jc w:val="both"/>
                  <w:rPr>
                    <w:b/>
                    <w:color w:val="000000"/>
                    <w:sz w:val="20"/>
                  </w:rPr>
                </w:pPr>
                <w:r>
                  <w:rPr>
                    <w:b/>
                    <w:color w:val="000000"/>
                    <w:sz w:val="20"/>
                  </w:rPr>
                  <w:t xml:space="preserve">CK </w:t>
                </w:r>
              </w:p>
              <w:p w14:paraId="660125BF" w14:textId="77777777">
                <w:pPr>
                  <w:jc w:val="both"/>
                  <w:rPr>
                    <w:bCs/>
                    <w:color w:val="000000"/>
                    <w:sz w:val="20"/>
                  </w:rPr>
                </w:pPr>
                <w:r>
                  <w:rPr>
                    <w:b/>
                    <w:color w:val="000000"/>
                    <w:sz w:val="20"/>
                  </w:rPr>
                  <w:t>1.127</w:t>
                </w:r>
                <w:r>
                  <w:rPr>
                    <w:b/>
                    <w:bCs/>
                    <w:color w:val="000000"/>
                    <w:sz w:val="20"/>
                  </w:rPr>
                  <w:t> straipsnis. Ieškinio senaties termino pradžia</w:t>
                </w:r>
              </w:p>
              <w:p w14:paraId="41EFCD05" w14:textId="57DCA904">
                <w:pPr>
                  <w:jc w:val="both"/>
                  <w:rPr>
                    <w:bCs/>
                    <w:color w:val="000000"/>
                    <w:sz w:val="20"/>
                  </w:rPr>
                </w:pPr>
                <w:r>
                  <w:rPr>
                    <w:bCs/>
                    <w:color w:val="000000"/>
                    <w:sz w:val="20"/>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14:paraId="161C077E" w14:textId="09804121">
                <w:pPr>
                  <w:jc w:val="both"/>
                  <w:rPr>
                    <w:bCs/>
                    <w:color w:val="000000"/>
                    <w:sz w:val="20"/>
                  </w:rPr>
                </w:pPr>
                <w:r>
                  <w:rPr>
                    <w:bCs/>
                    <w:color w:val="000000"/>
                    <w:sz w:val="20"/>
                  </w:rPr>
                  <w:t>&lt;...&gt;</w:t>
                </w:r>
              </w:p>
              <w:p w14:paraId="059D4B44" w14:textId="3BC21D49">
                <w:pPr>
                  <w:jc w:val="both"/>
                  <w:rPr>
                    <w:bCs/>
                    <w:color w:val="000000"/>
                    <w:sz w:val="20"/>
                  </w:rPr>
                </w:pPr>
                <w:r>
                  <w:rPr>
                    <w:bCs/>
                    <w:color w:val="000000"/>
                    <w:sz w:val="20"/>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tc>
            <w:tc>
              <w:tcPr>
                <w:tcW w:w="1572" w:type="dxa"/>
                <w:shd w:val="clear" w:color="auto" w:fill="FFFFFF" w:themeFill="background1"/>
              </w:tcPr>
              <w:p w14:paraId="7E5D1012" w14:textId="4AB2DE4C">
                <w:pPr>
                  <w:jc w:val="both"/>
                  <w:rPr>
                    <w:color w:val="000000"/>
                    <w:sz w:val="20"/>
                  </w:rPr>
                </w:pPr>
                <w:r>
                  <w:rPr>
                    <w:color w:val="000000"/>
                    <w:sz w:val="20"/>
                  </w:rPr>
                  <w:t>Visiškas</w:t>
                </w:r>
              </w:p>
            </w:tc>
          </w:tr>
          <w:tr w14:paraId="3250E576" w14:textId="77777777">
            <w:tc>
              <w:tcPr>
                <w:tcW w:w="8391" w:type="dxa"/>
                <w:shd w:val="clear" w:color="auto" w:fill="FFFFFF" w:themeFill="background1"/>
              </w:tcPr>
              <w:p w14:paraId="27559ED4" w14:textId="056F9CEB">
                <w:pPr>
                  <w:jc w:val="both"/>
                  <w:rPr>
                    <w:bCs/>
                    <w:sz w:val="20"/>
                  </w:rPr>
                </w:pPr>
                <w:r>
                  <w:rPr>
                    <w:bCs/>
                    <w:sz w:val="20"/>
                  </w:rPr>
                  <w:t>2.   Valstybės narės užtikrina, kad senaties terminas būtų sustabdytas arba, atsižvelgiant į nacionalinę teisę, laikinai sustabdytas, kai tik ieškovas imasi veiksmų pranešdamas apie skundą darbdaviui arba inicijuodamas procesinius veiksmus teisme – tiesiogiai arba per darbuotojų atstovus, darbo inspekciją ar lygybės instituciją.</w:t>
                </w:r>
              </w:p>
            </w:tc>
            <w:tc>
              <w:tcPr>
                <w:tcW w:w="5347" w:type="dxa"/>
                <w:shd w:val="clear" w:color="auto" w:fill="FFFFFF" w:themeFill="background1"/>
              </w:tcPr>
              <w:p w14:paraId="541BFE8A" w14:textId="494674F0">
                <w:pPr>
                  <w:jc w:val="both"/>
                  <w:rPr>
                    <w:b/>
                    <w:color w:val="000000"/>
                    <w:sz w:val="20"/>
                  </w:rPr>
                </w:pPr>
                <w:r>
                  <w:rPr>
                    <w:b/>
                    <w:color w:val="000000"/>
                    <w:sz w:val="20"/>
                  </w:rPr>
                  <w:t xml:space="preserve">CK </w:t>
                </w:r>
              </w:p>
              <w:p w14:paraId="795C47CD" w14:textId="77777777">
                <w:pPr>
                  <w:jc w:val="both"/>
                  <w:rPr>
                    <w:bCs/>
                    <w:color w:val="000000"/>
                    <w:sz w:val="20"/>
                  </w:rPr>
                </w:pPr>
                <w:r>
                  <w:rPr>
                    <w:b/>
                    <w:bCs/>
                    <w:color w:val="000000"/>
                    <w:sz w:val="20"/>
                  </w:rPr>
                  <w:t>1.130 straipsnis. Ieškinio senaties termino nutraukimas</w:t>
                </w:r>
              </w:p>
              <w:p w14:paraId="643B809A" w14:textId="77777777">
                <w:pPr>
                  <w:jc w:val="both"/>
                  <w:rPr>
                    <w:bCs/>
                    <w:color w:val="000000"/>
                    <w:sz w:val="20"/>
                  </w:rPr>
                </w:pPr>
                <w:r>
                  <w:rPr>
                    <w:bCs/>
                    <w:color w:val="000000"/>
                    <w:sz w:val="20"/>
                  </w:rPr>
                  <w:t>1. Ieškinio senaties terminą nutraukia ieškinio pareiškimas įstatymų nustatyta tvarka.</w:t>
                </w:r>
              </w:p>
              <w:p w14:paraId="59C17AF8" w14:textId="77777777">
                <w:pPr>
                  <w:jc w:val="both"/>
                  <w:rPr>
                    <w:bCs/>
                    <w:color w:val="000000"/>
                    <w:sz w:val="20"/>
                  </w:rPr>
                </w:pPr>
                <w:r>
                  <w:rPr>
                    <w:bCs/>
                    <w:color w:val="000000"/>
                    <w:sz w:val="20"/>
                  </w:rPr>
                  <w:t>2. Ieškinio senaties terminą taip pat nutraukia skolininko atlikti veiksmai, kurie liudija, kad jis pripažįsta prievolę.</w:t>
                </w:r>
              </w:p>
              <w:p w14:paraId="1ABAFA24" w14:textId="08B1EF69">
                <w:pPr>
                  <w:jc w:val="both"/>
                  <w:rPr>
                    <w:bCs/>
                    <w:color w:val="000000"/>
                    <w:sz w:val="20"/>
                  </w:rPr>
                </w:pPr>
                <w:r>
                  <w:rPr>
                    <w:bCs/>
                    <w:color w:val="000000"/>
                    <w:sz w:val="20"/>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tc>
            <w:tc>
              <w:tcPr>
                <w:tcW w:w="1572" w:type="dxa"/>
                <w:shd w:val="clear" w:color="auto" w:fill="FFFFFF" w:themeFill="background1"/>
              </w:tcPr>
              <w:p w14:paraId="121B09BA" w14:textId="0E9A0DA5">
                <w:pPr>
                  <w:jc w:val="both"/>
                  <w:rPr>
                    <w:color w:val="000000"/>
                    <w:sz w:val="20"/>
                  </w:rPr>
                </w:pPr>
                <w:r>
                  <w:rPr>
                    <w:color w:val="000000"/>
                    <w:sz w:val="20"/>
                  </w:rPr>
                  <w:t>Visiškas</w:t>
                </w:r>
              </w:p>
            </w:tc>
          </w:tr>
          <w:tr w14:paraId="20130CFA" w14:textId="77777777">
            <w:tc>
              <w:tcPr>
                <w:tcW w:w="8391" w:type="dxa"/>
                <w:shd w:val="clear" w:color="auto" w:fill="FFFFFF" w:themeFill="background1"/>
              </w:tcPr>
              <w:p w14:paraId="127F9896" w14:textId="28B492F7">
                <w:pPr>
                  <w:jc w:val="both"/>
                  <w:rPr>
                    <w:bCs/>
                    <w:sz w:val="20"/>
                  </w:rPr>
                </w:pPr>
                <w:r>
                  <w:rPr>
                    <w:bCs/>
                    <w:sz w:val="20"/>
                  </w:rPr>
                  <w:t>3.   Šis straipsnis netaikomas taisyklėms dėl ieškinių galiojimo pabaigos.</w:t>
                </w:r>
              </w:p>
            </w:tc>
            <w:tc>
              <w:tcPr>
                <w:tcW w:w="5347" w:type="dxa"/>
                <w:shd w:val="clear" w:color="auto" w:fill="FFFFFF" w:themeFill="background1"/>
              </w:tcPr>
              <w:p w14:paraId="2DC4625F" w14:textId="7EE50C54">
                <w:pPr>
                  <w:jc w:val="both"/>
                  <w:rPr>
                    <w:b/>
                    <w:bCs/>
                    <w:color w:val="000000"/>
                    <w:sz w:val="20"/>
                  </w:rPr>
                </w:pPr>
                <w:r>
                  <w:rPr>
                    <w:b/>
                    <w:bCs/>
                    <w:color w:val="000000"/>
                    <w:sz w:val="20"/>
                  </w:rPr>
                  <w:t>DK</w:t>
                </w:r>
              </w:p>
              <w:p w14:paraId="61FEA449" w14:textId="77777777">
                <w:pPr>
                  <w:jc w:val="both"/>
                  <w:rPr>
                    <w:bCs/>
                    <w:color w:val="000000"/>
                    <w:sz w:val="20"/>
                  </w:rPr>
                </w:pPr>
                <w:r>
                  <w:rPr>
                    <w:b/>
                    <w:bCs/>
                    <w:color w:val="000000"/>
                    <w:sz w:val="20"/>
                  </w:rPr>
                  <w:t>15 straipsnis. Ieškinio senatis</w:t>
                </w:r>
              </w:p>
              <w:p w14:paraId="00F17331" w14:textId="77777777">
                <w:pPr>
                  <w:jc w:val="both"/>
                  <w:rPr>
                    <w:bCs/>
                    <w:color w:val="000000"/>
                    <w:sz w:val="20"/>
                  </w:rPr>
                </w:pPr>
                <w:r>
                  <w:rPr>
                    <w:bCs/>
                    <w:color w:val="000000"/>
                    <w:sz w:val="20"/>
                  </w:rPr>
                  <w:t>&lt;...&gt;</w:t>
                </w:r>
              </w:p>
              <w:p w14:paraId="440D7627" w14:textId="2291AFEB">
                <w:pPr>
                  <w:jc w:val="both"/>
                  <w:rPr>
                    <w:bCs/>
                    <w:color w:val="000000"/>
                    <w:sz w:val="20"/>
                  </w:rPr>
                </w:pPr>
                <w:r>
                  <w:rPr>
                    <w:bCs/>
                    <w:color w:val="000000"/>
                    <w:sz w:val="20"/>
                  </w:rPr>
                  <w:t>2. Bendrasis ieškinio senaties terminas šio kodekso reglamentuojamiems santykiams yra treji metai, jeigu šis kodeksas ir kiti įstatymai atskiriems reikalavimams nenustato trumpesnių ieškinio senaties terminų.</w:t>
                </w:r>
              </w:p>
            </w:tc>
            <w:tc>
              <w:tcPr>
                <w:tcW w:w="1572" w:type="dxa"/>
                <w:shd w:val="clear" w:color="auto" w:fill="FFFFFF" w:themeFill="background1"/>
              </w:tcPr>
              <w:p w14:paraId="537A90D5" w14:textId="65A3F7C7">
                <w:pPr>
                  <w:jc w:val="both"/>
                  <w:rPr>
                    <w:color w:val="000000"/>
                    <w:sz w:val="20"/>
                  </w:rPr>
                </w:pPr>
                <w:r>
                  <w:rPr>
                    <w:color w:val="000000"/>
                    <w:sz w:val="20"/>
                  </w:rPr>
                  <w:t>Visiškas</w:t>
                </w:r>
              </w:p>
            </w:tc>
          </w:tr>
          <w:tr w14:paraId="5A0037ED" w14:textId="77777777">
            <w:tc>
              <w:tcPr>
                <w:tcW w:w="15310" w:type="dxa"/>
                <w:gridSpan w:val="3"/>
                <w:shd w:val="clear" w:color="auto" w:fill="D6E3BC" w:themeFill="accent3" w:themeFillTint="66"/>
              </w:tcPr>
              <w:p w14:paraId="4352C945" w14:textId="3B6F0BEB">
                <w:pPr>
                  <w:jc w:val="both"/>
                  <w:rPr>
                    <w:b/>
                    <w:bCs/>
                    <w:sz w:val="20"/>
                  </w:rPr>
                </w:pPr>
                <w:r>
                  <w:rPr>
                    <w:b/>
                    <w:bCs/>
                    <w:sz w:val="20"/>
                  </w:rPr>
                  <w:t>22 straipsnis. Teismo išlaidos</w:t>
                </w:r>
              </w:p>
            </w:tc>
          </w:tr>
          <w:tr w14:paraId="316E0CDA" w14:textId="77777777">
            <w:tc>
              <w:tcPr>
                <w:tcW w:w="8391" w:type="dxa"/>
                <w:shd w:val="clear" w:color="auto" w:fill="FFFFFF" w:themeFill="background1"/>
              </w:tcPr>
              <w:p w14:paraId="3030A3C7" w14:textId="4B4ED6CB">
                <w:pPr>
                  <w:jc w:val="both"/>
                  <w:rPr>
                    <w:bCs/>
                    <w:sz w:val="20"/>
                  </w:rPr>
                </w:pPr>
                <w:r>
                  <w:rPr>
                    <w:bCs/>
                    <w:sz w:val="20"/>
                  </w:rPr>
                  <w:t>Valstybės narės užtikrina, kad tuo atveju, kai atsakovas laimi byloje, susijusioje su ieškiniu dėl diskriminacijos darbo užmokesčio srityje, nacionaliniai teismai pagal nacionalinę teisę galėtų įvertinti, ar pralaimėjęs ieškovas turėjo pagrįstų priežasčių pateikti ieškinį, ir, jei taip, ar tikslinga nereikalauti, kad tas ieškovas padengtų su procesu susijusias išlaidas.</w:t>
                </w:r>
              </w:p>
            </w:tc>
            <w:tc>
              <w:tcPr>
                <w:tcW w:w="5347" w:type="dxa"/>
                <w:shd w:val="clear" w:color="auto" w:fill="FFFFFF" w:themeFill="background1"/>
              </w:tcPr>
              <w:p w14:paraId="11AB5C7A" w14:textId="2C09E71B">
                <w:pPr>
                  <w:jc w:val="both"/>
                  <w:rPr>
                    <w:b/>
                    <w:sz w:val="20"/>
                  </w:rPr>
                </w:pPr>
                <w:r>
                  <w:rPr>
                    <w:b/>
                    <w:sz w:val="20"/>
                  </w:rPr>
                  <w:t>DK projektas</w:t>
                </w:r>
              </w:p>
              <w:p w14:paraId="45AB644C" w14:textId="77777777">
                <w:pPr>
                  <w:jc w:val="both"/>
                  <w:rPr>
                    <w:b/>
                    <w:bCs/>
                    <w:sz w:val="20"/>
                    <w:lang w:eastAsia="lt-LT"/>
                  </w:rPr>
                </w:pPr>
                <w:r>
                  <w:rPr>
                    <w:b/>
                    <w:bCs/>
                    <w:sz w:val="20"/>
                    <w:lang w:eastAsia="lt-LT"/>
                  </w:rPr>
                  <w:t>18 straipsnis. 217 straipsnio pakeitimas</w:t>
                </w:r>
              </w:p>
              <w:p w14:paraId="23FEE47F" w14:textId="59E0C278">
                <w:pPr>
                  <w:jc w:val="both"/>
                  <w:rPr>
                    <w:b/>
                    <w:bCs/>
                    <w:sz w:val="20"/>
                    <w:lang w:eastAsia="lt-LT"/>
                  </w:rPr>
                </w:pPr>
                <w:r>
                  <w:rPr>
                    <w:b/>
                    <w:bCs/>
                    <w:sz w:val="20"/>
                    <w:lang w:eastAsia="lt-LT"/>
                  </w:rPr>
                  <w:t>&lt;...&gt;</w:t>
                </w:r>
              </w:p>
              <w:p w14:paraId="6ED66E7B" w14:textId="4D3276A8">
                <w:pPr>
                  <w:jc w:val="both"/>
                  <w:rPr>
                    <w:b/>
                    <w:bCs/>
                    <w:sz w:val="20"/>
                    <w:lang w:eastAsia="lt-LT"/>
                  </w:rPr>
                </w:pPr>
                <w:r>
                  <w:rPr>
                    <w:b/>
                    <w:bCs/>
                    <w:sz w:val="20"/>
                    <w:lang w:eastAsia="lt-LT"/>
                  </w:rPr>
                  <w:t>2. Papildyti 217 straipsnį 4 dalimi:</w:t>
                </w:r>
              </w:p>
              <w:p w14:paraId="5507E5AE" w14:textId="1A808AB2">
                <w:pPr>
                  <w:jc w:val="both"/>
                  <w:rPr>
                    <w:sz w:val="20"/>
                    <w:lang w:eastAsia="lt-LT"/>
                  </w:rPr>
                </w:pPr>
                <w:r>
                  <w:rPr>
                    <w:b/>
                    <w:bCs/>
                    <w:sz w:val="20"/>
                    <w:lang w:eastAsia="lt-LT"/>
                  </w:rPr>
                  <w:t>„4. Teismas gali nukrypti nuo Lietuvos Respublikos civilinio proceso kodekse nustatytų bylinėjimosi išlaidų paskirstymo taisyklių bylose, susijusiose su ieškiniu dėl diskriminacijos darbo užmokesčio srityje, atsižvelgdamas į tai, ar šalių procesinis elgesys buvo tinkamas, ir įvertindamas priežastis, dėl kurių susidarė bylinėjimosi išlaidos. Šalies procesinis elgesys laikomas tinkamu, jeigu ji sąžiningai naudojosi procesinėmis teisėmis ir sąžiningai atliko procesines pareigas.“</w:t>
                </w:r>
              </w:p>
            </w:tc>
            <w:tc>
              <w:tcPr>
                <w:tcW w:w="1572" w:type="dxa"/>
                <w:shd w:val="clear" w:color="auto" w:fill="FFFFFF" w:themeFill="background1"/>
              </w:tcPr>
              <w:p w14:paraId="4C4CC83E" w14:textId="3C646873">
                <w:pPr>
                  <w:jc w:val="both"/>
                  <w:rPr>
                    <w:color w:val="000000"/>
                    <w:sz w:val="20"/>
                  </w:rPr>
                </w:pPr>
                <w:r>
                  <w:rPr>
                    <w:color w:val="000000"/>
                    <w:sz w:val="20"/>
                  </w:rPr>
                  <w:t>Visiškas</w:t>
                </w:r>
              </w:p>
              <w:p w14:paraId="0E519C39" w14:textId="77777777">
                <w:pPr>
                  <w:jc w:val="both"/>
                  <w:rPr>
                    <w:color w:val="000000"/>
                    <w:sz w:val="20"/>
                  </w:rPr>
                </w:pPr>
              </w:p>
              <w:p w14:paraId="2B031CA1" w14:textId="24CCBCB0">
                <w:pPr>
                  <w:jc w:val="both"/>
                  <w:rPr>
                    <w:color w:val="000000"/>
                    <w:sz w:val="20"/>
                  </w:rPr>
                </w:pPr>
              </w:p>
            </w:tc>
          </w:tr>
          <w:tr w14:paraId="560B56E8" w14:textId="77777777">
            <w:tc>
              <w:tcPr>
                <w:tcW w:w="15310" w:type="dxa"/>
                <w:gridSpan w:val="3"/>
                <w:shd w:val="clear" w:color="auto" w:fill="D6E3BC" w:themeFill="accent3" w:themeFillTint="66"/>
              </w:tcPr>
              <w:p w14:paraId="10959895" w14:textId="704C50F6">
                <w:pPr>
                  <w:jc w:val="both"/>
                  <w:rPr>
                    <w:b/>
                    <w:bCs/>
                    <w:sz w:val="20"/>
                  </w:rPr>
                </w:pPr>
                <w:r>
                  <w:rPr>
                    <w:b/>
                    <w:bCs/>
                    <w:sz w:val="20"/>
                  </w:rPr>
                  <w:t>23 straipsnis. Sankcijos</w:t>
                </w:r>
              </w:p>
            </w:tc>
          </w:tr>
          <w:tr w14:paraId="6A31BF43" w14:textId="77777777">
            <w:tc>
              <w:tcPr>
                <w:tcW w:w="8391" w:type="dxa"/>
                <w:shd w:val="clear" w:color="auto" w:fill="FFFFFF" w:themeFill="background1"/>
              </w:tcPr>
              <w:p w14:paraId="4A455DBD" w14:textId="174C104B">
                <w:pPr>
                  <w:jc w:val="both"/>
                  <w:rPr>
                    <w:bCs/>
                    <w:sz w:val="20"/>
                  </w:rPr>
                </w:pPr>
                <w:r>
                  <w:rPr>
                    <w:bCs/>
                    <w:sz w:val="20"/>
                  </w:rPr>
                  <w:t>1.   Valstybės narės nustato taisykles dėl veiksmingų, proporcingų ir atgrasomų sankcijų, taikytinų už teisių ir pareigų, susijusių su vienodo darbo užmokesčio principu, pažeidimus. Valstybės narės imasi visų būtinų priemonių užtikrinti, kad tos taisyklės būtų įgyvendinamos, ir nedelsdamos praneša Komisijai apie tas taisykles bei tas priemones ir apie visus vėlesnius joms įtakos turinčius pakeitimus.</w:t>
                </w:r>
              </w:p>
            </w:tc>
            <w:tc>
              <w:tcPr>
                <w:tcW w:w="5347" w:type="dxa"/>
                <w:shd w:val="clear" w:color="auto" w:fill="FFFFFF" w:themeFill="background1"/>
              </w:tcPr>
              <w:p w14:paraId="3ECE5634" w14:textId="2E61CC28">
                <w:pPr>
                  <w:jc w:val="both"/>
                  <w:rPr>
                    <w:b/>
                    <w:bCs/>
                    <w:color w:val="000000"/>
                    <w:sz w:val="20"/>
                  </w:rPr>
                </w:pPr>
                <w:r>
                  <w:rPr>
                    <w:b/>
                    <w:bCs/>
                    <w:color w:val="000000"/>
                    <w:sz w:val="20"/>
                  </w:rPr>
                  <w:t>ANK</w:t>
                </w:r>
              </w:p>
              <w:p w14:paraId="37BF07DA" w14:textId="77777777">
                <w:pPr>
                  <w:jc w:val="both"/>
                  <w:rPr>
                    <w:color w:val="000000"/>
                    <w:sz w:val="20"/>
                  </w:rPr>
                </w:pPr>
                <w:r>
                  <w:rPr>
                    <w:b/>
                    <w:bCs/>
                    <w:color w:val="000000"/>
                    <w:sz w:val="20"/>
                  </w:rPr>
                  <w:t>81 straipsnis. Moterų ir vyrų lygių teisių ir lygių galimybių pažeidimas</w:t>
                </w:r>
              </w:p>
              <w:p w14:paraId="3EB166A7" w14:textId="78D04B0F">
                <w:pPr>
                  <w:jc w:val="both"/>
                  <w:rPr>
                    <w:color w:val="000000"/>
                    <w:sz w:val="20"/>
                  </w:rPr>
                </w:pPr>
                <w:r>
                  <w:rPr>
                    <w:color w:val="000000"/>
                    <w:sz w:val="20"/>
                  </w:rPr>
                  <w:t>1. Lietuvos Respublikos moterų ir vyrų lygių galimybių įstatyme nustatytų moterų ir vyrų lygių teisių bei Lietuvos Respublikos lygių galimybių įstatyme nustatytų lygių galimybių pažeidimas užtraukia baudą juridinių asmenų vadovams, darbdaviams ar kitiems atsakingiems asmenims nuo keturiasdešimt iki penkių šimtų šešiasdešimt eurų.</w:t>
                </w:r>
              </w:p>
              <w:p w14:paraId="5BDDBE4C" w14:textId="3D448623">
                <w:pPr>
                  <w:jc w:val="both"/>
                  <w:rPr>
                    <w:color w:val="000000"/>
                    <w:sz w:val="20"/>
                  </w:rPr>
                </w:pPr>
                <w:r>
                  <w:rPr>
                    <w:color w:val="000000"/>
                    <w:sz w:val="20"/>
                  </w:rPr>
                  <w:t>2. Šio straipsnio 1 dalyje numatytas administracinis nusižengimas, padarytas pakartotinai, užtraukia baudą nuo penkių šimtų šešiasdešimt iki vieno tūkstančio dviejų šimtų eurų.</w:t>
                </w:r>
              </w:p>
              <w:p w14:paraId="7D524074" w14:textId="1DBF8409">
                <w:pPr>
                  <w:jc w:val="both"/>
                  <w:rPr>
                    <w:b/>
                    <w:bCs/>
                    <w:sz w:val="20"/>
                    <w:lang w:eastAsia="lt-LT"/>
                  </w:rPr>
                </w:pPr>
                <w:r>
                  <w:rPr>
                    <w:b/>
                    <w:bCs/>
                    <w:sz w:val="20"/>
                    <w:lang w:eastAsia="lt-LT"/>
                  </w:rPr>
                  <w:t>ANK projektas</w:t>
                </w:r>
              </w:p>
              <w:p w14:paraId="1BF2D9E9" w14:textId="77777777">
                <w:pPr>
                  <w:jc w:val="both"/>
                  <w:rPr>
                    <w:b/>
                    <w:bCs/>
                    <w:sz w:val="20"/>
                  </w:rPr>
                </w:pPr>
                <w:r>
                  <w:rPr>
                    <w:b/>
                    <w:bCs/>
                    <w:sz w:val="20"/>
                  </w:rPr>
                  <w:t>1 straipsnis. 99 straipsnio pakeitimas</w:t>
                </w:r>
              </w:p>
              <w:p w14:paraId="2A3E97FC" w14:textId="77777777">
                <w:pPr>
                  <w:jc w:val="both"/>
                  <w:rPr>
                    <w:b/>
                    <w:bCs/>
                    <w:sz w:val="20"/>
                  </w:rPr>
                </w:pPr>
                <w:r>
                  <w:rPr>
                    <w:b/>
                    <w:bCs/>
                    <w:sz w:val="20"/>
                  </w:rPr>
                  <w:t>Pakeisti 99 straipsnį ir jį išdėstyti taip:</w:t>
                </w:r>
              </w:p>
              <w:p w14:paraId="3E596EB8" w14:textId="77777777">
                <w:pPr>
                  <w:jc w:val="both"/>
                  <w:rPr>
                    <w:b/>
                    <w:bCs/>
                    <w:sz w:val="20"/>
                  </w:rPr>
                </w:pPr>
                <w:r>
                  <w:rPr>
                    <w:b/>
                    <w:bCs/>
                    <w:sz w:val="20"/>
                  </w:rPr>
                  <w:t xml:space="preserve">„99 straipsnis.  Darbo užmokesčio nustatymo, apskaičiavimo ir mokėjimo tvarkos pažeidimas </w:t>
                </w:r>
              </w:p>
              <w:p w14:paraId="145F7260" w14:textId="77CDC773">
                <w:pPr>
                  <w:jc w:val="both"/>
                  <w:rPr>
                    <w:b/>
                    <w:bCs/>
                    <w:sz w:val="20"/>
                  </w:rPr>
                </w:pPr>
                <w:r>
                  <w:rPr>
                    <w:b/>
                    <w:bCs/>
                    <w:sz w:val="20"/>
                  </w:rPr>
                  <w:t xml:space="preserve">1. Lietuvos Respublikos darbo kodekse nurodytos informacijos apie darbuotojų darbo užmokestį nepateikimas darbuotojams, darbuotojų atstovams, Valstybinei darbo inspekcijai prie Socialinės apsaugos ir darbo ministerijos, Valstybinio socialinio draudimo fondo valdybai prie Socialinės apsaugos ir darbo ministerijos, Lygių galimybių kontrolieriaus tarnybai užtraukia baudą darbdaviams ar kitiems atsakingiems asmenims nuo keturių šimtų šešiasdešimt iki septynių šimtų eurų. </w:t>
                </w:r>
              </w:p>
              <w:p w14:paraId="7BFF7D7F" w14:textId="235D88E9">
                <w:pPr>
                  <w:jc w:val="both"/>
                  <w:rPr>
                    <w:b/>
                    <w:bCs/>
                    <w:sz w:val="20"/>
                  </w:rPr>
                </w:pPr>
                <w:r>
                  <w:rPr>
                    <w:b/>
                    <w:bCs/>
                    <w:sz w:val="20"/>
                  </w:rPr>
                  <w:t xml:space="preserve">2. Šio straipsnio 1 dalyje numatytas administracinis nusižengimas, padarytas pakartotinai, užtraukia baudą nuo septynių šimtų iki vieno tūkstančio keturių šimtų eurų. </w:t>
                </w:r>
              </w:p>
              <w:p w14:paraId="724265A2" w14:textId="5E01F026">
                <w:pPr>
                  <w:jc w:val="both"/>
                  <w:rPr>
                    <w:b/>
                    <w:bCs/>
                    <w:sz w:val="20"/>
                  </w:rPr>
                </w:pPr>
                <w:r>
                  <w:rPr>
                    <w:b/>
                    <w:bCs/>
                    <w:sz w:val="20"/>
                  </w:rPr>
                  <w:t xml:space="preserve">3. Lietuvos Respublikos darbo kodekse, Lietuvos Respublikos valstybinio socialinio draudimo įstatyme, kolektyvinėje arba darbo sutartyje, darbo apmokėjimo sistemoje nustatytos darbo užmokesčio nustatymo, apskaičiavimo ir mokėjimo tvarkos pažeidimas užtraukia baudą darbdaviams ar kitiems atsakingiems asmenims nuo penkių šimtų iki vieno tūkstančio keturių šimtų penkiasdešimt eurų. </w:t>
                </w:r>
              </w:p>
              <w:p w14:paraId="123B4C6D" w14:textId="6C3FB6FF">
                <w:pPr>
                  <w:jc w:val="both"/>
                  <w:rPr>
                    <w:b/>
                    <w:bCs/>
                    <w:sz w:val="20"/>
                  </w:rPr>
                </w:pPr>
                <w:r>
                  <w:rPr>
                    <w:b/>
                    <w:bCs/>
                    <w:sz w:val="20"/>
                  </w:rPr>
                  <w:t xml:space="preserve">4. Šio straipsnio 3 dalyje numatytas administracinis nusižengimas, padarytas pakartotinai, užtraukia baudą nuo vieno tūkstančio keturių šimtų penkiasdešimt iki trijų tūkstančių eurų. </w:t>
                </w:r>
              </w:p>
              <w:p w14:paraId="07EF9EC8" w14:textId="77777777">
                <w:pPr>
                  <w:jc w:val="both"/>
                  <w:rPr>
                    <w:b/>
                    <w:bCs/>
                    <w:sz w:val="20"/>
                  </w:rPr>
                </w:pPr>
                <w:r>
                  <w:rPr>
                    <w:b/>
                    <w:bCs/>
                    <w:sz w:val="20"/>
                  </w:rPr>
                  <w:t xml:space="preserve">5. Tyčinis Lietuvos Respublikos darbo kodekse, Lietuvos Respublikos valstybinio socialinio draudimo įstatyme, kolektyvinėje arba darbo sutartyje, darbo apmokėjimo sistemoje nustatytos darbo užmokesčio nustatymo, apskaičiavimo ir mokėjimo tvarkos pažeidimas arba darbo užmokesčio ir kitų su darbo santykiais susijusių išmokų, neįtrauktų į finansinės apskaitos dokumentus, išmokėjimas </w:t>
                </w:r>
              </w:p>
              <w:p w14:paraId="2E208D74" w14:textId="714CDE9C">
                <w:pPr>
                  <w:jc w:val="both"/>
                  <w:rPr>
                    <w:b/>
                    <w:bCs/>
                    <w:sz w:val="20"/>
                  </w:rPr>
                </w:pPr>
                <w:r>
                  <w:rPr>
                    <w:b/>
                    <w:bCs/>
                    <w:sz w:val="20"/>
                  </w:rPr>
                  <w:t>užtraukia baudą darbdaviams ar kitiems atsakingiems asmenims nuo dviejų tūkstančių septynių šimtų iki šešių tūkstančių eurų.“</w:t>
                </w:r>
              </w:p>
              <w:p w14:paraId="6A5FFD43" w14:textId="7C0E3286">
                <w:pPr>
                  <w:jc w:val="both"/>
                  <w:rPr>
                    <w:b/>
                    <w:bCs/>
                    <w:sz w:val="20"/>
                  </w:rPr>
                </w:pPr>
                <w:r>
                  <w:rPr>
                    <w:b/>
                    <w:bCs/>
                    <w:sz w:val="20"/>
                  </w:rPr>
                  <w:t>ANK projektas</w:t>
                </w:r>
              </w:p>
              <w:p w14:paraId="40C0757B" w14:textId="77777777">
                <w:pPr>
                  <w:jc w:val="both"/>
                  <w:rPr>
                    <w:b/>
                    <w:bCs/>
                    <w:sz w:val="20"/>
                  </w:rPr>
                </w:pPr>
                <w:r>
                  <w:rPr>
                    <w:b/>
                    <w:bCs/>
                    <w:sz w:val="20"/>
                  </w:rPr>
                  <w:t>2 straipsnis. 589 straipsnio pakeitimas</w:t>
                </w:r>
              </w:p>
              <w:p w14:paraId="5C735C3D" w14:textId="77777777">
                <w:pPr>
                  <w:jc w:val="both"/>
                  <w:rPr>
                    <w:b/>
                    <w:bCs/>
                    <w:sz w:val="20"/>
                  </w:rPr>
                </w:pPr>
                <w:r>
                  <w:rPr>
                    <w:b/>
                    <w:bCs/>
                    <w:sz w:val="20"/>
                  </w:rPr>
                  <w:t>1. Pakeisti 589 straipsnio 3 punktą ir jį išdėstyti taip:</w:t>
                </w:r>
              </w:p>
              <w:p w14:paraId="50A67B62" w14:textId="77777777">
                <w:pPr>
                  <w:jc w:val="both"/>
                  <w:rPr>
                    <w:b/>
                    <w:bCs/>
                    <w:sz w:val="20"/>
                  </w:rPr>
                </w:pPr>
                <w:r>
                  <w:rPr>
                    <w:b/>
                    <w:bCs/>
                    <w:sz w:val="20"/>
                  </w:rPr>
                  <w:t>„3) Lygių galimybių kontrolieriaus tarnybos – dėl šio kodekso 81 straipsnyje, 99 straipsnio 1 ir 2 dalyse, 505 ir 507 straipsniuose numatytų administracinių nusižengimų;“</w:t>
                </w:r>
              </w:p>
              <w:p w14:paraId="1DD835AC" w14:textId="77777777">
                <w:pPr>
                  <w:jc w:val="both"/>
                  <w:rPr>
                    <w:b/>
                    <w:bCs/>
                    <w:sz w:val="20"/>
                  </w:rPr>
                </w:pPr>
                <w:r>
                  <w:rPr>
                    <w:b/>
                    <w:bCs/>
                    <w:sz w:val="20"/>
                  </w:rPr>
                  <w:t>2. Pakeisti 589 straipsnio 72 punktą ir jį išdėstyti taip:</w:t>
                </w:r>
              </w:p>
              <w:p w14:paraId="2DD25186" w14:textId="0A8FBD83">
                <w:pPr>
                  <w:jc w:val="both"/>
                  <w:rPr>
                    <w:b/>
                    <w:bCs/>
                    <w:sz w:val="20"/>
                  </w:rPr>
                </w:pPr>
                <w:r>
                  <w:rPr>
                    <w:b/>
                    <w:bCs/>
                    <w:sz w:val="20"/>
                  </w:rPr>
                  <w:t>„72) Valstybinio socialinio draudimo fondo valdybos prie Socialinės apsaugos ir darbo ministerijos ir jos teritorinių skyrių – dėl šio kodekso 99 straipsnio 1 ir 2 dalyse, 187 straipsnio 4 dalyje, 193, 505 ir 507 straipsniuose numatytų administracinių nusižengimų;“.</w:t>
                </w:r>
              </w:p>
              <w:p w14:paraId="307D1C7C" w14:textId="328BD3E6">
                <w:pPr>
                  <w:jc w:val="both"/>
                  <w:textAlignment w:val="baseline"/>
                  <w:rPr>
                    <w:b/>
                    <w:bCs/>
                    <w:sz w:val="20"/>
                  </w:rPr>
                </w:pPr>
                <w:r>
                  <w:rPr>
                    <w:b/>
                    <w:bCs/>
                    <w:sz w:val="20"/>
                  </w:rPr>
                  <w:t>Lietuvos Respublikos administracinių nusižengimų kodekso 72 ir 589 straipsnių pakeitimo įstatymas Nr. XIV-2916</w:t>
                </w:r>
              </w:p>
              <w:p w14:paraId="4ABA9F4E" w14:textId="77777777">
                <w:pPr>
                  <w:jc w:val="both"/>
                  <w:textAlignment w:val="baseline"/>
                  <w:rPr>
                    <w:sz w:val="20"/>
                  </w:rPr>
                </w:pPr>
                <w:r>
                  <w:rPr>
                    <w:b/>
                    <w:bCs/>
                    <w:sz w:val="20"/>
                  </w:rPr>
                  <w:t>2 straipsnis. 589 straipsnio pakeitimas</w:t>
                </w:r>
              </w:p>
              <w:p w14:paraId="747E6081" w14:textId="77777777">
                <w:pPr>
                  <w:textAlignment w:val="baseline"/>
                  <w:rPr>
                    <w:sz w:val="20"/>
                  </w:rPr>
                </w:pPr>
                <w:r>
                  <w:rPr>
                    <w:sz w:val="20"/>
                  </w:rPr>
                  <w:t>5. Pakeisti 589 straipsnio 58 punktą ir jį išdėstyti taip:</w:t>
                </w:r>
              </w:p>
              <w:p w14:paraId="6229F0C7" w14:textId="638A2F2F">
                <w:pPr>
                  <w:jc w:val="both"/>
                  <w:textAlignment w:val="baseline"/>
                  <w:rPr>
                    <w:sz w:val="20"/>
                  </w:rPr>
                </w:pPr>
                <w:r>
                  <w:rPr>
                    <w:sz w:val="20"/>
                  </w:rPr>
                  <w:t>„58) Valstybinės darbo inspekcijos prie Socialinės apsaugos ir darbo ministerijos – dėl šio kodekso 47</w:t>
                </w:r>
                <w:r>
                  <w:rPr>
                    <w:sz w:val="20"/>
                    <w:vertAlign w:val="superscript"/>
                  </w:rPr>
                  <w:t>1</w:t>
                </w:r>
                <w:r>
                  <w:rPr>
                    <w:sz w:val="20"/>
                  </w:rPr>
                  <w:t> straipsnyje, 72 straipsnio 4, 5, 6, 7 dalyse, 95, 96, 97, 98, 98</w:t>
                </w:r>
                <w:r>
                  <w:rPr>
                    <w:sz w:val="20"/>
                    <w:vertAlign w:val="superscript"/>
                  </w:rPr>
                  <w:t>1</w:t>
                </w:r>
                <w:r>
                  <w:rPr>
                    <w:sz w:val="20"/>
                  </w:rPr>
                  <w:t>, 99, 100, 101, 102, 103, 104, 105, 106, 127, 150, 224 straipsniuose, 234 straipsnio 4 dalyje, 308 straipsnio 1, 2, 11, 16, 19, 20, 21, 22 dalyse, 308</w:t>
                </w:r>
                <w:r>
                  <w:rPr>
                    <w:sz w:val="20"/>
                    <w:vertAlign w:val="superscript"/>
                  </w:rPr>
                  <w:t>1</w:t>
                </w:r>
                <w:r>
                  <w:rPr>
                    <w:sz w:val="20"/>
                  </w:rPr>
                  <w:t> straipsnio 4, 6, 7 dalyse, 362</w:t>
                </w:r>
                <w:r>
                  <w:rPr>
                    <w:sz w:val="20"/>
                    <w:vertAlign w:val="superscript"/>
                  </w:rPr>
                  <w:t>1</w:t>
                </w:r>
                <w:r>
                  <w:rPr>
                    <w:sz w:val="20"/>
                  </w:rPr>
                  <w:t> straipsnyje, 453 straipsnio 10, 11 dalyse, 455, 505, 507 straipsniuose, 542 straipsnio 2, 3 dalyse numatytų administracinių nusižengimų;“</w:t>
                </w:r>
              </w:p>
            </w:tc>
            <w:tc>
              <w:tcPr>
                <w:tcW w:w="1572" w:type="dxa"/>
                <w:shd w:val="clear" w:color="auto" w:fill="FFFFFF" w:themeFill="background1"/>
              </w:tcPr>
              <w:p w14:paraId="6573DA06" w14:textId="70F8F35A">
                <w:pPr>
                  <w:jc w:val="both"/>
                  <w:rPr>
                    <w:color w:val="000000"/>
                    <w:sz w:val="20"/>
                  </w:rPr>
                </w:pPr>
                <w:r>
                  <w:rPr>
                    <w:color w:val="000000"/>
                    <w:sz w:val="20"/>
                  </w:rPr>
                  <w:t>Visiškas</w:t>
                </w:r>
              </w:p>
              <w:p w14:paraId="0A7DF505" w14:textId="167B9CB8">
                <w:pPr>
                  <w:jc w:val="both"/>
                  <w:rPr>
                    <w:color w:val="000000"/>
                    <w:sz w:val="20"/>
                  </w:rPr>
                </w:pPr>
              </w:p>
              <w:p w14:paraId="7E06E951" w14:textId="680029AD">
                <w:pPr>
                  <w:jc w:val="both"/>
                  <w:rPr>
                    <w:color w:val="000000"/>
                    <w:sz w:val="20"/>
                  </w:rPr>
                </w:pPr>
              </w:p>
            </w:tc>
          </w:tr>
          <w:tr w14:paraId="72EDF364" w14:textId="77777777">
            <w:tc>
              <w:tcPr>
                <w:tcW w:w="8391" w:type="dxa"/>
                <w:shd w:val="clear" w:color="auto" w:fill="FFFFFF" w:themeFill="background1"/>
              </w:tcPr>
              <w:p w14:paraId="381F4013" w14:textId="2604BD23">
                <w:pPr>
                  <w:jc w:val="both"/>
                  <w:rPr>
                    <w:bCs/>
                    <w:sz w:val="20"/>
                  </w:rPr>
                </w:pPr>
                <w:r>
                  <w:rPr>
                    <w:bCs/>
                    <w:sz w:val="20"/>
                  </w:rPr>
                  <w:t>2.   Valstybės narės užtikrina, kad 1 dalyje nurodytomis sankcijomis būtų užtikrintas realus atgrasomasis poveikis teisių ir pareigų, susijusių su vienodo darbo užmokesčio principu, pažeidimų atžvilgiu. Tos sankcijos apima baudas, kurios nustatomos remiantis nacionaline teise.</w:t>
                </w:r>
              </w:p>
            </w:tc>
            <w:tc>
              <w:tcPr>
                <w:tcW w:w="5347" w:type="dxa"/>
                <w:shd w:val="clear" w:color="auto" w:fill="FFFFFF" w:themeFill="background1"/>
              </w:tcPr>
              <w:p w14:paraId="3415F000" w14:textId="77777777">
                <w:pPr>
                  <w:jc w:val="both"/>
                  <w:rPr>
                    <w:b/>
                    <w:bCs/>
                    <w:sz w:val="20"/>
                    <w:lang w:eastAsia="lt-LT"/>
                  </w:rPr>
                </w:pPr>
                <w:r>
                  <w:rPr>
                    <w:b/>
                    <w:bCs/>
                    <w:sz w:val="20"/>
                    <w:lang w:eastAsia="lt-LT"/>
                  </w:rPr>
                  <w:t>ANK projektas</w:t>
                </w:r>
              </w:p>
              <w:p w14:paraId="48A50BC9" w14:textId="77777777">
                <w:pPr>
                  <w:jc w:val="both"/>
                  <w:rPr>
                    <w:b/>
                    <w:bCs/>
                    <w:sz w:val="20"/>
                  </w:rPr>
                </w:pPr>
                <w:r>
                  <w:rPr>
                    <w:b/>
                    <w:bCs/>
                    <w:sz w:val="20"/>
                  </w:rPr>
                  <w:t>1 straipsnis. 99 straipsnio pakeitimas</w:t>
                </w:r>
              </w:p>
              <w:p w14:paraId="1B413012" w14:textId="77777777">
                <w:pPr>
                  <w:jc w:val="both"/>
                  <w:rPr>
                    <w:b/>
                    <w:bCs/>
                    <w:sz w:val="20"/>
                  </w:rPr>
                </w:pPr>
                <w:r>
                  <w:rPr>
                    <w:b/>
                    <w:bCs/>
                    <w:sz w:val="20"/>
                  </w:rPr>
                  <w:t>Pakeisti 99 straipsnį ir jį išdėstyti taip:</w:t>
                </w:r>
              </w:p>
              <w:p w14:paraId="2EDDE214" w14:textId="77777777">
                <w:pPr>
                  <w:jc w:val="both"/>
                  <w:rPr>
                    <w:b/>
                    <w:bCs/>
                    <w:sz w:val="20"/>
                  </w:rPr>
                </w:pPr>
                <w:r>
                  <w:rPr>
                    <w:b/>
                    <w:bCs/>
                    <w:sz w:val="20"/>
                  </w:rPr>
                  <w:t xml:space="preserve">„99 straipsnis.  Darbo užmokesčio nustatymo, apskaičiavimo ir mokėjimo tvarkos pažeidimas </w:t>
                </w:r>
              </w:p>
              <w:p w14:paraId="1C041010" w14:textId="019AAF94">
                <w:pPr>
                  <w:jc w:val="both"/>
                  <w:rPr>
                    <w:b/>
                    <w:bCs/>
                    <w:sz w:val="20"/>
                  </w:rPr>
                </w:pPr>
                <w:r>
                  <w:rPr>
                    <w:b/>
                    <w:bCs/>
                    <w:sz w:val="20"/>
                  </w:rPr>
                  <w:t xml:space="preserve">1. Lietuvos Respublikos darbo kodekse nurodytos informacijos apie darbuotojų darbo užmokestį nepateikimas darbuotojams, darbuotojų atstovams, Valstybinei darbo inspekcijai prie Socialinės apsaugos ir darbo ministerijos, Valstybinio socialinio draudimo fondo valdybai prie Socialinės apsaugos ir darbo ministerijos, Lygių galimybių kontrolieriaus tarnybai užtraukia baudą darbdaviams ar kitiems atsakingiems asmenims nuo keturių šimtų šešiasdešimt iki septynių šimtų eurų. </w:t>
                </w:r>
              </w:p>
              <w:p w14:paraId="1DC31C9E" w14:textId="57CEC040">
                <w:pPr>
                  <w:jc w:val="both"/>
                  <w:rPr>
                    <w:b/>
                    <w:bCs/>
                    <w:sz w:val="20"/>
                  </w:rPr>
                </w:pPr>
                <w:r>
                  <w:rPr>
                    <w:b/>
                    <w:bCs/>
                    <w:sz w:val="20"/>
                  </w:rPr>
                  <w:t xml:space="preserve">2. Šio straipsnio 1 dalyje numatytas administracinis nusižengimas, padarytas pakartotinai, užtraukia baudą nuo septynių šimtų iki vieno tūkstančio keturių šimtų eurų. </w:t>
                </w:r>
              </w:p>
              <w:p w14:paraId="2B06A49C" w14:textId="2E4246F5">
                <w:pPr>
                  <w:jc w:val="both"/>
                  <w:rPr>
                    <w:b/>
                    <w:bCs/>
                    <w:sz w:val="20"/>
                  </w:rPr>
                </w:pPr>
                <w:r>
                  <w:rPr>
                    <w:b/>
                    <w:bCs/>
                    <w:sz w:val="20"/>
                  </w:rPr>
                  <w:t xml:space="preserve">3. Lietuvos Respublikos darbo kodekse, Lietuvos Respublikos valstybinio socialinio draudimo įstatyme, kolektyvinėje arba darbo sutartyje, darbo apmokėjimo sistemoje nustatytos darbo užmokesčio nustatymo, apskaičiavimo ir mokėjimo tvarkos pažeidimas užtraukia baudą darbdaviams ar kitiems atsakingiems asmenims nuo penkių šimtų iki vieno tūkstančio keturių šimtų penkiasdešimt eurų. </w:t>
                </w:r>
              </w:p>
              <w:p w14:paraId="60EE8341" w14:textId="7CD2C3FD">
                <w:pPr>
                  <w:jc w:val="both"/>
                  <w:rPr>
                    <w:b/>
                    <w:bCs/>
                    <w:sz w:val="20"/>
                  </w:rPr>
                </w:pPr>
                <w:r>
                  <w:rPr>
                    <w:b/>
                    <w:bCs/>
                    <w:sz w:val="20"/>
                  </w:rPr>
                  <w:t xml:space="preserve">4. Šio straipsnio 3 dalyje numatytas administracinis nusižengimas, padarytas pakartotinai, užtraukia baudą nuo vieno tūkstančio keturių šimtų penkiasdešimt iki trijų tūkstančių eurų. </w:t>
                </w:r>
              </w:p>
              <w:p w14:paraId="392E44B5" w14:textId="77777777">
                <w:pPr>
                  <w:jc w:val="both"/>
                  <w:rPr>
                    <w:b/>
                    <w:bCs/>
                    <w:sz w:val="20"/>
                  </w:rPr>
                </w:pPr>
                <w:r>
                  <w:rPr>
                    <w:b/>
                    <w:bCs/>
                    <w:sz w:val="20"/>
                  </w:rPr>
                  <w:t xml:space="preserve">5. Tyčinis Lietuvos Respublikos darbo kodekse, Lietuvos Respublikos valstybinio socialinio draudimo įstatyme, kolektyvinėje arba darbo sutartyje, darbo apmokėjimo sistemoje nustatytos darbo užmokesčio nustatymo, apskaičiavimo ir mokėjimo tvarkos pažeidimas arba darbo užmokesčio ir kitų su darbo santykiais susijusių išmokų, neįtrauktų į finansinės apskaitos dokumentus, išmokėjimas </w:t>
                </w:r>
              </w:p>
              <w:p w14:paraId="21E9E99A" w14:textId="3F0EA367">
                <w:pPr>
                  <w:jc w:val="both"/>
                  <w:rPr>
                    <w:sz w:val="20"/>
                    <w:lang w:eastAsia="lt-LT"/>
                  </w:rPr>
                </w:pPr>
                <w:r>
                  <w:rPr>
                    <w:b/>
                    <w:bCs/>
                    <w:sz w:val="20"/>
                  </w:rPr>
                  <w:t>užtraukia baudą darbdaviams ar kitiems atsakingiems asmenims nuo dviejų tūkstančių septynių šimtų iki šešių tūkstančių eurų.“</w:t>
                </w:r>
              </w:p>
            </w:tc>
            <w:tc>
              <w:tcPr>
                <w:tcW w:w="1572" w:type="dxa"/>
                <w:shd w:val="clear" w:color="auto" w:fill="FFFFFF" w:themeFill="background1"/>
              </w:tcPr>
              <w:p w14:paraId="25B3847A" w14:textId="5E63513B">
                <w:pPr>
                  <w:jc w:val="both"/>
                  <w:rPr>
                    <w:color w:val="000000"/>
                    <w:sz w:val="20"/>
                  </w:rPr>
                </w:pPr>
                <w:r>
                  <w:rPr>
                    <w:color w:val="000000"/>
                    <w:sz w:val="20"/>
                  </w:rPr>
                  <w:t>Visiškas</w:t>
                </w:r>
              </w:p>
            </w:tc>
          </w:tr>
          <w:tr w14:paraId="2BF77BDE" w14:textId="77777777">
            <w:tc>
              <w:tcPr>
                <w:tcW w:w="8391" w:type="dxa"/>
                <w:shd w:val="clear" w:color="auto" w:fill="FFFFFF" w:themeFill="background1"/>
              </w:tcPr>
              <w:p w14:paraId="7992C63F" w14:textId="78FDAE27">
                <w:pPr>
                  <w:jc w:val="both"/>
                  <w:rPr>
                    <w:bCs/>
                    <w:sz w:val="20"/>
                  </w:rPr>
                </w:pPr>
                <w:r>
                  <w:rPr>
                    <w:bCs/>
                    <w:sz w:val="20"/>
                  </w:rPr>
                  <w:t>3.   Nustatant 1 dalyje nurodytas sankcijas atsižvelgiama į visas atitinkamas sunkinančias ar lengvinančias aplinkybes, susijusias su konkrečiu pažeidimu, kuris gali apimti daugialypę diskriminaciją.</w:t>
                </w:r>
              </w:p>
            </w:tc>
            <w:tc>
              <w:tcPr>
                <w:tcW w:w="5347" w:type="dxa"/>
                <w:shd w:val="clear" w:color="auto" w:fill="FFFFFF" w:themeFill="background1"/>
              </w:tcPr>
              <w:p w14:paraId="54A38ACA" w14:textId="080438DD">
                <w:pPr>
                  <w:jc w:val="both"/>
                  <w:rPr>
                    <w:b/>
                    <w:bCs/>
                    <w:color w:val="000000"/>
                    <w:sz w:val="20"/>
                  </w:rPr>
                </w:pPr>
                <w:r>
                  <w:rPr>
                    <w:b/>
                    <w:bCs/>
                    <w:color w:val="000000"/>
                    <w:sz w:val="20"/>
                  </w:rPr>
                  <w:t>ANK</w:t>
                </w:r>
              </w:p>
              <w:p w14:paraId="5B74D1A8" w14:textId="77777777">
                <w:pPr>
                  <w:rPr>
                    <w:b/>
                    <w:bCs/>
                    <w:color w:val="000000"/>
                    <w:sz w:val="20"/>
                  </w:rPr>
                </w:pPr>
                <w:r>
                  <w:rPr>
                    <w:b/>
                    <w:bCs/>
                    <w:color w:val="000000"/>
                    <w:sz w:val="20"/>
                  </w:rPr>
                  <w:t>35 straipsnis. Atsakomybę lengvinančios aplinkybės</w:t>
                </w:r>
              </w:p>
              <w:p w14:paraId="2B9C0FAC" w14:textId="77777777">
                <w:pPr>
                  <w:jc w:val="both"/>
                  <w:rPr>
                    <w:color w:val="000000"/>
                    <w:sz w:val="20"/>
                  </w:rPr>
                </w:pPr>
                <w:r>
                  <w:rPr>
                    <w:color w:val="000000"/>
                    <w:sz w:val="20"/>
                  </w:rPr>
                  <w:t>1. Atsakomybę lengvinančios aplinkybės yra šios:</w:t>
                </w:r>
              </w:p>
              <w:p w14:paraId="1D11F3B5" w14:textId="77777777">
                <w:pPr>
                  <w:jc w:val="both"/>
                  <w:rPr>
                    <w:color w:val="000000"/>
                    <w:sz w:val="20"/>
                  </w:rPr>
                </w:pPr>
                <w:r>
                  <w:rPr>
                    <w:color w:val="000000"/>
                    <w:sz w:val="20"/>
                  </w:rPr>
                  <w:t>1) kaltininkas prisipažino padaręs šiame kodekse numatytą administracinį nusižengimą ir nuoširdžiai gailisi arba padėjo jį išaiškinti;</w:t>
                </w:r>
              </w:p>
              <w:p w14:paraId="54BF1F66" w14:textId="77777777">
                <w:pPr>
                  <w:jc w:val="both"/>
                  <w:rPr>
                    <w:color w:val="000000"/>
                    <w:sz w:val="20"/>
                  </w:rPr>
                </w:pPr>
                <w:r>
                  <w:rPr>
                    <w:color w:val="000000"/>
                    <w:sz w:val="20"/>
                  </w:rPr>
                  <w:t>2) kaltininkas savo noru atlygino nuostolius ar pašalino padarytą žalą;</w:t>
                </w:r>
              </w:p>
              <w:p w14:paraId="4324722F" w14:textId="77777777">
                <w:pPr>
                  <w:jc w:val="both"/>
                  <w:rPr>
                    <w:color w:val="000000"/>
                    <w:sz w:val="20"/>
                  </w:rPr>
                </w:pPr>
                <w:r>
                  <w:rPr>
                    <w:color w:val="000000"/>
                    <w:sz w:val="20"/>
                  </w:rPr>
                  <w:t>3) administracinis nusižengimas padarytas dėl labai sunkios kaltininko materialinės padėties;</w:t>
                </w:r>
              </w:p>
              <w:p w14:paraId="683D3EA7" w14:textId="77777777">
                <w:pPr>
                  <w:jc w:val="both"/>
                  <w:rPr>
                    <w:color w:val="000000"/>
                    <w:sz w:val="20"/>
                  </w:rPr>
                </w:pPr>
                <w:r>
                  <w:rPr>
                    <w:color w:val="000000"/>
                    <w:sz w:val="20"/>
                  </w:rPr>
                  <w:t>4) administracinis nusižengimas padarytas dėl psichinės ar fizinės prievartos;</w:t>
                </w:r>
              </w:p>
              <w:p w14:paraId="109974BF" w14:textId="77777777">
                <w:pPr>
                  <w:jc w:val="both"/>
                  <w:rPr>
                    <w:color w:val="000000"/>
                    <w:sz w:val="20"/>
                  </w:rPr>
                </w:pPr>
                <w:r>
                  <w:rPr>
                    <w:color w:val="000000"/>
                    <w:sz w:val="20"/>
                  </w:rPr>
                  <w:t>5) administracinis nusižengimas padarytas pažeidžiant įstatymų uždraustą veiką padariusio asmens sulaikymo, profesinių pareigų atlikimo arba teisėsaugos institucijos užduoties vykdymo, būtinojo reikalingumo, pateisinamos profesinės ar ūkinės rizikos, mokslinio eksperimento teisėtumo sąlygas;</w:t>
                </w:r>
              </w:p>
              <w:p w14:paraId="6A208253" w14:textId="77777777">
                <w:pPr>
                  <w:jc w:val="both"/>
                  <w:rPr>
                    <w:color w:val="000000"/>
                    <w:sz w:val="20"/>
                  </w:rPr>
                </w:pPr>
                <w:r>
                  <w:rPr>
                    <w:color w:val="000000"/>
                    <w:sz w:val="20"/>
                  </w:rPr>
                  <w:t>6) administracinis nusižengimas padarytas peržengiant būtinosios ginties ribas;</w:t>
                </w:r>
              </w:p>
              <w:p w14:paraId="7C349A2B" w14:textId="77777777">
                <w:pPr>
                  <w:jc w:val="both"/>
                  <w:rPr>
                    <w:color w:val="000000"/>
                    <w:sz w:val="20"/>
                  </w:rPr>
                </w:pPr>
                <w:r>
                  <w:rPr>
                    <w:color w:val="000000"/>
                    <w:sz w:val="20"/>
                  </w:rPr>
                  <w:t>7) administracinis nusižengimas padarytas dėl didelio susijaudinimo, kurį sukėlė neteisėti nukentėjusio asmens veiksmai;</w:t>
                </w:r>
              </w:p>
              <w:p w14:paraId="090B52AB" w14:textId="77777777">
                <w:pPr>
                  <w:jc w:val="both"/>
                  <w:rPr>
                    <w:color w:val="000000"/>
                    <w:sz w:val="20"/>
                  </w:rPr>
                </w:pPr>
                <w:r>
                  <w:rPr>
                    <w:color w:val="000000"/>
                    <w:sz w:val="20"/>
                  </w:rPr>
                  <w:t>8) administracinį nusižengimą padarė nėščia moteris, jeigu ši aplinkybė turėjo įtakos nusižengimo padarymui;</w:t>
                </w:r>
              </w:p>
              <w:p w14:paraId="126F2518" w14:textId="77777777">
                <w:pPr>
                  <w:jc w:val="both"/>
                  <w:rPr>
                    <w:color w:val="000000"/>
                    <w:sz w:val="20"/>
                  </w:rPr>
                </w:pPr>
                <w:r>
                  <w:rPr>
                    <w:color w:val="000000"/>
                    <w:sz w:val="20"/>
                  </w:rPr>
                  <w:t>9) administracinį nusižengimą padarė asmuo, kuriam nustatytas 0–40 procentų darbingumo lygis arba didelių ar vidutinių specialiųjų poreikių lygis, arba 65 metų sulaukęs asmuo;</w:t>
                </w:r>
              </w:p>
              <w:p w14:paraId="4CEEBB52" w14:textId="77777777">
                <w:pPr>
                  <w:jc w:val="both"/>
                  <w:rPr>
                    <w:color w:val="000000"/>
                    <w:sz w:val="20"/>
                  </w:rPr>
                </w:pPr>
                <w:r>
                  <w:rPr>
                    <w:color w:val="000000"/>
                    <w:sz w:val="20"/>
                  </w:rPr>
                  <w:t>10) asmuo sutinka dalyvauti alkoholizmo ir narkomanijos prevencijos, ankstyvosios intervencijos, sveikatos priežiūros, resocializacijos, bendravimo su vaikais tobulinimo, smurtinio elgesio keitimo ar kitose programose (kursuose).</w:t>
                </w:r>
              </w:p>
              <w:p w14:paraId="7D951C11" w14:textId="77777777">
                <w:pPr>
                  <w:jc w:val="both"/>
                  <w:rPr>
                    <w:color w:val="000000"/>
                    <w:sz w:val="20"/>
                  </w:rPr>
                </w:pPr>
                <w:r>
                  <w:rPr>
                    <w:color w:val="000000"/>
                    <w:sz w:val="20"/>
                  </w:rPr>
                  <w:t>2. Teismas ar administracinio nusižengimo bylą ne teismo tvarka nagrinėjanti institucija (pareigūnas) gali ir kitas šio straipsnio 1 dalyje nenurodytas aplinkybes pripažinti atsakomybę lengvinančiomis aplinkybėmis.</w:t>
                </w:r>
              </w:p>
              <w:p w14:paraId="5A3563CF" w14:textId="37792AE5">
                <w:pPr>
                  <w:jc w:val="both"/>
                  <w:rPr>
                    <w:color w:val="000000"/>
                    <w:sz w:val="20"/>
                  </w:rPr>
                </w:pPr>
                <w:r>
                  <w:rPr>
                    <w:color w:val="000000"/>
                    <w:sz w:val="20"/>
                  </w:rPr>
                  <w:t>&lt;...&gt;</w:t>
                </w:r>
              </w:p>
              <w:p w14:paraId="655355EB" w14:textId="77777777">
                <w:pPr>
                  <w:jc w:val="both"/>
                  <w:rPr>
                    <w:b/>
                    <w:bCs/>
                    <w:color w:val="000000"/>
                    <w:sz w:val="20"/>
                  </w:rPr>
                </w:pPr>
                <w:r>
                  <w:rPr>
                    <w:b/>
                    <w:bCs/>
                    <w:color w:val="000000"/>
                    <w:sz w:val="20"/>
                  </w:rPr>
                  <w:t>36 straipsnis. Atsakomybę sunkinančios aplinkybės</w:t>
                </w:r>
              </w:p>
              <w:p w14:paraId="4913F26F" w14:textId="77777777">
                <w:pPr>
                  <w:jc w:val="both"/>
                  <w:rPr>
                    <w:color w:val="000000"/>
                    <w:sz w:val="20"/>
                  </w:rPr>
                </w:pPr>
                <w:r>
                  <w:rPr>
                    <w:color w:val="000000"/>
                    <w:sz w:val="20"/>
                  </w:rPr>
                  <w:t>1. Atsakomybę sunkinančios aplinkybės yra šios:</w:t>
                </w:r>
              </w:p>
              <w:p w14:paraId="1D4872E7" w14:textId="77777777">
                <w:pPr>
                  <w:jc w:val="both"/>
                  <w:rPr>
                    <w:color w:val="000000"/>
                    <w:sz w:val="20"/>
                  </w:rPr>
                </w:pPr>
                <w:r>
                  <w:rPr>
                    <w:color w:val="000000"/>
                    <w:sz w:val="20"/>
                  </w:rPr>
                  <w:t>1)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p w14:paraId="7F6CD4F1" w14:textId="77777777">
                <w:pPr>
                  <w:jc w:val="both"/>
                  <w:rPr>
                    <w:color w:val="000000"/>
                    <w:sz w:val="20"/>
                  </w:rPr>
                </w:pPr>
                <w:r>
                  <w:rPr>
                    <w:color w:val="000000"/>
                    <w:sz w:val="20"/>
                  </w:rPr>
                  <w:t>2) administracinis nusižengimas padarytas pasinaudojant visuomenės ar kito asmens nelaime;</w:t>
                </w:r>
              </w:p>
              <w:p w14:paraId="0D321744" w14:textId="77777777">
                <w:pPr>
                  <w:jc w:val="both"/>
                  <w:rPr>
                    <w:color w:val="000000"/>
                    <w:sz w:val="20"/>
                  </w:rPr>
                </w:pPr>
                <w:r>
                  <w:rPr>
                    <w:color w:val="000000"/>
                    <w:sz w:val="20"/>
                  </w:rPr>
                  <w:t>3) dėl administracinio nusižengimo atsirado sunkių padarinių;</w:t>
                </w:r>
              </w:p>
              <w:p w14:paraId="55B34CF7" w14:textId="77777777">
                <w:pPr>
                  <w:jc w:val="both"/>
                  <w:rPr>
                    <w:color w:val="000000"/>
                    <w:sz w:val="20"/>
                  </w:rPr>
                </w:pPr>
                <w:r>
                  <w:rPr>
                    <w:color w:val="000000"/>
                    <w:sz w:val="20"/>
                  </w:rPr>
                  <w:t>4) administracinis nusižengimas padarytas nėščiai moteriai, kai buvo žinoma ar akivaizdu, kad ji nėščia, arba neįgaliam asmeniui, kai buvo žinoma ar akivaizdu, kad jis neįgalus;</w:t>
                </w:r>
              </w:p>
              <w:p w14:paraId="5A9C8196" w14:textId="77777777">
                <w:pPr>
                  <w:jc w:val="both"/>
                  <w:rPr>
                    <w:color w:val="000000"/>
                    <w:sz w:val="20"/>
                  </w:rPr>
                </w:pPr>
                <w:r>
                  <w:rPr>
                    <w:color w:val="000000"/>
                    <w:sz w:val="20"/>
                  </w:rPr>
                  <w:t>5) į administracinio nusižengimo padarymą įtrauktas nepilnametis ir jį įtraukė pilnametis;</w:t>
                </w:r>
              </w:p>
              <w:p w14:paraId="412439E0" w14:textId="77777777">
                <w:pPr>
                  <w:jc w:val="both"/>
                  <w:rPr>
                    <w:color w:val="000000"/>
                    <w:sz w:val="20"/>
                  </w:rPr>
                </w:pPr>
                <w:r>
                  <w:rPr>
                    <w:color w:val="000000"/>
                    <w:sz w:val="20"/>
                  </w:rPr>
                  <w:t>6) administracinis nusižengimas padarytas mažamečiui;</w:t>
                </w:r>
              </w:p>
              <w:p w14:paraId="25CD0CCF" w14:textId="77777777">
                <w:pPr>
                  <w:jc w:val="both"/>
                  <w:rPr>
                    <w:color w:val="000000"/>
                    <w:sz w:val="20"/>
                  </w:rPr>
                </w:pPr>
                <w:r>
                  <w:rPr>
                    <w:color w:val="000000"/>
                    <w:sz w:val="20"/>
                  </w:rPr>
                  <w:t>7) administracinis nusižengimas padarytas reiškiant neapykantą asmeniui (asmenims) ar diskriminuojant asmenį (asmenis) dėl lyties, rasės, tautybės, kalbos, kilmės, socialinės padėties, tikėjimo, įsitikinimų, pažiūrų ar kitais pagrindais;</w:t>
                </w:r>
              </w:p>
              <w:p w14:paraId="46713126" w14:textId="77777777">
                <w:pPr>
                  <w:jc w:val="both"/>
                  <w:rPr>
                    <w:color w:val="000000"/>
                    <w:sz w:val="20"/>
                  </w:rPr>
                </w:pPr>
                <w:r>
                  <w:rPr>
                    <w:color w:val="000000"/>
                    <w:sz w:val="20"/>
                  </w:rPr>
                  <w:t>8) administracinį nusižengimą padarė neblaivus ar apsvaigęs nuo narkotinių, psichotropinių ar kitų psichiką veikiančių medžiagų asmuo ir šios aplinkybės turėjo įtakos administracinio nusižengimo padarymui;</w:t>
                </w:r>
              </w:p>
              <w:p w14:paraId="7F77515F" w14:textId="77777777">
                <w:pPr>
                  <w:jc w:val="both"/>
                  <w:rPr>
                    <w:color w:val="000000"/>
                    <w:sz w:val="20"/>
                  </w:rPr>
                </w:pPr>
                <w:r>
                  <w:rPr>
                    <w:color w:val="000000"/>
                    <w:sz w:val="20"/>
                  </w:rPr>
                  <w:t>9) administracinis nusižengimas padarytas kankinant asmenį ar tyčiojantis iš jo;</w:t>
                </w:r>
              </w:p>
              <w:p w14:paraId="1F79B029" w14:textId="77777777">
                <w:pPr>
                  <w:jc w:val="both"/>
                  <w:rPr>
                    <w:color w:val="000000"/>
                    <w:sz w:val="20"/>
                  </w:rPr>
                </w:pPr>
                <w:r>
                  <w:rPr>
                    <w:color w:val="000000"/>
                    <w:sz w:val="20"/>
                  </w:rPr>
                  <w:t>10) administracinis nusižengimas padarytas visuotinai pavojingu būdu arba naudojant sprogmenis, sprogstamąsias medžiagas arba šaunamuosius ginklus;</w:t>
                </w:r>
              </w:p>
              <w:p w14:paraId="1A67D81C" w14:textId="77777777">
                <w:pPr>
                  <w:jc w:val="both"/>
                  <w:rPr>
                    <w:color w:val="000000"/>
                    <w:sz w:val="20"/>
                  </w:rPr>
                </w:pPr>
                <w:r>
                  <w:rPr>
                    <w:color w:val="000000"/>
                    <w:sz w:val="20"/>
                  </w:rPr>
                  <w:t>11) administracinis nusižengimas padarytas iš chuliganiškų ar savanaudiškų paskatų;</w:t>
                </w:r>
              </w:p>
              <w:p w14:paraId="0ECC5CFF" w14:textId="12F4312F">
                <w:pPr>
                  <w:jc w:val="both"/>
                  <w:rPr>
                    <w:bCs/>
                    <w:color w:val="000000"/>
                    <w:sz w:val="20"/>
                  </w:rPr>
                </w:pPr>
                <w:r>
                  <w:rPr>
                    <w:color w:val="000000"/>
                    <w:sz w:val="20"/>
                  </w:rPr>
                  <w:t>12) tame pačiame šio kodekso straipsnyje numatytas administracinis nusižengimas padarytas pakartotinai, kol dar nepasibaigęs šio kodekso 40 straipsnyje nustatytas terminas.</w:t>
                </w:r>
              </w:p>
            </w:tc>
            <w:tc>
              <w:tcPr>
                <w:tcW w:w="1572" w:type="dxa"/>
                <w:shd w:val="clear" w:color="auto" w:fill="FFFFFF" w:themeFill="background1"/>
              </w:tcPr>
              <w:p w14:paraId="51184AB9" w14:textId="33A87C4B">
                <w:pPr>
                  <w:jc w:val="both"/>
                  <w:rPr>
                    <w:color w:val="000000"/>
                    <w:sz w:val="20"/>
                  </w:rPr>
                </w:pPr>
                <w:r>
                  <w:rPr>
                    <w:color w:val="000000"/>
                    <w:sz w:val="20"/>
                  </w:rPr>
                  <w:t>Visiškas</w:t>
                </w:r>
              </w:p>
            </w:tc>
          </w:tr>
          <w:tr w14:paraId="413A1D1A" w14:textId="77777777">
            <w:tc>
              <w:tcPr>
                <w:tcW w:w="8391" w:type="dxa"/>
                <w:shd w:val="clear" w:color="auto" w:fill="FFFFFF" w:themeFill="background1"/>
              </w:tcPr>
              <w:p w14:paraId="0FDC7C51" w14:textId="44C0F087">
                <w:pPr>
                  <w:jc w:val="both"/>
                  <w:rPr>
                    <w:bCs/>
                    <w:sz w:val="20"/>
                  </w:rPr>
                </w:pPr>
                <w:r>
                  <w:rPr>
                    <w:bCs/>
                    <w:sz w:val="20"/>
                  </w:rPr>
                  <w:t>4.   Valstybės narės užtikrina, kad už pakartotinius teisių ir pareigų, susijusių su vienodo darbo užmokesčio principu, pažeidimus būtų taikomos konkrečios sankcijos.</w:t>
                </w:r>
              </w:p>
            </w:tc>
            <w:tc>
              <w:tcPr>
                <w:tcW w:w="5347" w:type="dxa"/>
                <w:shd w:val="clear" w:color="auto" w:fill="FFFFFF" w:themeFill="background1"/>
              </w:tcPr>
              <w:p w14:paraId="498D2F25" w14:textId="77777777">
                <w:pPr>
                  <w:jc w:val="both"/>
                  <w:rPr>
                    <w:b/>
                    <w:bCs/>
                    <w:sz w:val="20"/>
                    <w:lang w:eastAsia="lt-LT"/>
                  </w:rPr>
                </w:pPr>
                <w:r>
                  <w:rPr>
                    <w:b/>
                    <w:bCs/>
                    <w:sz w:val="20"/>
                    <w:lang w:eastAsia="lt-LT"/>
                  </w:rPr>
                  <w:t>ANK projektas</w:t>
                </w:r>
              </w:p>
              <w:p w14:paraId="48566F97" w14:textId="77777777">
                <w:pPr>
                  <w:jc w:val="both"/>
                  <w:rPr>
                    <w:b/>
                    <w:bCs/>
                    <w:sz w:val="20"/>
                  </w:rPr>
                </w:pPr>
                <w:r>
                  <w:rPr>
                    <w:b/>
                    <w:bCs/>
                    <w:sz w:val="20"/>
                  </w:rPr>
                  <w:t>1 straipsnis. 99 straipsnio pakeitimas</w:t>
                </w:r>
              </w:p>
              <w:p w14:paraId="7F9ED4AC" w14:textId="77777777">
                <w:pPr>
                  <w:jc w:val="both"/>
                  <w:rPr>
                    <w:b/>
                    <w:bCs/>
                    <w:sz w:val="20"/>
                  </w:rPr>
                </w:pPr>
                <w:r>
                  <w:rPr>
                    <w:b/>
                    <w:bCs/>
                    <w:sz w:val="20"/>
                  </w:rPr>
                  <w:t>Pakeisti 99 straipsnį ir jį išdėstyti taip:</w:t>
                </w:r>
              </w:p>
              <w:p w14:paraId="0B51CD17" w14:textId="77777777">
                <w:pPr>
                  <w:jc w:val="both"/>
                  <w:rPr>
                    <w:b/>
                    <w:bCs/>
                    <w:sz w:val="20"/>
                  </w:rPr>
                </w:pPr>
                <w:r>
                  <w:rPr>
                    <w:b/>
                    <w:bCs/>
                    <w:sz w:val="20"/>
                  </w:rPr>
                  <w:t xml:space="preserve">„99 straipsnis.  Darbo užmokesčio nustatymo, apskaičiavimo ir mokėjimo tvarkos pažeidimas </w:t>
                </w:r>
              </w:p>
              <w:p w14:paraId="2A01CAB0" w14:textId="6768BCD4">
                <w:pPr>
                  <w:jc w:val="both"/>
                  <w:rPr>
                    <w:b/>
                    <w:bCs/>
                    <w:sz w:val="20"/>
                  </w:rPr>
                </w:pPr>
                <w:r>
                  <w:rPr>
                    <w:b/>
                    <w:bCs/>
                    <w:sz w:val="20"/>
                  </w:rPr>
                  <w:t xml:space="preserve">1. Lietuvos Respublikos darbo kodekse nurodytos informacijos apie darbuotojų darbo užmokestį nepateikimas darbuotojams, darbuotojų atstovams, Valstybinei darbo inspekcijai prie Socialinės apsaugos ir darbo ministerijos, Valstybinio socialinio draudimo fondo valdybai prie Socialinės apsaugos ir darbo ministerijos, Lygių galimybių kontrolieriaus tarnybai užtraukia baudą darbdaviams ar kitiems atsakingiems asmenims nuo keturių šimtų šešiasdešimt iki septynių šimtų eurų. </w:t>
                </w:r>
              </w:p>
              <w:p w14:paraId="4A4542B0" w14:textId="37F12362">
                <w:pPr>
                  <w:jc w:val="both"/>
                  <w:rPr>
                    <w:b/>
                    <w:bCs/>
                    <w:sz w:val="20"/>
                  </w:rPr>
                </w:pPr>
                <w:r>
                  <w:rPr>
                    <w:b/>
                    <w:bCs/>
                    <w:sz w:val="20"/>
                  </w:rPr>
                  <w:t xml:space="preserve">2. Šio straipsnio 1 dalyje numatytas administracinis nusižengimas, padarytas pakartotinai, užtraukia baudą nuo septynių šimtų iki vieno tūkstančio keturių šimtų eurų. </w:t>
                </w:r>
              </w:p>
              <w:p w14:paraId="78D623AA" w14:textId="233E5464">
                <w:pPr>
                  <w:jc w:val="both"/>
                  <w:rPr>
                    <w:b/>
                    <w:bCs/>
                    <w:sz w:val="20"/>
                  </w:rPr>
                </w:pPr>
                <w:r>
                  <w:rPr>
                    <w:b/>
                    <w:bCs/>
                    <w:sz w:val="20"/>
                  </w:rPr>
                  <w:t xml:space="preserve">3. Lietuvos Respublikos darbo kodekse, Lietuvos Respublikos valstybinio socialinio draudimo įstatyme, kolektyvinėje arba darbo sutartyje, darbo apmokėjimo sistemoje nustatytos darbo užmokesčio nustatymo, apskaičiavimo ir mokėjimo tvarkos pažeidimas užtraukia baudą darbdaviams ar kitiems atsakingiems asmenims nuo penkių šimtų iki vieno tūkstančio keturių šimtų penkiasdešimt eurų. </w:t>
                </w:r>
              </w:p>
              <w:p w14:paraId="4042DFE9" w14:textId="66234F14">
                <w:pPr>
                  <w:jc w:val="both"/>
                  <w:rPr>
                    <w:b/>
                    <w:bCs/>
                    <w:sz w:val="20"/>
                  </w:rPr>
                </w:pPr>
                <w:r>
                  <w:rPr>
                    <w:b/>
                    <w:bCs/>
                    <w:sz w:val="20"/>
                  </w:rPr>
                  <w:t xml:space="preserve">4. Šio straipsnio 3 dalyje numatytas administracinis nusižengimas, padarytas pakartotinai, užtraukia baudą nuo vieno tūkstančio keturių šimtų penkiasdešimt iki trijų tūkstančių eurų. </w:t>
                </w:r>
              </w:p>
              <w:p w14:paraId="6094B56D" w14:textId="77777777">
                <w:pPr>
                  <w:jc w:val="both"/>
                  <w:rPr>
                    <w:b/>
                    <w:bCs/>
                    <w:sz w:val="20"/>
                  </w:rPr>
                </w:pPr>
                <w:r>
                  <w:rPr>
                    <w:b/>
                    <w:bCs/>
                    <w:sz w:val="20"/>
                  </w:rPr>
                  <w:t xml:space="preserve">5. Tyčinis Lietuvos Respublikos darbo kodekse, Lietuvos Respublikos valstybinio socialinio draudimo įstatyme, kolektyvinėje arba darbo sutartyje, darbo apmokėjimo sistemoje nustatytos darbo užmokesčio nustatymo, apskaičiavimo ir mokėjimo tvarkos pažeidimas arba darbo užmokesčio ir kitų su darbo santykiais susijusių išmokų, neįtrauktų į finansinės apskaitos dokumentus, išmokėjimas </w:t>
                </w:r>
              </w:p>
              <w:p w14:paraId="1899EE12" w14:textId="4400F0E3">
                <w:pPr>
                  <w:jc w:val="both"/>
                  <w:textAlignment w:val="baseline"/>
                  <w:rPr>
                    <w:sz w:val="20"/>
                    <w:lang w:eastAsia="lt-LT"/>
                  </w:rPr>
                </w:pPr>
                <w:r>
                  <w:rPr>
                    <w:b/>
                    <w:bCs/>
                    <w:sz w:val="20"/>
                  </w:rPr>
                  <w:t>užtraukia baudą darbdaviams ar kitiems atsakingiems asmenims nuo dviejų tūkstančių septynių šimtų iki šešių tūkstančių eurų.“</w:t>
                </w:r>
              </w:p>
            </w:tc>
            <w:tc>
              <w:tcPr>
                <w:tcW w:w="1572" w:type="dxa"/>
                <w:shd w:val="clear" w:color="auto" w:fill="FFFFFF" w:themeFill="background1"/>
              </w:tcPr>
              <w:p w14:paraId="7D83582F" w14:textId="77777777">
                <w:pPr>
                  <w:jc w:val="both"/>
                  <w:rPr>
                    <w:color w:val="000000"/>
                    <w:sz w:val="20"/>
                  </w:rPr>
                </w:pPr>
                <w:r>
                  <w:rPr>
                    <w:color w:val="000000"/>
                    <w:sz w:val="20"/>
                  </w:rPr>
                  <w:t>Visiškas</w:t>
                </w:r>
              </w:p>
              <w:p w14:paraId="1880DC4D" w14:textId="77777777">
                <w:pPr>
                  <w:jc w:val="both"/>
                  <w:rPr>
                    <w:color w:val="000000"/>
                    <w:sz w:val="20"/>
                  </w:rPr>
                </w:pPr>
              </w:p>
              <w:p w14:paraId="644EE1D2" w14:textId="5C627057">
                <w:pPr>
                  <w:jc w:val="both"/>
                  <w:rPr>
                    <w:color w:val="000000"/>
                    <w:sz w:val="20"/>
                  </w:rPr>
                </w:pPr>
              </w:p>
            </w:tc>
          </w:tr>
          <w:tr w14:paraId="27117122" w14:textId="77777777">
            <w:tc>
              <w:tcPr>
                <w:tcW w:w="8391" w:type="dxa"/>
                <w:shd w:val="clear" w:color="auto" w:fill="FFFFFF" w:themeFill="background1"/>
              </w:tcPr>
              <w:p w14:paraId="0AFED036" w14:textId="2B4206EF">
                <w:pPr>
                  <w:jc w:val="both"/>
                  <w:rPr>
                    <w:bCs/>
                    <w:sz w:val="20"/>
                  </w:rPr>
                </w:pPr>
                <w:r>
                  <w:rPr>
                    <w:bCs/>
                    <w:sz w:val="20"/>
                  </w:rPr>
                  <w:t>5.   Valstybės narės imasi visų būtinų priemonių užtikrinti, kad pagal šį straipsnį numatytos sankcijos būtų veiksmingai taikomos praktikoje.</w:t>
                </w:r>
              </w:p>
            </w:tc>
            <w:tc>
              <w:tcPr>
                <w:tcW w:w="5347" w:type="dxa"/>
                <w:shd w:val="clear" w:color="auto" w:fill="FFFFFF" w:themeFill="background1"/>
              </w:tcPr>
              <w:p w14:paraId="10E02324" w14:textId="1031A33F">
                <w:pPr>
                  <w:jc w:val="both"/>
                  <w:rPr>
                    <w:b/>
                    <w:color w:val="000000"/>
                    <w:sz w:val="20"/>
                  </w:rPr>
                </w:pPr>
                <w:r>
                  <w:rPr>
                    <w:b/>
                    <w:color w:val="000000"/>
                    <w:sz w:val="20"/>
                  </w:rPr>
                  <w:t>ANK</w:t>
                </w:r>
              </w:p>
              <w:p w14:paraId="697BF014" w14:textId="77777777">
                <w:pPr>
                  <w:jc w:val="both"/>
                  <w:rPr>
                    <w:bCs/>
                    <w:color w:val="000000"/>
                    <w:sz w:val="20"/>
                  </w:rPr>
                </w:pPr>
                <w:r>
                  <w:rPr>
                    <w:b/>
                    <w:bCs/>
                    <w:color w:val="000000"/>
                    <w:sz w:val="20"/>
                  </w:rPr>
                  <w:t>676 straipsnis. Priverstinis nutarimų skirti baudą vykdymas</w:t>
                </w:r>
              </w:p>
              <w:p w14:paraId="52B6202F" w14:textId="77777777">
                <w:pPr>
                  <w:jc w:val="both"/>
                  <w:rPr>
                    <w:bCs/>
                    <w:color w:val="000000"/>
                    <w:sz w:val="20"/>
                  </w:rPr>
                </w:pPr>
                <w:r>
                  <w:rPr>
                    <w:bCs/>
                    <w:color w:val="000000"/>
                    <w:sz w:val="20"/>
                  </w:rPr>
                  <w:t>1. Jeigu pažeidėjas nesumoka baudos per šio kodekso 675 straipsnio 2 dalyje nustatytą terminą, taip pat jeigu baudos dalis nesumokama laiku pagal jos mokėjimo išdėstymo tvarką ir baudos mokėjimas dalimis nutraukiamas, nutarimas skirti baudą pateikiamas vykdyti priverstine tvarka.</w:t>
                </w:r>
              </w:p>
              <w:p w14:paraId="6C5FD0EC" w14:textId="519E39E5">
                <w:pPr>
                  <w:jc w:val="both"/>
                  <w:rPr>
                    <w:bCs/>
                    <w:color w:val="000000"/>
                    <w:sz w:val="20"/>
                  </w:rPr>
                </w:pPr>
                <w:r>
                  <w:rPr>
                    <w:bCs/>
                    <w:color w:val="000000"/>
                    <w:sz w:val="20"/>
                  </w:rPr>
                  <w:t>2. Baudą priverstinai išieško antstoliai Civilinio proceso kodekse nustatyta tvarka.</w:t>
                </w:r>
              </w:p>
              <w:p w14:paraId="6031F106" w14:textId="13A21412">
                <w:pPr>
                  <w:jc w:val="both"/>
                  <w:rPr>
                    <w:b/>
                    <w:bCs/>
                    <w:color w:val="000000"/>
                    <w:sz w:val="20"/>
                  </w:rPr>
                </w:pPr>
                <w:r>
                  <w:rPr>
                    <w:b/>
                    <w:bCs/>
                    <w:color w:val="000000"/>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 Nr. XIV-1947</w:t>
                </w:r>
              </w:p>
              <w:p w14:paraId="288731AB" w14:textId="77777777">
                <w:pPr>
                  <w:jc w:val="both"/>
                  <w:rPr>
                    <w:bCs/>
                    <w:color w:val="000000"/>
                    <w:sz w:val="20"/>
                  </w:rPr>
                </w:pPr>
                <w:r>
                  <w:rPr>
                    <w:b/>
                    <w:bCs/>
                    <w:color w:val="000000"/>
                    <w:sz w:val="20"/>
                  </w:rPr>
                  <w:t>40 straipsnis. 676 straipsnio pakeitimas</w:t>
                </w:r>
              </w:p>
              <w:p w14:paraId="65892E02" w14:textId="77777777">
                <w:pPr>
                  <w:jc w:val="both"/>
                  <w:rPr>
                    <w:bCs/>
                    <w:color w:val="000000"/>
                    <w:sz w:val="20"/>
                  </w:rPr>
                </w:pPr>
                <w:r>
                  <w:rPr>
                    <w:bCs/>
                    <w:color w:val="000000"/>
                    <w:sz w:val="20"/>
                  </w:rPr>
                  <w:t>1. Pakeisti 676 straipsnio 3 dalį ir ją išdėstyti taip:</w:t>
                </w:r>
              </w:p>
              <w:p w14:paraId="5AB6E81A" w14:textId="77777777">
                <w:pPr>
                  <w:jc w:val="both"/>
                  <w:rPr>
                    <w:bCs/>
                    <w:color w:val="000000"/>
                    <w:sz w:val="20"/>
                  </w:rPr>
                </w:pPr>
                <w:r>
                  <w:rPr>
                    <w:bCs/>
                    <w:color w:val="000000"/>
                    <w:sz w:val="20"/>
                  </w:rPr>
                  <w:t>„3.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p>
              <w:p w14:paraId="35F3246F" w14:textId="77777777">
                <w:pPr>
                  <w:jc w:val="both"/>
                  <w:rPr>
                    <w:bCs/>
                    <w:color w:val="000000"/>
                    <w:sz w:val="20"/>
                  </w:rPr>
                </w:pPr>
                <w:r>
                  <w:rPr>
                    <w:bCs/>
                    <w:color w:val="000000"/>
                    <w:sz w:val="20"/>
                  </w:rPr>
                  <w:t>2. Pakeisti 676 straipsnio 4 dalį ir ją išdėstyti taip:</w:t>
                </w:r>
              </w:p>
              <w:p w14:paraId="047BBCC1" w14:textId="26446F41">
                <w:pPr>
                  <w:jc w:val="both"/>
                  <w:rPr>
                    <w:bCs/>
                    <w:color w:val="000000"/>
                    <w:sz w:val="20"/>
                  </w:rPr>
                </w:pPr>
                <w:r>
                  <w:rPr>
                    <w:bCs/>
                    <w:color w:val="000000"/>
                    <w:sz w:val="20"/>
                  </w:rPr>
                  <w:t>„4. Šio straipsnio 3 dalyje nurodytu atveju Valstybinė mokesčių inspekcija apie tai praneša šio kodekso 673 straipsnio 1 dalyje nurodytai institucijai. Šio kodekso 673 straipsnio 1 dalyje nurodyta institucija pažeidėjo prašymu gali baudą pakeisti viešaisiais darbais.“</w:t>
                </w:r>
              </w:p>
              <w:p w14:paraId="01DFC095" w14:textId="77777777">
                <w:pPr>
                  <w:jc w:val="both"/>
                  <w:rPr>
                    <w:b/>
                    <w:color w:val="000000"/>
                    <w:sz w:val="20"/>
                  </w:rPr>
                </w:pPr>
                <w:r>
                  <w:rPr>
                    <w:b/>
                    <w:color w:val="000000"/>
                    <w:sz w:val="20"/>
                  </w:rPr>
                  <w:t>ANK</w:t>
                </w:r>
              </w:p>
              <w:p w14:paraId="5E21AE6E" w14:textId="3014CC6D">
                <w:pPr>
                  <w:jc w:val="both"/>
                  <w:rPr>
                    <w:bCs/>
                    <w:color w:val="000000"/>
                    <w:sz w:val="20"/>
                  </w:rPr>
                </w:pPr>
                <w:r>
                  <w:rPr>
                    <w:b/>
                    <w:bCs/>
                    <w:color w:val="000000"/>
                    <w:sz w:val="20"/>
                  </w:rPr>
                  <w:t>676 straipsnis. Priverstinis nutarimų skirti baudą vykdymas</w:t>
                </w:r>
              </w:p>
              <w:p w14:paraId="6C866E0C" w14:textId="78DEB3D6">
                <w:pPr>
                  <w:jc w:val="both"/>
                  <w:rPr>
                    <w:bCs/>
                    <w:color w:val="000000"/>
                    <w:sz w:val="20"/>
                  </w:rPr>
                </w:pPr>
                <w:r>
                  <w:rPr>
                    <w:bCs/>
                    <w:color w:val="000000"/>
                    <w:sz w:val="20"/>
                  </w:rPr>
                  <w:t>5.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tc>
            <w:tc>
              <w:tcPr>
                <w:tcW w:w="1572" w:type="dxa"/>
                <w:shd w:val="clear" w:color="auto" w:fill="FFFFFF" w:themeFill="background1"/>
              </w:tcPr>
              <w:p w14:paraId="7C38B8AB" w14:textId="686900BC">
                <w:pPr>
                  <w:jc w:val="both"/>
                  <w:rPr>
                    <w:color w:val="000000"/>
                    <w:sz w:val="20"/>
                  </w:rPr>
                </w:pPr>
                <w:r>
                  <w:rPr>
                    <w:color w:val="000000"/>
                    <w:sz w:val="20"/>
                  </w:rPr>
                  <w:t>Visiškas</w:t>
                </w:r>
              </w:p>
            </w:tc>
          </w:tr>
          <w:tr w14:paraId="0800C258" w14:textId="77777777">
            <w:tc>
              <w:tcPr>
                <w:tcW w:w="15310" w:type="dxa"/>
                <w:gridSpan w:val="3"/>
                <w:shd w:val="clear" w:color="auto" w:fill="D6E3BC" w:themeFill="accent3" w:themeFillTint="66"/>
              </w:tcPr>
              <w:p w14:paraId="68C27B4A" w14:textId="5A4794AA">
                <w:pPr>
                  <w:jc w:val="both"/>
                  <w:rPr>
                    <w:b/>
                    <w:bCs/>
                    <w:sz w:val="20"/>
                  </w:rPr>
                </w:pPr>
                <w:r>
                  <w:rPr>
                    <w:b/>
                    <w:bCs/>
                    <w:sz w:val="20"/>
                  </w:rPr>
                  <w:t>24 straipsnis. Vienodo darbo užmokesčio nuostatos viešojo pirkimo ir koncesijos sutartyse</w:t>
                </w:r>
              </w:p>
            </w:tc>
          </w:tr>
          <w:tr w14:paraId="53453CB9" w14:textId="77777777">
            <w:tc>
              <w:tcPr>
                <w:tcW w:w="8391" w:type="dxa"/>
                <w:shd w:val="clear" w:color="auto" w:fill="FFFFFF" w:themeFill="background1"/>
              </w:tcPr>
              <w:p w14:paraId="0FBC1C98" w14:textId="2349CC2E">
                <w:pPr>
                  <w:jc w:val="both"/>
                  <w:rPr>
                    <w:bCs/>
                    <w:sz w:val="20"/>
                  </w:rPr>
                </w:pPr>
                <w:r>
                  <w:rPr>
                    <w:bCs/>
                    <w:sz w:val="20"/>
                  </w:rPr>
                  <w:t>1.   Tinkamos priemonės, kurių valstybės narės imasi pagal Direktyvos </w:t>
                </w:r>
                <w:fldSimple w:instr="HYPERLINK http://eur-lex.europa.eu/legal-content/LIT/TXT/?uri=CELEX:32014L0023&amp;locale=lt \t _blank">
                  <w:r>
                    <w:rPr>
                      <w:bCs/>
                      <w:sz w:val="20"/>
                      <w:u w:val="single"/>
                      <w:color w:val="0000FF" w:themeColor="hyperlink"/>
                    </w:rPr>
                    <w:t>2014/23/ES</w:t>
                  </w:r>
                </w:fldSimple>
                <w:r>
                  <w:rPr>
                    <w:bCs/>
                    <w:sz w:val="20"/>
                  </w:rPr>
                  <w:t xml:space="preserve"> 30 straipsnio 3 dalį, Direktyvos </w:t>
                </w:r>
                <w:fldSimple w:instr="HYPERLINK http://eur-lex.europa.eu/legal-content/LIT/TXT/?uri=CELEX:32014L0024&amp;locale=lt \t _blank">
                  <w:r>
                    <w:rPr>
                      <w:bCs/>
                      <w:sz w:val="20"/>
                      <w:u w:val="single"/>
                      <w:color w:val="0000FF" w:themeColor="hyperlink"/>
                    </w:rPr>
                    <w:t>2014/24/ES</w:t>
                  </w:r>
                </w:fldSimple>
                <w:r>
                  <w:rPr>
                    <w:bCs/>
                    <w:sz w:val="20"/>
                  </w:rPr>
                  <w:t xml:space="preserve"> 18 straipsnio 2 dalį ir Direktyvos </w:t>
                </w:r>
                <w:fldSimple w:instr="HYPERLINK http://eur-lex.europa.eu/legal-content/LIT/TXT/?uri=CELEX:32014L0025&amp;locale=lt \t _blank">
                  <w:r>
                    <w:rPr>
                      <w:bCs/>
                      <w:sz w:val="20"/>
                      <w:u w:val="single"/>
                      <w:color w:val="0000FF" w:themeColor="hyperlink"/>
                    </w:rPr>
                    <w:t>2014/25/ES</w:t>
                  </w:r>
                </w:fldSimple>
                <w:r>
                  <w:rPr>
                    <w:bCs/>
                    <w:sz w:val="20"/>
                  </w:rPr>
                  <w:t xml:space="preserve"> 36 straipsnio 2 dalį, apima priemones, kuriomis užtikrinama, kad vykdydami viešojo pirkimo ar koncesijos sutartis ekonominės veiklos vykdytojai laikytųsi su vienodo darbo užmokesčio principu susijusių pareigų.</w:t>
                </w:r>
              </w:p>
            </w:tc>
            <w:tc>
              <w:tcPr>
                <w:tcW w:w="5347" w:type="dxa"/>
                <w:shd w:val="clear" w:color="auto" w:fill="FFFFFF" w:themeFill="background1"/>
              </w:tcPr>
              <w:p w14:paraId="6585EA57" w14:textId="5E49C090">
                <w:pPr>
                  <w:jc w:val="both"/>
                  <w:rPr>
                    <w:b/>
                    <w:color w:val="000000"/>
                    <w:sz w:val="20"/>
                  </w:rPr>
                </w:pPr>
                <w:r>
                  <w:rPr>
                    <w:b/>
                    <w:color w:val="000000"/>
                    <w:sz w:val="20"/>
                  </w:rPr>
                  <w:t>VPĮ</w:t>
                </w:r>
              </w:p>
              <w:p w14:paraId="733F63CC" w14:textId="77777777">
                <w:pPr>
                  <w:jc w:val="both"/>
                  <w:rPr>
                    <w:b/>
                    <w:bCs/>
                    <w:color w:val="000000"/>
                    <w:sz w:val="20"/>
                  </w:rPr>
                </w:pPr>
                <w:r>
                  <w:rPr>
                    <w:b/>
                    <w:color w:val="000000"/>
                    <w:sz w:val="20"/>
                  </w:rPr>
                  <w:t>17 straipsnis. Pagrindiniai</w:t>
                </w:r>
                <w:r>
                  <w:rPr>
                    <w:b/>
                    <w:bCs/>
                    <w:color w:val="000000"/>
                    <w:sz w:val="20"/>
                  </w:rPr>
                  <w:t xml:space="preserve"> pirkimų principai</w:t>
                </w:r>
              </w:p>
              <w:p w14:paraId="591D0967" w14:textId="77777777">
                <w:pPr>
                  <w:jc w:val="both"/>
                  <w:rPr>
                    <w:bCs/>
                    <w:color w:val="000000"/>
                    <w:sz w:val="20"/>
                  </w:rPr>
                </w:pPr>
                <w:r>
                  <w:rPr>
                    <w:bCs/>
                    <w:color w:val="000000"/>
                    <w:sz w:val="20"/>
                  </w:rPr>
                  <w:t>2. Perkančioji organizacija turi siekti, kad:</w:t>
                </w:r>
              </w:p>
              <w:p w14:paraId="49FEA629" w14:textId="22506F32">
                <w:pPr>
                  <w:jc w:val="both"/>
                  <w:rPr>
                    <w:bCs/>
                    <w:color w:val="000000"/>
                    <w:sz w:val="20"/>
                  </w:rPr>
                </w:pPr>
                <w:r>
                  <w:rPr>
                    <w:bCs/>
                    <w:color w:val="000000"/>
                    <w:sz w:val="20"/>
                  </w:rPr>
                  <w:t>&lt;...&gt;</w:t>
                </w:r>
              </w:p>
              <w:p w14:paraId="01244039" w14:textId="77777777">
                <w:pPr>
                  <w:jc w:val="both"/>
                  <w:rPr>
                    <w:bCs/>
                    <w:color w:val="000000"/>
                    <w:sz w:val="20"/>
                  </w:rPr>
                </w:pPr>
                <w:r>
                  <w:rPr>
                    <w:bCs/>
                    <w:color w:val="000000"/>
                    <w:sz w:val="20"/>
                  </w:rPr>
                  <w:t>2) vykdant pirkimo sutartis būtų laikomasi aplinkos apsaugos, socialinės ir darbo teisės įpareigojimų, nustatytų Europos Sąjungos ir nacionalinėje teisėje, kolektyvinėse sutartyse ir šio įstatymo 5 priede nurodytose tarptautinėse konvencijose;</w:t>
                </w:r>
              </w:p>
              <w:p w14:paraId="193B1ACE" w14:textId="77777777">
                <w:pPr>
                  <w:jc w:val="both"/>
                  <w:rPr>
                    <w:bCs/>
                    <w:color w:val="000000"/>
                    <w:sz w:val="20"/>
                  </w:rPr>
                </w:pPr>
                <w:r>
                  <w:rPr>
                    <w:bCs/>
                    <w:i/>
                    <w:iCs/>
                    <w:color w:val="000000"/>
                    <w:sz w:val="20"/>
                  </w:rPr>
                  <w:t>Straipsnio dalies pakeitimai:</w:t>
                </w:r>
              </w:p>
              <w:p w14:paraId="0B801DCA" w14:textId="77777777">
                <w:pPr>
                  <w:rPr>
                    <w:bCs/>
                    <w:color w:val="000000"/>
                    <w:sz w:val="20"/>
                  </w:rPr>
                </w:pPr>
                <w:r>
                  <w:rPr>
                    <w:bCs/>
                    <w:i/>
                    <w:iCs/>
                    <w:color w:val="000000"/>
                    <w:sz w:val="20"/>
                  </w:rPr>
                  <w:t>Nr. </w:t>
                </w:r>
                <w:hyperlink r:id="rId38" w:tgtFrame="_parent" w:history="1">
                  <w:r>
                    <w:rPr>
                      <w:bCs/>
                      <w:i/>
                      <w:iCs/>
                      <w:color w:val="0000FF"/>
                      <w:sz w:val="20"/>
                      <w:u w:val="single"/>
                    </w:rPr>
                    <w:t>XIV-545</w:t>
                  </w:r>
                </w:hyperlink>
                <w:r>
                  <w:rPr>
                    <w:bCs/>
                    <w:i/>
                    <w:iCs/>
                    <w:color w:val="000000"/>
                    <w:sz w:val="20"/>
                  </w:rPr>
                  <w:t>, 2021-09-30, paskelbta TAR 2021-10-15, i. k. 2021-21632</w:t>
                </w:r>
              </w:p>
              <w:p w14:paraId="3EA1A126" w14:textId="2A969CF0">
                <w:pPr>
                  <w:rPr>
                    <w:bCs/>
                    <w:color w:val="000000"/>
                    <w:sz w:val="20"/>
                  </w:rPr>
                </w:pPr>
                <w:r>
                  <w:rPr>
                    <w:bCs/>
                    <w:i/>
                    <w:iCs/>
                    <w:color w:val="000000"/>
                    <w:sz w:val="20"/>
                  </w:rPr>
                  <w:t>Nr. </w:t>
                </w:r>
                <w:hyperlink r:id="rId39" w:tgtFrame="_parent" w:history="1">
                  <w:r>
                    <w:rPr>
                      <w:bCs/>
                      <w:i/>
                      <w:iCs/>
                      <w:color w:val="0000FF"/>
                      <w:sz w:val="20"/>
                      <w:u w:val="single"/>
                    </w:rPr>
                    <w:t>XIV-1669</w:t>
                  </w:r>
                </w:hyperlink>
                <w:r>
                  <w:rPr>
                    <w:bCs/>
                    <w:i/>
                    <w:iCs/>
                    <w:color w:val="000000"/>
                    <w:sz w:val="20"/>
                  </w:rPr>
                  <w:t>, 2022-12-13, paskelbta TAR 2022-12-29, i. k. 2022-27253</w:t>
                </w:r>
              </w:p>
            </w:tc>
            <w:tc>
              <w:tcPr>
                <w:tcW w:w="1572" w:type="dxa"/>
                <w:shd w:val="clear" w:color="auto" w:fill="FFFFFF" w:themeFill="background1"/>
              </w:tcPr>
              <w:p w14:paraId="59B015E8" w14:textId="125760C7">
                <w:pPr>
                  <w:jc w:val="both"/>
                  <w:rPr>
                    <w:color w:val="000000"/>
                    <w:sz w:val="20"/>
                  </w:rPr>
                </w:pPr>
                <w:r>
                  <w:rPr>
                    <w:color w:val="000000"/>
                    <w:sz w:val="20"/>
                  </w:rPr>
                  <w:t>Visiškas</w:t>
                </w:r>
              </w:p>
            </w:tc>
          </w:tr>
          <w:tr w14:paraId="0467C4BF" w14:textId="77777777">
            <w:tc>
              <w:tcPr>
                <w:tcW w:w="8391" w:type="dxa"/>
                <w:shd w:val="clear" w:color="auto" w:fill="FFFFFF" w:themeFill="background1"/>
              </w:tcPr>
              <w:p w14:paraId="72199F68" w14:textId="4BE7A6C5">
                <w:pPr>
                  <w:jc w:val="both"/>
                  <w:rPr>
                    <w:bCs/>
                    <w:sz w:val="20"/>
                  </w:rPr>
                </w:pPr>
                <w:r>
                  <w:rPr>
                    <w:bCs/>
                    <w:sz w:val="20"/>
                  </w:rPr>
                  <w:t>2.   Valstybės narės apsvarsto galimybę reikalauti, kad perkančiosios organizacijos nustatytų atitinkamai sankcijas ir sutarties nutraukimo sąlygas, taip užtikrinant, kad viešojo pirkimo ir koncesijos sutartyse būtų laikomasi vienodo darbo užmokesčio principo. Kai valstybių narių institucijos veikia pagal Direktyvos </w:t>
                </w:r>
                <w:fldSimple w:instr="HYPERLINK http://eur-lex.europa.eu/legal-content/LIT/TXT/?uri=CELEX:32014L0023&amp;locale=lt \t _blank">
                  <w:r>
                    <w:rPr>
                      <w:bCs/>
                      <w:sz w:val="20"/>
                      <w:u w:val="single"/>
                      <w:color w:val="0000FF" w:themeColor="hyperlink"/>
                    </w:rPr>
                    <w:t>2014/23/ES</w:t>
                  </w:r>
                </w:fldSimple>
                <w:r>
                  <w:rPr>
                    <w:bCs/>
                    <w:sz w:val="20"/>
                  </w:rPr>
                  <w:t xml:space="preserve"> 38 straipsnio 7 dalies a punktą, Direktyvos </w:t>
                </w:r>
                <w:fldSimple w:instr="HYPERLINK http://eur-lex.europa.eu/legal-content/LIT/TXT/?uri=CELEX:32014L0024&amp;locale=lt \t _blank">
                  <w:r>
                    <w:rPr>
                      <w:bCs/>
                      <w:sz w:val="20"/>
                      <w:u w:val="single"/>
                      <w:color w:val="0000FF" w:themeColor="hyperlink"/>
                    </w:rPr>
                    <w:t>2014/24/ES</w:t>
                  </w:r>
                </w:fldSimple>
                <w:r>
                  <w:rPr>
                    <w:bCs/>
                    <w:sz w:val="20"/>
                  </w:rPr>
                  <w:t xml:space="preserve"> 57 straipsnio 4 dalies a punktą arba Direktyvos </w:t>
                </w:r>
                <w:fldSimple w:instr="HYPERLINK http://eur-lex.europa.eu/legal-content/LIT/TXT/?uri=CELEX:32014L0025&amp;locale=lt \t _blank">
                  <w:r>
                    <w:rPr>
                      <w:bCs/>
                      <w:sz w:val="20"/>
                      <w:u w:val="single"/>
                      <w:color w:val="0000FF" w:themeColor="hyperlink"/>
                    </w:rPr>
                    <w:t>2014/25/ES</w:t>
                  </w:r>
                </w:fldSimple>
                <w:r>
                  <w:rPr>
                    <w:bCs/>
                    <w:sz w:val="20"/>
                  </w:rPr>
                  <w:t xml:space="preserve"> 80 straipsnio 1 dalį kartu su Direktyvos </w:t>
                </w:r>
                <w:fldSimple w:instr="HYPERLINK http://eur-lex.europa.eu/legal-content/LIT/TXT/?uri=CELEX:32014L0024&amp;locale=lt \t _blank">
                  <w:r>
                    <w:rPr>
                      <w:bCs/>
                      <w:sz w:val="20"/>
                      <w:u w:val="single"/>
                      <w:color w:val="0000FF" w:themeColor="hyperlink"/>
                    </w:rPr>
                    <w:t>2014/24/ES</w:t>
                  </w:r>
                </w:fldSimple>
                <w:r>
                  <w:rPr>
                    <w:bCs/>
                    <w:sz w:val="20"/>
                  </w:rPr>
                  <w:t xml:space="preserve"> 57 straipsnio 4 dalies a punktu, perkančiosios organizacijos gali pašalinti arba gali būti valstybių narių įpareigotos pašalinti ekonominės veiklos vykdytoją iš viešojo pirkimo procedūros, jei jos gali tinkamomis priemonėmis įrodyti šio straipsnio 1 dalyje nurodytų pareigų pažeidimą, susijusį su darbo užmokesčio skaidrumo pareigų nesilaikymu arba bet kurios darbuotojų kategorijos 5 % ar didesniu darbo užmokesčio atotrūkiu, kurio darbdavys nepagrindžia objektyviais ir lyties požiūriu neutraliais kriterijais. Tai nedaro poveikio kitoms Direktyvoje </w:t>
                </w:r>
                <w:fldSimple w:instr="HYPERLINK http://eur-lex.europa.eu/legal-content/LIT/TXT/?uri=CELEX:32014L0023&amp;locale=lt \t _blank">
                  <w:r>
                    <w:rPr>
                      <w:bCs/>
                      <w:sz w:val="20"/>
                      <w:u w:val="single"/>
                      <w:color w:val="0000FF" w:themeColor="hyperlink"/>
                    </w:rPr>
                    <w:t>2014/23/ES</w:t>
                  </w:r>
                </w:fldSimple>
                <w:r>
                  <w:rPr>
                    <w:bCs/>
                    <w:sz w:val="20"/>
                  </w:rPr>
                  <w:t xml:space="preserve">, </w:t>
                </w:r>
                <w:fldSimple w:instr="HYPERLINK http://eur-lex.europa.eu/legal-content/LIT/TXT/?uri=CELEX:32014L0024&amp;locale=lt \t _blank">
                  <w:r>
                    <w:rPr>
                      <w:bCs/>
                      <w:sz w:val="20"/>
                      <w:u w:val="single"/>
                      <w:color w:val="0000FF" w:themeColor="hyperlink"/>
                    </w:rPr>
                    <w:t>2014/24/ES</w:t>
                  </w:r>
                </w:fldSimple>
                <w:r>
                  <w:rPr>
                    <w:bCs/>
                    <w:sz w:val="20"/>
                  </w:rPr>
                  <w:t xml:space="preserve"> arba 2014/25/ES nustatytoms teisėms ir pareigoms.</w:t>
                </w:r>
              </w:p>
            </w:tc>
            <w:tc>
              <w:tcPr>
                <w:tcW w:w="5347" w:type="dxa"/>
                <w:shd w:val="clear" w:color="auto" w:fill="FFFFFF" w:themeFill="background1"/>
              </w:tcPr>
              <w:p w14:paraId="383A6228" w14:textId="08BC6303">
                <w:pPr>
                  <w:jc w:val="both"/>
                  <w:rPr>
                    <w:b/>
                    <w:sz w:val="20"/>
                  </w:rPr>
                </w:pPr>
                <w:r>
                  <w:rPr>
                    <w:b/>
                    <w:sz w:val="20"/>
                  </w:rPr>
                  <w:t>DK</w:t>
                </w:r>
              </w:p>
              <w:p w14:paraId="1B45C0E5" w14:textId="77777777">
                <w:pPr>
                  <w:jc w:val="both"/>
                  <w:rPr>
                    <w:b/>
                    <w:sz w:val="20"/>
                  </w:rPr>
                </w:pPr>
                <w:r>
                  <w:rPr>
                    <w:b/>
                    <w:bCs/>
                    <w:sz w:val="20"/>
                  </w:rPr>
                  <w:t>26 straipsnis. Darbuotojų lyčių lygybė ir nediskriminavimas kitais pagrindais</w:t>
                </w:r>
              </w:p>
              <w:p w14:paraId="4C914658" w14:textId="2FBEF3A0">
                <w:pPr>
                  <w:jc w:val="both"/>
                  <w:rPr>
                    <w:bCs/>
                    <w:sz w:val="20"/>
                  </w:rPr>
                </w:pPr>
                <w:r>
                  <w:rPr>
                    <w:bCs/>
                    <w:sz w:val="20"/>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14:paraId="6DD7FE0E" w14:textId="77777777">
                <w:pPr>
                  <w:jc w:val="both"/>
                  <w:rPr>
                    <w:bCs/>
                    <w:sz w:val="20"/>
                  </w:rPr>
                </w:pPr>
                <w:r>
                  <w:rPr>
                    <w:bCs/>
                    <w:i/>
                    <w:iCs/>
                    <w:sz w:val="20"/>
                  </w:rPr>
                  <w:t>Straipsnio dalies pakeitimai:</w:t>
                </w:r>
              </w:p>
              <w:p w14:paraId="123A5613" w14:textId="77777777">
                <w:pPr>
                  <w:jc w:val="both"/>
                  <w:rPr>
                    <w:bCs/>
                    <w:sz w:val="20"/>
                  </w:rPr>
                </w:pPr>
                <w:r>
                  <w:rPr>
                    <w:bCs/>
                    <w:i/>
                    <w:iCs/>
                    <w:sz w:val="20"/>
                  </w:rPr>
                  <w:t>Nr. </w:t>
                </w:r>
                <w:hyperlink r:id="rId40" w:tgtFrame="_parent" w:history="1">
                  <w:r>
                    <w:rPr>
                      <w:bCs/>
                      <w:i/>
                      <w:iCs/>
                      <w:color w:val="0000FF"/>
                      <w:sz w:val="20"/>
                      <w:u w:val="single"/>
                    </w:rPr>
                    <w:t>XIII-2944</w:t>
                  </w:r>
                </w:hyperlink>
                <w:r>
                  <w:rPr>
                    <w:bCs/>
                    <w:i/>
                    <w:iCs/>
                    <w:sz w:val="20"/>
                  </w:rPr>
                  <w:t>, 2020-05-21, paskelbta TAR 2020-06-03, i. k. 2020-12135</w:t>
                </w:r>
              </w:p>
              <w:p w14:paraId="1D9105A0" w14:textId="0A2E7888">
                <w:pPr>
                  <w:jc w:val="both"/>
                  <w:rPr>
                    <w:bCs/>
                    <w:sz w:val="20"/>
                  </w:rPr>
                </w:pPr>
                <w:r>
                  <w:rPr>
                    <w:bCs/>
                    <w:i/>
                    <w:iCs/>
                    <w:sz w:val="20"/>
                  </w:rPr>
                  <w:t>Nr. </w:t>
                </w:r>
                <w:hyperlink r:id="rId41" w:tgtFrame="_parent" w:history="1">
                  <w:r>
                    <w:rPr>
                      <w:bCs/>
                      <w:i/>
                      <w:iCs/>
                      <w:color w:val="0000FF"/>
                      <w:sz w:val="20"/>
                      <w:u w:val="single"/>
                    </w:rPr>
                    <w:t>XIV-1189</w:t>
                  </w:r>
                </w:hyperlink>
                <w:r>
                  <w:rPr>
                    <w:bCs/>
                    <w:i/>
                    <w:iCs/>
                    <w:sz w:val="20"/>
                  </w:rPr>
                  <w:t>, 2022-06-28, paskelbta TAR 2022-07-11, i. k. 2022-15178</w:t>
                </w:r>
              </w:p>
              <w:p w14:paraId="7C446C57" w14:textId="77777777">
                <w:pPr>
                  <w:jc w:val="both"/>
                  <w:rPr>
                    <w:bCs/>
                    <w:sz w:val="20"/>
                  </w:rPr>
                </w:pPr>
                <w:r>
                  <w:rPr>
                    <w:bCs/>
                    <w:sz w:val="20"/>
                  </w:rPr>
                  <w:t>2.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p>
              <w:p w14:paraId="178E97A5" w14:textId="77777777">
                <w:pPr>
                  <w:jc w:val="both"/>
                  <w:rPr>
                    <w:bCs/>
                    <w:sz w:val="20"/>
                  </w:rPr>
                </w:pPr>
                <w:r>
                  <w:rPr>
                    <w:bCs/>
                    <w:i/>
                    <w:iCs/>
                    <w:sz w:val="20"/>
                  </w:rPr>
                  <w:t>Straipsnio dalies pakeitimai:</w:t>
                </w:r>
              </w:p>
              <w:p w14:paraId="280F596B" w14:textId="406669CC">
                <w:pPr>
                  <w:jc w:val="both"/>
                  <w:rPr>
                    <w:bCs/>
                    <w:sz w:val="20"/>
                  </w:rPr>
                </w:pPr>
                <w:r>
                  <w:rPr>
                    <w:bCs/>
                    <w:i/>
                    <w:iCs/>
                    <w:sz w:val="20"/>
                  </w:rPr>
                  <w:t>Nr. </w:t>
                </w:r>
                <w:hyperlink r:id="rId42" w:tgtFrame="_parent" w:history="1">
                  <w:r>
                    <w:rPr>
                      <w:bCs/>
                      <w:i/>
                      <w:iCs/>
                      <w:color w:val="0000FF"/>
                      <w:sz w:val="20"/>
                      <w:u w:val="single"/>
                    </w:rPr>
                    <w:t>XIV-1189</w:t>
                  </w:r>
                </w:hyperlink>
                <w:r>
                  <w:rPr>
                    <w:bCs/>
                    <w:i/>
                    <w:iCs/>
                    <w:sz w:val="20"/>
                  </w:rPr>
                  <w:t>, 2022-06-28, paskelbta TAR 2022-07-11, i. k. 2022-15178</w:t>
                </w:r>
              </w:p>
              <w:p w14:paraId="6C9B3728" w14:textId="19A6CFC4">
                <w:pPr>
                  <w:jc w:val="both"/>
                  <w:rPr>
                    <w:bCs/>
                    <w:sz w:val="20"/>
                  </w:rPr>
                </w:pPr>
                <w:r>
                  <w:rPr>
                    <w:bCs/>
                    <w:sz w:val="20"/>
                  </w:rPr>
                  <w:t xml:space="preserve">&lt;...&gt; </w:t>
                </w:r>
              </w:p>
              <w:p w14:paraId="5D515D46" w14:textId="4CB766F8">
                <w:pPr>
                  <w:jc w:val="both"/>
                  <w:rPr>
                    <w:bCs/>
                    <w:sz w:val="20"/>
                  </w:rPr>
                </w:pPr>
                <w:r>
                  <w:rPr>
                    <w:bCs/>
                    <w:sz w:val="20"/>
                  </w:rPr>
                  <w:t>4) už tokį patį ir vienodos vertės darbą mokėti vienodą darbo užmokestį;</w:t>
                </w:r>
              </w:p>
              <w:p w14:paraId="24E57B7A" w14:textId="77777777">
                <w:pPr>
                  <w:jc w:val="both"/>
                  <w:rPr>
                    <w:bCs/>
                    <w:sz w:val="20"/>
                  </w:rPr>
                </w:pPr>
                <w:r>
                  <w:rPr>
                    <w:bCs/>
                    <w:i/>
                    <w:iCs/>
                    <w:sz w:val="20"/>
                  </w:rPr>
                  <w:t>Straipsnio dalies pakeitimai:</w:t>
                </w:r>
              </w:p>
              <w:p w14:paraId="67C2E16C" w14:textId="7A385620">
                <w:pPr>
                  <w:jc w:val="both"/>
                  <w:rPr>
                    <w:bCs/>
                    <w:sz w:val="20"/>
                  </w:rPr>
                </w:pPr>
                <w:r>
                  <w:rPr>
                    <w:bCs/>
                    <w:i/>
                    <w:iCs/>
                    <w:sz w:val="20"/>
                  </w:rPr>
                  <w:t>Nr. </w:t>
                </w:r>
                <w:hyperlink r:id="rId43" w:tgtFrame="_parent" w:history="1">
                  <w:r>
                    <w:rPr>
                      <w:bCs/>
                      <w:i/>
                      <w:iCs/>
                      <w:color w:val="0000FF"/>
                      <w:sz w:val="20"/>
                      <w:u w:val="single"/>
                    </w:rPr>
                    <w:t>XIII-2944</w:t>
                  </w:r>
                </w:hyperlink>
                <w:r>
                  <w:rPr>
                    <w:bCs/>
                    <w:i/>
                    <w:iCs/>
                    <w:sz w:val="20"/>
                  </w:rPr>
                  <w:t>, 2020-05-21, paskelbta TAR 2020-06-03, i. k. 2020-12135</w:t>
                </w:r>
              </w:p>
              <w:p w14:paraId="7D8F61AC" w14:textId="7B68203E">
                <w:pPr>
                  <w:jc w:val="both"/>
                  <w:rPr>
                    <w:b/>
                    <w:sz w:val="20"/>
                  </w:rPr>
                </w:pPr>
                <w:r>
                  <w:rPr>
                    <w:b/>
                    <w:sz w:val="20"/>
                  </w:rPr>
                  <w:t>VPĮ</w:t>
                </w:r>
              </w:p>
              <w:p w14:paraId="2D934F71" w14:textId="77777777">
                <w:pPr>
                  <w:jc w:val="both"/>
                  <w:rPr>
                    <w:b/>
                    <w:bCs/>
                    <w:sz w:val="20"/>
                  </w:rPr>
                </w:pPr>
                <w:r>
                  <w:rPr>
                    <w:b/>
                    <w:bCs/>
                    <w:sz w:val="20"/>
                  </w:rPr>
                  <w:t>46 straipsnis. Tiekėjo pašalinimo pagrindai</w:t>
                </w:r>
              </w:p>
              <w:p w14:paraId="215EBBCF" w14:textId="77777777">
                <w:pPr>
                  <w:jc w:val="both"/>
                  <w:rPr>
                    <w:bCs/>
                    <w:sz w:val="20"/>
                  </w:rPr>
                </w:pPr>
                <w:r>
                  <w:rPr>
                    <w:bCs/>
                    <w:sz w:val="20"/>
                  </w:rPr>
                  <w:t>&lt;...&gt;</w:t>
                </w:r>
              </w:p>
              <w:p w14:paraId="30D1349A" w14:textId="77777777">
                <w:pPr>
                  <w:jc w:val="both"/>
                  <w:rPr>
                    <w:bCs/>
                    <w:sz w:val="20"/>
                  </w:rPr>
                </w:pPr>
                <w:r>
                  <w:rPr>
                    <w:bCs/>
                    <w:sz w:val="20"/>
                  </w:rPr>
                  <w:t>6. Perkančioji organizacija gali pašalinti tiekėją iš pirkimo procedūros, jeigu jis:</w:t>
                </w:r>
              </w:p>
              <w:p w14:paraId="25D32CAC" w14:textId="77777777">
                <w:pPr>
                  <w:jc w:val="both"/>
                  <w:rPr>
                    <w:bCs/>
                    <w:sz w:val="20"/>
                  </w:rPr>
                </w:pPr>
                <w:r>
                  <w:rPr>
                    <w:bCs/>
                    <w:sz w:val="20"/>
                  </w:rPr>
                  <w:t>&lt;...&gt;</w:t>
                </w:r>
              </w:p>
              <w:p w14:paraId="22CBDF30" w14:textId="77777777">
                <w:pPr>
                  <w:jc w:val="both"/>
                  <w:rPr>
                    <w:bCs/>
                    <w:sz w:val="20"/>
                  </w:rPr>
                </w:pPr>
                <w:r>
                  <w:rPr>
                    <w:bCs/>
                    <w:sz w:val="20"/>
                  </w:rPr>
                  <w:t>3) yra padaręs rimtą profesinį pažeidimą (išskyrus šio straipsnio 4 dalies 7 punkte nurodytą pažeidimą), dėl kurio perkančioji organizacija abejoja tiekėjo sąžiningumu ir šį pažeidimą gali įrodyti bet kokiomis tinkamomis priemonėmis. Šiuo pagrindu perkančioji organizacija gali pašalinti tiekėją iš pirkimo procedūros, jeigu nuo pažeidimo padarymo dienos praėjo mažiau kaip vieni metai.</w:t>
                </w:r>
              </w:p>
              <w:p w14:paraId="36BDD4B1" w14:textId="77777777">
                <w:pPr>
                  <w:jc w:val="both"/>
                  <w:rPr>
                    <w:b/>
                    <w:bCs/>
                    <w:sz w:val="20"/>
                  </w:rPr>
                </w:pPr>
                <w:r>
                  <w:rPr>
                    <w:b/>
                    <w:bCs/>
                    <w:sz w:val="20"/>
                  </w:rPr>
                  <w:t>87 straipsnis. Pirkimo sutarties turinys</w:t>
                </w:r>
              </w:p>
              <w:p w14:paraId="404B05E0" w14:textId="77777777">
                <w:pPr>
                  <w:jc w:val="both"/>
                  <w:rPr>
                    <w:bCs/>
                    <w:sz w:val="20"/>
                  </w:rPr>
                </w:pPr>
                <w:r>
                  <w:rPr>
                    <w:bCs/>
                    <w:sz w:val="20"/>
                  </w:rPr>
                  <w:t>&lt;...&gt;</w:t>
                </w:r>
              </w:p>
              <w:p w14:paraId="61019641" w14:textId="77777777">
                <w:pPr>
                  <w:jc w:val="both"/>
                  <w:rPr>
                    <w:bCs/>
                    <w:sz w:val="20"/>
                  </w:rPr>
                </w:pPr>
                <w:r>
                  <w:rPr>
                    <w:bCs/>
                    <w:sz w:val="20"/>
                  </w:rPr>
                  <w:t>3. Perkančioji organizacija gali nustatyti specialias pirkimo sutarties vykdymo sąlygas, siejamas su ekonominiais, inovacijų, užimtumo, socialinės ir aplinkos apsaugos reikalavimais, jeigu tokios sąlygos:</w:t>
                </w:r>
              </w:p>
              <w:p w14:paraId="1795BE91" w14:textId="77777777">
                <w:pPr>
                  <w:jc w:val="both"/>
                  <w:rPr>
                    <w:bCs/>
                    <w:sz w:val="20"/>
                  </w:rPr>
                </w:pPr>
                <w:r>
                  <w:rPr>
                    <w:bCs/>
                    <w:i/>
                    <w:iCs/>
                    <w:sz w:val="20"/>
                  </w:rPr>
                  <w:t>Straipsnio dalies numeracijos pakeitimas:</w:t>
                </w:r>
              </w:p>
              <w:p w14:paraId="633E2B67" w14:textId="0FD213E3">
                <w:pPr>
                  <w:jc w:val="both"/>
                  <w:rPr>
                    <w:bCs/>
                    <w:sz w:val="20"/>
                  </w:rPr>
                </w:pPr>
                <w:r>
                  <w:rPr>
                    <w:bCs/>
                    <w:i/>
                    <w:iCs/>
                    <w:sz w:val="20"/>
                  </w:rPr>
                  <w:t>Nr. </w:t>
                </w:r>
                <w:hyperlink r:id="rId44" w:tgtFrame="_parent" w:history="1">
                  <w:r>
                    <w:rPr>
                      <w:bCs/>
                      <w:i/>
                      <w:iCs/>
                      <w:color w:val="0000FF"/>
                      <w:sz w:val="20"/>
                      <w:u w:val="single"/>
                    </w:rPr>
                    <w:t>XIV-1669</w:t>
                  </w:r>
                </w:hyperlink>
                <w:r>
                  <w:rPr>
                    <w:bCs/>
                    <w:i/>
                    <w:iCs/>
                    <w:sz w:val="20"/>
                  </w:rPr>
                  <w:t>, 2022-12-13, paskelbta TAR 2022-12-29, i. k. 2022-27253</w:t>
                </w:r>
              </w:p>
              <w:p w14:paraId="44E4FC65" w14:textId="77777777">
                <w:pPr>
                  <w:jc w:val="both"/>
                  <w:rPr>
                    <w:bCs/>
                    <w:sz w:val="20"/>
                  </w:rPr>
                </w:pPr>
                <w:r>
                  <w:rPr>
                    <w:bCs/>
                    <w:sz w:val="20"/>
                  </w:rPr>
                  <w:t>1) susijusios su pirkimo objektu, kaip nustatyta šio įstatymo 55 straipsnio 4 dalyje;</w:t>
                </w:r>
              </w:p>
              <w:p w14:paraId="5C054B45" w14:textId="34D62E1A">
                <w:pPr>
                  <w:jc w:val="both"/>
                  <w:rPr>
                    <w:b/>
                    <w:sz w:val="20"/>
                  </w:rPr>
                </w:pPr>
                <w:r>
                  <w:rPr>
                    <w:bCs/>
                    <w:sz w:val="20"/>
                  </w:rPr>
                  <w:t>2) nurodytos pirkimo dokumentuose.</w:t>
                </w:r>
              </w:p>
            </w:tc>
            <w:tc>
              <w:tcPr>
                <w:tcW w:w="1572" w:type="dxa"/>
                <w:shd w:val="clear" w:color="auto" w:fill="FFFFFF" w:themeFill="background1"/>
              </w:tcPr>
              <w:p w14:paraId="522584E2" w14:textId="46972A6E">
                <w:pPr>
                  <w:jc w:val="both"/>
                  <w:rPr>
                    <w:color w:val="000000"/>
                    <w:sz w:val="20"/>
                  </w:rPr>
                </w:pPr>
                <w:r>
                  <w:rPr>
                    <w:color w:val="000000"/>
                    <w:sz w:val="20"/>
                  </w:rPr>
                  <w:t>Visiškas</w:t>
                </w:r>
              </w:p>
            </w:tc>
          </w:tr>
          <w:tr w14:paraId="16710C28" w14:textId="77777777">
            <w:tc>
              <w:tcPr>
                <w:tcW w:w="15310" w:type="dxa"/>
                <w:gridSpan w:val="3"/>
                <w:shd w:val="clear" w:color="auto" w:fill="D6E3BC" w:themeFill="accent3" w:themeFillTint="66"/>
              </w:tcPr>
              <w:p w14:paraId="34B1720C" w14:textId="552C2ADB">
                <w:pPr>
                  <w:jc w:val="both"/>
                  <w:rPr>
                    <w:b/>
                    <w:bCs/>
                    <w:sz w:val="20"/>
                  </w:rPr>
                </w:pPr>
                <w:r>
                  <w:rPr>
                    <w:b/>
                    <w:bCs/>
                    <w:sz w:val="20"/>
                  </w:rPr>
                  <w:t>25 straipsnis. Viktimizacija ir apsauga nuo mažiau palankaus požiūrio</w:t>
                </w:r>
              </w:p>
            </w:tc>
          </w:tr>
          <w:tr w14:paraId="667E2170" w14:textId="77777777">
            <w:tc>
              <w:tcPr>
                <w:tcW w:w="8391" w:type="dxa"/>
                <w:shd w:val="clear" w:color="auto" w:fill="FFFFFF" w:themeFill="background1"/>
              </w:tcPr>
              <w:p w14:paraId="15023216" w14:textId="0885A6B2">
                <w:pPr>
                  <w:jc w:val="both"/>
                  <w:rPr>
                    <w:bCs/>
                    <w:sz w:val="20"/>
                  </w:rPr>
                </w:pPr>
                <w:r>
                  <w:rPr>
                    <w:bCs/>
                    <w:sz w:val="20"/>
                  </w:rPr>
                  <w:t>1.   Darbuotojai ir jų atstovai negali būti traktuojami mažiau palankiai dėl to, kad jie pasinaudojo savo teisėmis, susijusiomis su vienodu darbo užmokesčiu, arba parėmė kitą asmenį apsaugant to asmens teises.</w:t>
                </w:r>
              </w:p>
            </w:tc>
            <w:tc>
              <w:tcPr>
                <w:tcW w:w="5347" w:type="dxa"/>
                <w:shd w:val="clear" w:color="auto" w:fill="FFFFFF" w:themeFill="background1"/>
              </w:tcPr>
              <w:p w14:paraId="307A8E52" w14:textId="3117D855">
                <w:pPr>
                  <w:jc w:val="both"/>
                  <w:rPr>
                    <w:b/>
                    <w:color w:val="000000"/>
                    <w:sz w:val="20"/>
                  </w:rPr>
                </w:pPr>
                <w:r>
                  <w:rPr>
                    <w:b/>
                    <w:color w:val="000000"/>
                    <w:sz w:val="20"/>
                  </w:rPr>
                  <w:t>DK</w:t>
                </w:r>
              </w:p>
              <w:p w14:paraId="3B21FD84" w14:textId="3EB352AD">
                <w:pPr>
                  <w:jc w:val="both"/>
                  <w:rPr>
                    <w:b/>
                    <w:bCs/>
                    <w:color w:val="000000"/>
                    <w:sz w:val="20"/>
                  </w:rPr>
                </w:pPr>
                <w:r>
                  <w:rPr>
                    <w:b/>
                    <w:bCs/>
                    <w:color w:val="000000"/>
                    <w:sz w:val="20"/>
                  </w:rPr>
                  <w:t>26 straipsnis. Darbuotojų lyčių lygybė ir nediskriminavimas kitais pagrindais</w:t>
                </w:r>
              </w:p>
              <w:p w14:paraId="62F80DB5" w14:textId="320392BD">
                <w:pPr>
                  <w:jc w:val="both"/>
                  <w:rPr>
                    <w:color w:val="000000"/>
                    <w:sz w:val="20"/>
                  </w:rPr>
                </w:pPr>
                <w:r>
                  <w:rPr>
                    <w:color w:val="000000"/>
                    <w:sz w:val="20"/>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w:t>
                </w:r>
                <w:r>
                  <w:rPr>
                    <w:b/>
                    <w:bCs/>
                    <w:color w:val="000000"/>
                    <w:sz w:val="20"/>
                  </w:rPr>
                  <w:t xml:space="preserve">, </w:t>
                </w:r>
                <w:r>
                  <w:rPr>
                    <w:color w:val="000000"/>
                    <w:sz w:val="20"/>
                  </w:rPr>
                  <w:t>kad darbuotojas naudojasi ar naudojosi šiame kodekse numatytomis teisėmis, bei dėl aplinkybių, nesusijusių su darbuotojų dalykinėmis savybėmis, ar kitais įstatymuose nustatytais pagrindais yra draudžiami.</w:t>
                </w:r>
              </w:p>
              <w:p w14:paraId="506DBF37" w14:textId="77777777">
                <w:pPr>
                  <w:jc w:val="both"/>
                  <w:rPr>
                    <w:bCs/>
                    <w:sz w:val="20"/>
                  </w:rPr>
                </w:pPr>
                <w:r>
                  <w:rPr>
                    <w:bCs/>
                    <w:i/>
                    <w:iCs/>
                    <w:sz w:val="20"/>
                  </w:rPr>
                  <w:t>Straipsnio dalies pakeitimai:</w:t>
                </w:r>
              </w:p>
              <w:p w14:paraId="1D4D6F0F" w14:textId="77777777">
                <w:pPr>
                  <w:jc w:val="both"/>
                  <w:rPr>
                    <w:bCs/>
                    <w:sz w:val="20"/>
                  </w:rPr>
                </w:pPr>
                <w:r>
                  <w:rPr>
                    <w:bCs/>
                    <w:i/>
                    <w:iCs/>
                    <w:sz w:val="20"/>
                  </w:rPr>
                  <w:t>Nr. </w:t>
                </w:r>
                <w:hyperlink r:id="rId45" w:tgtFrame="_parent" w:history="1">
                  <w:r>
                    <w:rPr>
                      <w:bCs/>
                      <w:i/>
                      <w:iCs/>
                      <w:color w:val="0000FF"/>
                      <w:sz w:val="20"/>
                      <w:u w:val="single"/>
                    </w:rPr>
                    <w:t>XIII-2944</w:t>
                  </w:r>
                </w:hyperlink>
                <w:r>
                  <w:rPr>
                    <w:bCs/>
                    <w:i/>
                    <w:iCs/>
                    <w:sz w:val="20"/>
                  </w:rPr>
                  <w:t>, 2020-05-21, paskelbta TAR 2020-06-03, i. k. 2020-12135</w:t>
                </w:r>
              </w:p>
              <w:p w14:paraId="3C0F4D15" w14:textId="7EDBA316">
                <w:pPr>
                  <w:jc w:val="both"/>
                  <w:rPr>
                    <w:bCs/>
                    <w:sz w:val="20"/>
                  </w:rPr>
                </w:pPr>
                <w:r>
                  <w:rPr>
                    <w:bCs/>
                    <w:i/>
                    <w:iCs/>
                    <w:sz w:val="20"/>
                  </w:rPr>
                  <w:t>Nr. </w:t>
                </w:r>
                <w:hyperlink r:id="rId46" w:tgtFrame="_parent" w:history="1">
                  <w:r>
                    <w:rPr>
                      <w:bCs/>
                      <w:i/>
                      <w:iCs/>
                      <w:color w:val="0000FF"/>
                      <w:sz w:val="20"/>
                      <w:u w:val="single"/>
                    </w:rPr>
                    <w:t>XIV-1189</w:t>
                  </w:r>
                </w:hyperlink>
                <w:r>
                  <w:rPr>
                    <w:bCs/>
                    <w:i/>
                    <w:iCs/>
                    <w:sz w:val="20"/>
                  </w:rPr>
                  <w:t>, 2022-06-28, paskelbta TAR 2022-07-11, i. k. 2022-15178</w:t>
                </w:r>
              </w:p>
              <w:p w14:paraId="3E4FD1FF" w14:textId="5ED1F07E">
                <w:pPr>
                  <w:jc w:val="both"/>
                  <w:rPr>
                    <w:b/>
                    <w:bCs/>
                    <w:color w:val="000000"/>
                    <w:sz w:val="20"/>
                  </w:rPr>
                </w:pPr>
                <w:r>
                  <w:rPr>
                    <w:b/>
                    <w:bCs/>
                    <w:color w:val="000000"/>
                    <w:sz w:val="20"/>
                  </w:rPr>
                  <w:t>31 straipsnis. Turtinių ir neturtinių interesų apsauga</w:t>
                </w:r>
              </w:p>
              <w:p w14:paraId="3A4DBF82" w14:textId="21186C62">
                <w:pPr>
                  <w:jc w:val="both"/>
                  <w:rPr>
                    <w:color w:val="000000"/>
                    <w:sz w:val="20"/>
                  </w:rPr>
                </w:pPr>
                <w:r>
                  <w:rPr>
                    <w:color w:val="000000"/>
                    <w:sz w:val="20"/>
                  </w:rPr>
                  <w:t>&lt;...&gt;</w:t>
                </w:r>
              </w:p>
              <w:p w14:paraId="192A59E6" w14:textId="31D7BBE1">
                <w:pPr>
                  <w:jc w:val="both"/>
                  <w:rPr>
                    <w:color w:val="000000"/>
                    <w:sz w:val="20"/>
                  </w:rPr>
                </w:pPr>
                <w:r>
                  <w:rPr>
                    <w:color w:val="000000"/>
                    <w:sz w:val="20"/>
                  </w:rPr>
                  <w:t>3.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p w14:paraId="7627AB1A" w14:textId="77777777">
                <w:pPr>
                  <w:jc w:val="both"/>
                  <w:rPr>
                    <w:color w:val="000000"/>
                    <w:sz w:val="20"/>
                  </w:rPr>
                </w:pPr>
                <w:r>
                  <w:rPr>
                    <w:i/>
                    <w:iCs/>
                    <w:color w:val="000000"/>
                    <w:sz w:val="20"/>
                  </w:rPr>
                  <w:t>Straipsnio dalies pakeitimai:</w:t>
                </w:r>
              </w:p>
              <w:p w14:paraId="4AF5C3FE" w14:textId="2EE24701">
                <w:pPr>
                  <w:rPr>
                    <w:color w:val="000000"/>
                    <w:sz w:val="20"/>
                  </w:rPr>
                </w:pPr>
                <w:r>
                  <w:rPr>
                    <w:i/>
                    <w:iCs/>
                    <w:color w:val="000000"/>
                    <w:sz w:val="20"/>
                  </w:rPr>
                  <w:t>Nr. </w:t>
                </w:r>
                <w:hyperlink r:id="rId47" w:tgtFrame="_parent" w:history="1">
                  <w:r>
                    <w:rPr>
                      <w:i/>
                      <w:iCs/>
                      <w:color w:val="0000FF"/>
                      <w:sz w:val="20"/>
                      <w:u w:val="single"/>
                    </w:rPr>
                    <w:t>XIII-1847</w:t>
                  </w:r>
                </w:hyperlink>
                <w:r>
                  <w:rPr>
                    <w:i/>
                    <w:iCs/>
                    <w:color w:val="000000"/>
                    <w:sz w:val="20"/>
                  </w:rPr>
                  <w:t>, 2018-12-20, paskelbta TAR 2018-12-28, i. k. 2018-21878</w:t>
                </w:r>
              </w:p>
              <w:p w14:paraId="5EB08ADA" w14:textId="3F7C8777">
                <w:pPr>
                  <w:jc w:val="both"/>
                  <w:rPr>
                    <w:color w:val="000000"/>
                    <w:sz w:val="20"/>
                  </w:rPr>
                </w:pPr>
                <w:r>
                  <w:rPr>
                    <w:color w:val="000000"/>
                    <w:sz w:val="20"/>
                  </w:rPr>
                  <w:t>&lt;...&gt;</w:t>
                </w:r>
              </w:p>
              <w:p w14:paraId="3AD21099" w14:textId="6D013917">
                <w:pPr>
                  <w:jc w:val="both"/>
                  <w:rPr>
                    <w:bCs/>
                    <w:color w:val="000000"/>
                    <w:sz w:val="20"/>
                  </w:rPr>
                </w:pPr>
                <w:r>
                  <w:rPr>
                    <w:b/>
                    <w:bCs/>
                    <w:color w:val="000000"/>
                    <w:sz w:val="20"/>
                  </w:rPr>
                  <w:t>166 straipsnis. Darbuotojų atstovų nepriklausomumo garantijos</w:t>
                </w:r>
              </w:p>
              <w:p w14:paraId="27D38D4F" w14:textId="082BFDE8">
                <w:pPr>
                  <w:jc w:val="both"/>
                  <w:rPr>
                    <w:bCs/>
                    <w:color w:val="000000"/>
                    <w:sz w:val="20"/>
                  </w:rPr>
                </w:pPr>
                <w:r>
                  <w:rPr>
                    <w:bCs/>
                    <w:color w:val="000000"/>
                    <w:sz w:val="20"/>
                  </w:rPr>
                  <w:t>1.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  savivaldybės institucijos turi susilaikyti nuo kišimosi į darbuotojų atstovų veiklą, išskyrus atvejus, kai tai daroma įstatymų pagrindu dėl padaryto teisės pažeidimo.</w:t>
                </w:r>
              </w:p>
              <w:p w14:paraId="11BD781D" w14:textId="77777777">
                <w:pPr>
                  <w:jc w:val="both"/>
                  <w:rPr>
                    <w:bCs/>
                    <w:color w:val="000000"/>
                    <w:sz w:val="20"/>
                  </w:rPr>
                </w:pPr>
                <w:r>
                  <w:rPr>
                    <w:b/>
                    <w:bCs/>
                    <w:color w:val="000000"/>
                    <w:sz w:val="20"/>
                  </w:rPr>
                  <w:t>167 straipsnis. Darbuotojų atstovų veiklos garantijos</w:t>
                </w:r>
              </w:p>
              <w:p w14:paraId="5258B69E" w14:textId="0B99EE47">
                <w:pPr>
                  <w:jc w:val="both"/>
                  <w:rPr>
                    <w:bCs/>
                    <w:color w:val="000000"/>
                    <w:sz w:val="20"/>
                  </w:rPr>
                </w:pPr>
                <w:r>
                  <w:rPr>
                    <w:bCs/>
                    <w:color w:val="000000"/>
                    <w:sz w:val="20"/>
                  </w:rPr>
                  <w:t>&lt;...&gt;</w:t>
                </w:r>
              </w:p>
              <w:p w14:paraId="57077D30" w14:textId="79B90F3C">
                <w:pPr>
                  <w:jc w:val="both"/>
                  <w:rPr>
                    <w:bCs/>
                    <w:color w:val="000000"/>
                    <w:sz w:val="20"/>
                  </w:rPr>
                </w:pPr>
                <w:r>
                  <w:rPr>
                    <w:bCs/>
                    <w:color w:val="000000"/>
                    <w:sz w:val="20"/>
                  </w:rPr>
                  <w:t>3. 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14:paraId="555A8390" w14:textId="77777777">
                <w:pPr>
                  <w:jc w:val="both"/>
                  <w:rPr>
                    <w:bCs/>
                    <w:color w:val="000000"/>
                    <w:sz w:val="20"/>
                  </w:rPr>
                </w:pPr>
                <w:r>
                  <w:rPr>
                    <w:b/>
                    <w:bCs/>
                    <w:color w:val="000000"/>
                    <w:sz w:val="20"/>
                  </w:rPr>
                  <w:t>168 straipsnis. Darbuotojų atstovavimą darbdavio lygmeniu įgyvendinančių asmenų garantijos ir apsauga nuo diskriminacijos</w:t>
                </w:r>
              </w:p>
              <w:p w14:paraId="25C7A551" w14:textId="599059D0">
                <w:pPr>
                  <w:jc w:val="both"/>
                  <w:rPr>
                    <w:bCs/>
                    <w:color w:val="000000"/>
                    <w:sz w:val="20"/>
                  </w:rPr>
                </w:pPr>
                <w:r>
                  <w:rPr>
                    <w:bCs/>
                    <w:color w:val="000000"/>
                    <w:sz w:val="20"/>
                  </w:rPr>
                  <w:t>&lt;...&gt;</w:t>
                </w:r>
              </w:p>
              <w:p w14:paraId="1F20C3D5" w14:textId="77777777">
                <w:pPr>
                  <w:jc w:val="both"/>
                  <w:rPr>
                    <w:bCs/>
                    <w:color w:val="000000"/>
                    <w:sz w:val="20"/>
                  </w:rPr>
                </w:pPr>
                <w:r>
                  <w:rPr>
                    <w:bCs/>
                    <w:color w:val="000000"/>
                    <w:sz w:val="20"/>
                  </w:rPr>
                  <w:t>3.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darbuotojų atstovavimą įgyvendinančiais asmenimis negali būti nutraukta tol, kol vyksta darbo ginčas.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p>
              <w:p w14:paraId="6D51A90F" w14:textId="77777777">
                <w:pPr>
                  <w:jc w:val="both"/>
                  <w:rPr>
                    <w:bCs/>
                    <w:color w:val="000000"/>
                    <w:sz w:val="20"/>
                  </w:rPr>
                </w:pPr>
                <w:r>
                  <w:rPr>
                    <w:bCs/>
                    <w:i/>
                    <w:iCs/>
                    <w:color w:val="000000"/>
                    <w:sz w:val="20"/>
                  </w:rPr>
                  <w:t>Straipsnio dalies pakeitimai:</w:t>
                </w:r>
              </w:p>
              <w:p w14:paraId="10483383" w14:textId="49A3B990">
                <w:pPr>
                  <w:rPr>
                    <w:bCs/>
                    <w:color w:val="000000"/>
                    <w:sz w:val="20"/>
                  </w:rPr>
                </w:pPr>
                <w:r>
                  <w:rPr>
                    <w:bCs/>
                    <w:i/>
                    <w:iCs/>
                    <w:color w:val="000000"/>
                    <w:sz w:val="20"/>
                  </w:rPr>
                  <w:t>Nr. </w:t>
                </w:r>
                <w:hyperlink r:id="rId48" w:tgtFrame="_parent" w:history="1">
                  <w:r>
                    <w:rPr>
                      <w:bCs/>
                      <w:i/>
                      <w:iCs/>
                      <w:color w:val="0000FF"/>
                      <w:sz w:val="20"/>
                      <w:u w:val="single"/>
                    </w:rPr>
                    <w:t>XIII-413</w:t>
                  </w:r>
                </w:hyperlink>
                <w:r>
                  <w:rPr>
                    <w:bCs/>
                    <w:i/>
                    <w:iCs/>
                    <w:color w:val="000000"/>
                    <w:sz w:val="20"/>
                  </w:rPr>
                  <w:t>, 2017-06-06, paskelbta TAR 2017-06-14, i. k. 2017-10021</w:t>
                </w:r>
              </w:p>
            </w:tc>
            <w:tc>
              <w:tcPr>
                <w:tcW w:w="1572" w:type="dxa"/>
                <w:shd w:val="clear" w:color="auto" w:fill="FFFFFF" w:themeFill="background1"/>
              </w:tcPr>
              <w:p w14:paraId="3CECE0F0" w14:textId="20960F3D">
                <w:pPr>
                  <w:jc w:val="both"/>
                  <w:rPr>
                    <w:color w:val="000000"/>
                    <w:sz w:val="20"/>
                  </w:rPr>
                </w:pPr>
                <w:r>
                  <w:rPr>
                    <w:color w:val="000000"/>
                    <w:sz w:val="20"/>
                  </w:rPr>
                  <w:t>Visiškas</w:t>
                </w:r>
              </w:p>
            </w:tc>
          </w:tr>
          <w:tr w14:paraId="271C97F8" w14:textId="77777777">
            <w:tc>
              <w:tcPr>
                <w:tcW w:w="8391" w:type="dxa"/>
                <w:shd w:val="clear" w:color="auto" w:fill="FFFFFF" w:themeFill="background1"/>
              </w:tcPr>
              <w:p w14:paraId="2F01B221" w14:textId="0D1B0978">
                <w:pPr>
                  <w:jc w:val="both"/>
                  <w:rPr>
                    <w:bCs/>
                    <w:color w:val="000000"/>
                    <w:sz w:val="20"/>
                  </w:rPr>
                </w:pPr>
                <w:r>
                  <w:rPr>
                    <w:bCs/>
                    <w:color w:val="000000"/>
                    <w:sz w:val="20"/>
                  </w:rPr>
                  <w:t>2.   Valstybės narės į savo nacionalines teisines sistemas įtraukia priemones, kurios būtinos darbuotojams, įskaitant darbuotojus, kurie yra darbuotojų atstovai, apsaugoti nuo atleidimo iš darbo ar kitokio darbdavio priešiško elgesio jam reaguojant į skundą darbdavio organizacijoje arba į bet kokį administracinį ar teismo procesą siekiant užtikrinti teisių ar pareigų, susijusių su vienodo darbo užmokesčio principu, vykdymą.</w:t>
                </w:r>
              </w:p>
            </w:tc>
            <w:tc>
              <w:tcPr>
                <w:tcW w:w="5347" w:type="dxa"/>
                <w:shd w:val="clear" w:color="auto" w:fill="FFFFFF" w:themeFill="background1"/>
              </w:tcPr>
              <w:p w14:paraId="72CE54CE" w14:textId="1558D3C9">
                <w:pPr>
                  <w:jc w:val="both"/>
                  <w:rPr>
                    <w:b/>
                    <w:color w:val="000000"/>
                    <w:sz w:val="20"/>
                  </w:rPr>
                </w:pPr>
                <w:r>
                  <w:rPr>
                    <w:b/>
                    <w:color w:val="000000"/>
                    <w:sz w:val="20"/>
                  </w:rPr>
                  <w:t>DK</w:t>
                </w:r>
              </w:p>
              <w:p w14:paraId="39A2F0D1" w14:textId="77777777">
                <w:pPr>
                  <w:jc w:val="both"/>
                  <w:rPr>
                    <w:b/>
                    <w:color w:val="000000"/>
                    <w:sz w:val="20"/>
                  </w:rPr>
                </w:pPr>
                <w:r>
                  <w:rPr>
                    <w:b/>
                    <w:bCs/>
                    <w:color w:val="000000"/>
                    <w:sz w:val="20"/>
                  </w:rPr>
                  <w:t>59 straipsnis. Darbo sutarties nutraukimas darbdavio valia</w:t>
                </w:r>
              </w:p>
              <w:p w14:paraId="7C014146" w14:textId="2D876137">
                <w:pPr>
                  <w:jc w:val="both"/>
                  <w:rPr>
                    <w:bCs/>
                    <w:color w:val="000000"/>
                    <w:sz w:val="20"/>
                  </w:rPr>
                </w:pPr>
                <w:r>
                  <w:rPr>
                    <w:bCs/>
                    <w:color w:val="000000"/>
                    <w:sz w:val="20"/>
                  </w:rPr>
                  <w:t>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14:paraId="3E3CE42E" w14:textId="77777777">
                <w:pPr>
                  <w:jc w:val="both"/>
                  <w:rPr>
                    <w:bCs/>
                    <w:color w:val="000000"/>
                    <w:sz w:val="20"/>
                  </w:rPr>
                </w:pPr>
                <w:r>
                  <w:rPr>
                    <w:bCs/>
                    <w:i/>
                    <w:iCs/>
                    <w:color w:val="000000"/>
                    <w:sz w:val="20"/>
                  </w:rPr>
                  <w:t>Straipsnio dalies pakeitimai:</w:t>
                </w:r>
              </w:p>
              <w:p w14:paraId="410A8776" w14:textId="77777777">
                <w:pPr>
                  <w:rPr>
                    <w:bCs/>
                    <w:color w:val="000000"/>
                    <w:sz w:val="20"/>
                  </w:rPr>
                </w:pPr>
                <w:r>
                  <w:rPr>
                    <w:bCs/>
                    <w:i/>
                    <w:iCs/>
                    <w:color w:val="000000"/>
                    <w:sz w:val="20"/>
                  </w:rPr>
                  <w:t>Nr. </w:t>
                </w:r>
                <w:hyperlink r:id="rId49" w:tgtFrame="_parent" w:history="1">
                  <w:r>
                    <w:rPr>
                      <w:bCs/>
                      <w:i/>
                      <w:iCs/>
                      <w:color w:val="0000FF"/>
                      <w:sz w:val="20"/>
                      <w:u w:val="single"/>
                    </w:rPr>
                    <w:t>XIII-1847</w:t>
                  </w:r>
                </w:hyperlink>
                <w:r>
                  <w:rPr>
                    <w:bCs/>
                    <w:i/>
                    <w:iCs/>
                    <w:color w:val="000000"/>
                    <w:sz w:val="20"/>
                  </w:rPr>
                  <w:t>, 2018-12-20, paskelbta TAR 2018-12-28, i. k. 2018-21878</w:t>
                </w:r>
              </w:p>
              <w:p w14:paraId="4BFB9009" w14:textId="77777777">
                <w:pPr>
                  <w:rPr>
                    <w:bCs/>
                    <w:color w:val="000000"/>
                    <w:sz w:val="20"/>
                  </w:rPr>
                </w:pPr>
                <w:r>
                  <w:rPr>
                    <w:bCs/>
                    <w:i/>
                    <w:iCs/>
                    <w:color w:val="000000"/>
                    <w:sz w:val="20"/>
                  </w:rPr>
                  <w:t>Nr. </w:t>
                </w:r>
                <w:hyperlink r:id="rId50" w:tgtFrame="_parent" w:history="1">
                  <w:r>
                    <w:rPr>
                      <w:bCs/>
                      <w:i/>
                      <w:iCs/>
                      <w:color w:val="0000FF"/>
                      <w:sz w:val="20"/>
                      <w:u w:val="single"/>
                    </w:rPr>
                    <w:t>XIII-2944</w:t>
                  </w:r>
                </w:hyperlink>
                <w:r>
                  <w:rPr>
                    <w:bCs/>
                    <w:i/>
                    <w:iCs/>
                    <w:color w:val="000000"/>
                    <w:sz w:val="20"/>
                  </w:rPr>
                  <w:t>, 2020-05-21, paskelbta TAR 2020-06-03, i. k. 2020-12135</w:t>
                </w:r>
              </w:p>
              <w:p w14:paraId="1F95E5A6" w14:textId="284EF5E0">
                <w:pPr>
                  <w:rPr>
                    <w:bCs/>
                    <w:color w:val="000000"/>
                    <w:sz w:val="20"/>
                  </w:rPr>
                </w:pPr>
                <w:r>
                  <w:rPr>
                    <w:bCs/>
                    <w:i/>
                    <w:iCs/>
                    <w:color w:val="000000"/>
                    <w:sz w:val="20"/>
                  </w:rPr>
                  <w:t>Nr. </w:t>
                </w:r>
                <w:hyperlink r:id="rId51" w:tgtFrame="_parent" w:history="1">
                  <w:r>
                    <w:rPr>
                      <w:bCs/>
                      <w:i/>
                      <w:iCs/>
                      <w:color w:val="0000FF"/>
                      <w:sz w:val="20"/>
                      <w:u w:val="single"/>
                    </w:rPr>
                    <w:t>XIV-1189</w:t>
                  </w:r>
                </w:hyperlink>
                <w:r>
                  <w:rPr>
                    <w:bCs/>
                    <w:i/>
                    <w:iCs/>
                    <w:color w:val="000000"/>
                    <w:sz w:val="20"/>
                  </w:rPr>
                  <w:t>, 2022-06-28, paskelbta TAR 2022-07-11, i. k. 2022-15178</w:t>
                </w:r>
              </w:p>
              <w:p w14:paraId="70985A6B" w14:textId="77777777">
                <w:pPr>
                  <w:jc w:val="both"/>
                  <w:rPr>
                    <w:b/>
                    <w:color w:val="000000"/>
                    <w:sz w:val="20"/>
                  </w:rPr>
                </w:pPr>
                <w:r>
                  <w:rPr>
                    <w:b/>
                    <w:color w:val="000000"/>
                    <w:sz w:val="20"/>
                  </w:rPr>
                  <w:t>168 straipsnis. Darbuotojų atstovavimą darbdavio lygmeniu įgyvendinančių asmenų garantijos ir apsauga nuo diskriminacijos</w:t>
                </w:r>
              </w:p>
              <w:p w14:paraId="1FD1B72E" w14:textId="77777777">
                <w:pPr>
                  <w:jc w:val="both"/>
                  <w:rPr>
                    <w:bCs/>
                    <w:color w:val="000000"/>
                    <w:sz w:val="20"/>
                  </w:rPr>
                </w:pPr>
                <w:r>
                  <w:rPr>
                    <w:bCs/>
                    <w:color w:val="000000"/>
                    <w:sz w:val="20"/>
                  </w:rPr>
                  <w:t>&lt;...&gt;</w:t>
                </w:r>
              </w:p>
              <w:p w14:paraId="13590AA7" w14:textId="77777777">
                <w:pPr>
                  <w:jc w:val="both"/>
                  <w:rPr>
                    <w:bCs/>
                    <w:color w:val="000000"/>
                    <w:sz w:val="20"/>
                  </w:rPr>
                </w:pPr>
                <w:r>
                  <w:rPr>
                    <w:bCs/>
                    <w:color w:val="000000"/>
                    <w:sz w:val="20"/>
                  </w:rPr>
                  <w:t>3.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darbuotojų atstovavimą įgyvendinančiais asmenimis negali būti nutraukta tol, kol vyksta darbo ginčas.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p>
              <w:p w14:paraId="593B93BC" w14:textId="77777777">
                <w:pPr>
                  <w:jc w:val="both"/>
                  <w:rPr>
                    <w:bCs/>
                    <w:color w:val="000000"/>
                    <w:sz w:val="20"/>
                  </w:rPr>
                </w:pPr>
                <w:r>
                  <w:rPr>
                    <w:bCs/>
                    <w:i/>
                    <w:iCs/>
                    <w:color w:val="000000"/>
                    <w:sz w:val="20"/>
                  </w:rPr>
                  <w:t>Straipsnio dalies pakeitimai:</w:t>
                </w:r>
              </w:p>
              <w:p w14:paraId="6F1B5ED2" w14:textId="2BCD20B3">
                <w:pPr>
                  <w:rPr>
                    <w:bCs/>
                    <w:color w:val="000000"/>
                    <w:sz w:val="20"/>
                  </w:rPr>
                </w:pPr>
                <w:r>
                  <w:rPr>
                    <w:bCs/>
                    <w:i/>
                    <w:iCs/>
                    <w:color w:val="000000"/>
                    <w:sz w:val="20"/>
                  </w:rPr>
                  <w:t>Nr. </w:t>
                </w:r>
                <w:hyperlink r:id="rId52" w:tgtFrame="_parent" w:history="1">
                  <w:r>
                    <w:rPr>
                      <w:bCs/>
                      <w:i/>
                      <w:iCs/>
                      <w:color w:val="0000FF"/>
                      <w:sz w:val="20"/>
                      <w:u w:val="single"/>
                    </w:rPr>
                    <w:t>XIII-413</w:t>
                  </w:r>
                </w:hyperlink>
                <w:r>
                  <w:rPr>
                    <w:bCs/>
                    <w:i/>
                    <w:iCs/>
                    <w:color w:val="000000"/>
                    <w:sz w:val="20"/>
                  </w:rPr>
                  <w:t>, 2017-06-06, paskelbta TAR 2017-06-14, i. k. 2017-10021</w:t>
                </w:r>
              </w:p>
            </w:tc>
            <w:tc>
              <w:tcPr>
                <w:tcW w:w="1572" w:type="dxa"/>
                <w:shd w:val="clear" w:color="auto" w:fill="FFFFFF" w:themeFill="background1"/>
              </w:tcPr>
              <w:p w14:paraId="5D4BADEE" w14:textId="77777777">
                <w:pPr>
                  <w:jc w:val="both"/>
                  <w:rPr>
                    <w:color w:val="000000"/>
                    <w:sz w:val="20"/>
                  </w:rPr>
                </w:pPr>
                <w:r>
                  <w:rPr>
                    <w:color w:val="000000"/>
                    <w:sz w:val="20"/>
                  </w:rPr>
                  <w:t>Visiškas</w:t>
                </w:r>
              </w:p>
              <w:p w14:paraId="08119F65" w14:textId="206AA997">
                <w:pPr>
                  <w:jc w:val="both"/>
                  <w:rPr>
                    <w:color w:val="000000"/>
                    <w:sz w:val="20"/>
                  </w:rPr>
                </w:pPr>
              </w:p>
            </w:tc>
          </w:tr>
          <w:tr w14:paraId="62C553BF" w14:textId="77777777">
            <w:tc>
              <w:tcPr>
                <w:tcW w:w="15310" w:type="dxa"/>
                <w:gridSpan w:val="3"/>
                <w:shd w:val="clear" w:color="auto" w:fill="D6E3BC" w:themeFill="accent3" w:themeFillTint="66"/>
              </w:tcPr>
              <w:p w14:paraId="171D86B4" w14:textId="4B2B7A9B">
                <w:pPr>
                  <w:jc w:val="both"/>
                  <w:rPr>
                    <w:b/>
                    <w:bCs/>
                    <w:sz w:val="20"/>
                  </w:rPr>
                </w:pPr>
                <w:r>
                  <w:rPr>
                    <w:b/>
                    <w:bCs/>
                    <w:sz w:val="20"/>
                  </w:rPr>
                  <w:t>26 straipsnis. Ryšys su Direktyva </w:t>
                </w:r>
                <w:fldSimple w:instr="HYPERLINK http://eur-lex.europa.eu/legal-content/LIT/TXT/?uri=CELEX:32006L0054&amp;locale=lt \t _blank">
                  <w:r>
                    <w:rPr>
                      <w:b/>
                      <w:bCs/>
                      <w:sz w:val="20"/>
                      <w:u w:val="single"/>
                      <w:color w:val="0000FF" w:themeColor="hyperlink"/>
                    </w:rPr>
                    <w:t>2006/54/EB</w:t>
                  </w:r>
                </w:fldSimple>
              </w:p>
            </w:tc>
          </w:tr>
          <w:tr w14:paraId="4D48D9E2" w14:textId="77777777">
            <w:tc>
              <w:tcPr>
                <w:tcW w:w="8391" w:type="dxa"/>
                <w:shd w:val="clear" w:color="auto" w:fill="FFFFFF" w:themeFill="background1"/>
              </w:tcPr>
              <w:p w14:paraId="113C4CD0" w14:textId="77777777">
                <w:pPr>
                  <w:jc w:val="both"/>
                  <w:rPr>
                    <w:bCs/>
                    <w:sz w:val="20"/>
                  </w:rPr>
                </w:pPr>
                <w:r>
                  <w:rPr>
                    <w:bCs/>
                    <w:sz w:val="20"/>
                  </w:rPr>
                  <w:t>Šios direktyvos III skyrius taikomas procesiniams veiksmams dėl teisių ar pareigų, susijusių su vienodo darbo užmokesčio principu, nustatytu Direktyvos </w:t>
                </w:r>
                <w:fldSimple w:instr="HYPERLINK http://eur-lex.europa.eu/legal-content/LIT/TXT/?uri=CELEX:32006L0054&amp;locale=lt \t _blank">
                  <w:r>
                    <w:rPr>
                      <w:bCs/>
                      <w:sz w:val="20"/>
                      <w:u w:val="single"/>
                      <w:color w:val="0000FF" w:themeColor="hyperlink"/>
                    </w:rPr>
                    <w:t>2006/54/EB</w:t>
                  </w:r>
                </w:fldSimple>
                <w:r>
                  <w:rPr>
                    <w:bCs/>
                    <w:sz w:val="20"/>
                  </w:rPr>
                  <w:t xml:space="preserve"> 4 straipsnyje.</w:t>
                </w:r>
              </w:p>
              <w:p w14:paraId="3DAFF201" w14:textId="60598F29">
                <w:pPr>
                  <w:jc w:val="both"/>
                  <w:rPr>
                    <w:bCs/>
                    <w:sz w:val="20"/>
                  </w:rPr>
                </w:pPr>
              </w:p>
              <w:p w14:paraId="4E611C1F" w14:textId="1620A86B">
                <w:pPr>
                  <w:jc w:val="both"/>
                  <w:rPr>
                    <w:bCs/>
                    <w:sz w:val="20"/>
                  </w:rPr>
                </w:pPr>
              </w:p>
            </w:tc>
            <w:tc>
              <w:tcPr>
                <w:tcW w:w="5347" w:type="dxa"/>
                <w:shd w:val="clear" w:color="auto" w:fill="FFFFFF" w:themeFill="background1"/>
              </w:tcPr>
              <w:p w14:paraId="2CE0DFEE" w14:textId="41933093">
                <w:pPr>
                  <w:jc w:val="both"/>
                  <w:rPr>
                    <w:b/>
                    <w:color w:val="000000"/>
                    <w:sz w:val="20"/>
                  </w:rPr>
                </w:pPr>
                <w:r>
                  <w:rPr>
                    <w:b/>
                    <w:color w:val="000000"/>
                    <w:sz w:val="20"/>
                  </w:rPr>
                  <w:t>DK projektas</w:t>
                </w:r>
              </w:p>
              <w:p w14:paraId="21BC6CB5" w14:textId="77777777">
                <w:pPr>
                  <w:jc w:val="both"/>
                  <w:rPr>
                    <w:b/>
                    <w:color w:val="000000"/>
                    <w:sz w:val="20"/>
                  </w:rPr>
                </w:pPr>
                <w:r>
                  <w:rPr>
                    <w:b/>
                    <w:color w:val="000000"/>
                    <w:sz w:val="20"/>
                  </w:rPr>
                  <w:t>19 straipsnis. 219 straipsnio pakeitimas</w:t>
                </w:r>
              </w:p>
              <w:p w14:paraId="54A31D3E" w14:textId="77777777">
                <w:pPr>
                  <w:jc w:val="both"/>
                  <w:rPr>
                    <w:b/>
                    <w:color w:val="000000"/>
                    <w:sz w:val="20"/>
                  </w:rPr>
                </w:pPr>
                <w:r>
                  <w:rPr>
                    <w:b/>
                    <w:color w:val="000000"/>
                    <w:sz w:val="20"/>
                  </w:rPr>
                  <w:t>Pakeisti 219 straipsnį ir jį išdėstyti taip:</w:t>
                </w:r>
              </w:p>
              <w:p w14:paraId="61E87D23" w14:textId="77777777">
                <w:pPr>
                  <w:jc w:val="both"/>
                  <w:rPr>
                    <w:b/>
                    <w:color w:val="000000"/>
                    <w:sz w:val="20"/>
                  </w:rPr>
                </w:pPr>
                <w:r>
                  <w:rPr>
                    <w:b/>
                    <w:color w:val="000000"/>
                    <w:sz w:val="20"/>
                  </w:rPr>
                  <w:t>„1. Jeigu šiame kodekse nenustatyta kitaip, darbo ginčą nagrinėjantis organas, priimdamas sprendimus dėl uždelsto sumokėti darbo užmokesčio ir kitų išmokų, susijusių su darbo santykiais, priteisimo, priteisia visas šias sumas, atsižvelgdamas į šio kodekso nustatytus apribojimus ir ieškinio senaties taikymo taisykles.</w:t>
                </w:r>
              </w:p>
              <w:p w14:paraId="7E80B92F" w14:textId="2F158574">
                <w:pPr>
                  <w:jc w:val="both"/>
                  <w:rPr>
                    <w:b/>
                    <w:color w:val="000000"/>
                    <w:sz w:val="20"/>
                  </w:rPr>
                </w:pPr>
                <w:r>
                  <w:rPr>
                    <w:b/>
                    <w:color w:val="000000"/>
                    <w:sz w:val="20"/>
                  </w:rPr>
                  <w:t>2. Jeigu darbo ginčą nagrinėjantis organas nustato, kad darbdavys pažeidė pareigą už tokį patį ar vienodos vertės darbą mokėti vienodą darbo užmokestį, darbuotojui priteisiama kompensacija. Ši kompensacija – visiškas nesumokėto darbo užmokesčio ar mokėjimų natūra atgavimas, taip pat kompensacija už prarastas galimybes, neturtinės žalos ar kitokios žalos, sukeltos kitų svarbių veiksnių, apimančių daugialypę diskriminaciją, atlyginimas.“</w:t>
                </w:r>
              </w:p>
            </w:tc>
            <w:tc>
              <w:tcPr>
                <w:tcW w:w="1572" w:type="dxa"/>
                <w:shd w:val="clear" w:color="auto" w:fill="FFFFFF" w:themeFill="background1"/>
              </w:tcPr>
              <w:p w14:paraId="2B4D3DCE" w14:textId="77129024">
                <w:pPr>
                  <w:jc w:val="both"/>
                  <w:rPr>
                    <w:color w:val="000000"/>
                    <w:sz w:val="20"/>
                  </w:rPr>
                </w:pPr>
                <w:r>
                  <w:rPr>
                    <w:color w:val="000000"/>
                    <w:sz w:val="20"/>
                  </w:rPr>
                  <w:t>Visiškas</w:t>
                </w:r>
              </w:p>
            </w:tc>
          </w:tr>
          <w:tr w14:paraId="3C4C5528" w14:textId="77777777">
            <w:tc>
              <w:tcPr>
                <w:tcW w:w="15310" w:type="dxa"/>
                <w:gridSpan w:val="3"/>
                <w:shd w:val="clear" w:color="auto" w:fill="D6E3BC" w:themeFill="accent3" w:themeFillTint="66"/>
              </w:tcPr>
              <w:p w14:paraId="45AA9614" w14:textId="6E725831">
                <w:pPr>
                  <w:jc w:val="both"/>
                  <w:rPr>
                    <w:b/>
                    <w:bCs/>
                    <w:sz w:val="20"/>
                  </w:rPr>
                </w:pPr>
                <w:r>
                  <w:rPr>
                    <w:b/>
                    <w:bCs/>
                    <w:sz w:val="20"/>
                  </w:rPr>
                  <w:t>27 straipsnis. Apsaugos lygis</w:t>
                </w:r>
              </w:p>
            </w:tc>
          </w:tr>
          <w:tr w14:paraId="4E2260EB" w14:textId="77777777">
            <w:tc>
              <w:tcPr>
                <w:tcW w:w="8391" w:type="dxa"/>
                <w:shd w:val="clear" w:color="auto" w:fill="FFFFFF" w:themeFill="background1"/>
              </w:tcPr>
              <w:p w14:paraId="49745C71" w14:textId="1ADB1196">
                <w:pPr>
                  <w:jc w:val="both"/>
                  <w:rPr>
                    <w:bCs/>
                    <w:sz w:val="20"/>
                  </w:rPr>
                </w:pPr>
                <w:r>
                  <w:rPr>
                    <w:bCs/>
                    <w:sz w:val="20"/>
                  </w:rPr>
                  <w:t>1.   Valstybės narės gali priimti arba palikti galioti nuostatas, kurios darbuotojams yra palankesnės nei nustatytosios šioje direktyvoje.</w:t>
                </w:r>
              </w:p>
            </w:tc>
            <w:tc>
              <w:tcPr>
                <w:tcW w:w="5347" w:type="dxa"/>
                <w:shd w:val="clear" w:color="auto" w:fill="FFFFFF" w:themeFill="background1"/>
              </w:tcPr>
              <w:p w14:paraId="100B3172" w14:textId="4D1B382F">
                <w:pPr>
                  <w:jc w:val="both"/>
                  <w:rPr>
                    <w:bCs/>
                    <w:color w:val="000000"/>
                    <w:sz w:val="20"/>
                  </w:rPr>
                </w:pPr>
              </w:p>
            </w:tc>
            <w:tc>
              <w:tcPr>
                <w:tcW w:w="1572" w:type="dxa"/>
                <w:shd w:val="clear" w:color="auto" w:fill="FFFFFF" w:themeFill="background1"/>
              </w:tcPr>
              <w:p w14:paraId="1874A674" w14:textId="06323022">
                <w:pPr>
                  <w:jc w:val="both"/>
                  <w:rPr>
                    <w:color w:val="000000"/>
                    <w:sz w:val="20"/>
                  </w:rPr>
                </w:pPr>
              </w:p>
            </w:tc>
          </w:tr>
          <w:tr w14:paraId="4F505EA8" w14:textId="77777777">
            <w:tc>
              <w:tcPr>
                <w:tcW w:w="8391" w:type="dxa"/>
                <w:shd w:val="clear" w:color="auto" w:fill="FFFFFF" w:themeFill="background1"/>
              </w:tcPr>
              <w:p w14:paraId="244C7534" w14:textId="22126F90">
                <w:pPr>
                  <w:jc w:val="both"/>
                  <w:rPr>
                    <w:bCs/>
                    <w:sz w:val="20"/>
                  </w:rPr>
                </w:pPr>
                <w:r>
                  <w:rPr>
                    <w:bCs/>
                    <w:sz w:val="20"/>
                  </w:rPr>
                  <w:t>2.   Šios direktyvos įgyvendinimas jokiomis aplinkybėmis nesuteikia pagrindo mažinti apsaugos lygį šios direktyvos taikymo srityse.</w:t>
                </w:r>
              </w:p>
            </w:tc>
            <w:tc>
              <w:tcPr>
                <w:tcW w:w="5347" w:type="dxa"/>
                <w:shd w:val="clear" w:color="auto" w:fill="FFFFFF" w:themeFill="background1"/>
              </w:tcPr>
              <w:p w14:paraId="243915FF" w14:textId="2C816E20">
                <w:pPr>
                  <w:jc w:val="both"/>
                  <w:rPr>
                    <w:bCs/>
                    <w:color w:val="000000"/>
                    <w:sz w:val="20"/>
                  </w:rPr>
                </w:pPr>
              </w:p>
            </w:tc>
            <w:tc>
              <w:tcPr>
                <w:tcW w:w="1572" w:type="dxa"/>
                <w:shd w:val="clear" w:color="auto" w:fill="FFFFFF" w:themeFill="background1"/>
              </w:tcPr>
              <w:p w14:paraId="3D0DA3C4" w14:textId="082A8591">
                <w:pPr>
                  <w:jc w:val="both"/>
                  <w:rPr>
                    <w:color w:val="000000"/>
                    <w:sz w:val="20"/>
                  </w:rPr>
                </w:pPr>
              </w:p>
            </w:tc>
          </w:tr>
          <w:tr w14:paraId="0CA2EF67" w14:textId="77777777">
            <w:tc>
              <w:tcPr>
                <w:tcW w:w="15310" w:type="dxa"/>
                <w:gridSpan w:val="3"/>
                <w:shd w:val="clear" w:color="auto" w:fill="D6E3BC" w:themeFill="accent3" w:themeFillTint="66"/>
              </w:tcPr>
              <w:p w14:paraId="67A3A94D" w14:textId="0FEDB7F3">
                <w:pPr>
                  <w:jc w:val="both"/>
                  <w:rPr>
                    <w:b/>
                    <w:bCs/>
                    <w:color w:val="000000"/>
                    <w:sz w:val="20"/>
                  </w:rPr>
                </w:pPr>
                <w:r>
                  <w:rPr>
                    <w:b/>
                    <w:bCs/>
                    <w:color w:val="000000"/>
                    <w:sz w:val="20"/>
                  </w:rPr>
                  <w:t>28 straipsnis. Lygybės institucijos</w:t>
                </w:r>
              </w:p>
            </w:tc>
          </w:tr>
          <w:tr w14:paraId="297274BC" w14:textId="77777777">
            <w:tc>
              <w:tcPr>
                <w:tcW w:w="8391" w:type="dxa"/>
                <w:shd w:val="clear" w:color="auto" w:fill="FFFFFF" w:themeFill="background1"/>
              </w:tcPr>
              <w:p w14:paraId="438933A7" w14:textId="04D361C4">
                <w:pPr>
                  <w:jc w:val="both"/>
                  <w:rPr>
                    <w:color w:val="000000"/>
                    <w:sz w:val="20"/>
                  </w:rPr>
                </w:pPr>
                <w:r>
                  <w:rPr>
                    <w:color w:val="000000"/>
                    <w:sz w:val="20"/>
                  </w:rPr>
                  <w:t>1. Nedarant poveikio darbo inspekcijų ar kitų darbuotojų teises ginančių įstaigų, įskaitant socialinius partnerius, kompetencijai, įsteigtos lygybės institucijos laikomos kompetentingomis klausimais, patenkančiais į šios direktyvos taikymo sritį.</w:t>
                </w:r>
              </w:p>
            </w:tc>
            <w:tc>
              <w:tcPr>
                <w:tcW w:w="5347" w:type="dxa"/>
                <w:shd w:val="clear" w:color="auto" w:fill="FFFFFF" w:themeFill="background1"/>
              </w:tcPr>
              <w:p w14:paraId="74DEEE49" w14:textId="172CBD3B">
                <w:pPr>
                  <w:jc w:val="both"/>
                  <w:rPr>
                    <w:b/>
                    <w:bCs/>
                    <w:color w:val="000000"/>
                    <w:sz w:val="20"/>
                    <w:lang w:eastAsia="lt-LT"/>
                  </w:rPr>
                </w:pPr>
                <w:r>
                  <w:rPr>
                    <w:b/>
                    <w:bCs/>
                    <w:color w:val="000000"/>
                    <w:sz w:val="20"/>
                    <w:lang w:eastAsia="lt-LT"/>
                  </w:rPr>
                  <w:t>VDI įstatymas</w:t>
                </w:r>
              </w:p>
              <w:p w14:paraId="28F1D218" w14:textId="3A298B91">
                <w:pPr>
                  <w:jc w:val="both"/>
                  <w:rPr>
                    <w:b/>
                    <w:bCs/>
                    <w:color w:val="000000"/>
                    <w:sz w:val="20"/>
                    <w:lang w:eastAsia="lt-LT"/>
                  </w:rPr>
                </w:pPr>
                <w:r>
                  <w:rPr>
                    <w:b/>
                    <w:bCs/>
                    <w:color w:val="000000"/>
                    <w:sz w:val="20"/>
                    <w:lang w:eastAsia="lt-LT"/>
                  </w:rPr>
                  <w:t>4 straipsnis. Valstybinės darbo inspekcijos kompetencija</w:t>
                </w:r>
              </w:p>
              <w:p w14:paraId="342B9F40" w14:textId="6015AA0D">
                <w:pPr>
                  <w:jc w:val="both"/>
                  <w:rPr>
                    <w:color w:val="000000"/>
                    <w:sz w:val="20"/>
                    <w:lang w:eastAsia="lt-LT"/>
                  </w:rPr>
                </w:pPr>
                <w:r>
                  <w:rPr>
                    <w:color w:val="000000"/>
                    <w:sz w:val="20"/>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 kontrolė įmonėse, įstaigose, organizacijose ar kitose organizacinėse struktūrose, nepaisant jų nuosavybės formos, rūšies, veiklos pobūdžio, taip pat tais atvejais, kai darbdavys yra fizinis asmuo (toliau – darbdaviai), ir tais atvejais, kai savarankišką veiklą vykdo savarankiškai dirbantys asmenys, jeigu jiems taikomi darbuotojų saugos ir sveikatos norminių teisės aktų reikalavimai (toliau – savarankiškai dirbantys asmenys).</w:t>
                </w:r>
              </w:p>
              <w:p w14:paraId="672FC776" w14:textId="77777777">
                <w:pPr>
                  <w:jc w:val="both"/>
                  <w:rPr>
                    <w:color w:val="000000"/>
                    <w:sz w:val="20"/>
                    <w:lang w:eastAsia="lt-LT"/>
                  </w:rPr>
                </w:pPr>
                <w:r>
                  <w:rPr>
                    <w:i/>
                    <w:iCs/>
                    <w:color w:val="000000"/>
                    <w:sz w:val="20"/>
                    <w:lang w:eastAsia="lt-LT"/>
                  </w:rPr>
                  <w:t>Straipsnio pakeitimai:</w:t>
                </w:r>
              </w:p>
              <w:p w14:paraId="2F03F3B4" w14:textId="77777777">
                <w:pPr>
                  <w:jc w:val="both"/>
                  <w:rPr>
                    <w:color w:val="000000"/>
                    <w:sz w:val="20"/>
                    <w:lang w:eastAsia="lt-LT"/>
                  </w:rPr>
                </w:pPr>
                <w:r>
                  <w:rPr>
                    <w:i/>
                    <w:iCs/>
                    <w:color w:val="000000"/>
                    <w:sz w:val="20"/>
                    <w:lang w:eastAsia="lt-LT"/>
                  </w:rPr>
                  <w:t>Nr. </w:t>
                </w:r>
                <w:hyperlink r:id="rId53" w:tgtFrame="_parent" w:history="1">
                  <w:r>
                    <w:rPr>
                      <w:i/>
                      <w:iCs/>
                      <w:color w:val="0000FF"/>
                      <w:sz w:val="20"/>
                      <w:u w:val="single"/>
                      <w:lang w:eastAsia="lt-LT"/>
                    </w:rPr>
                    <w:t>XIII-1160</w:t>
                  </w:r>
                </w:hyperlink>
                <w:r>
                  <w:rPr>
                    <w:i/>
                    <w:iCs/>
                    <w:color w:val="000000"/>
                    <w:sz w:val="20"/>
                    <w:lang w:eastAsia="lt-LT"/>
                  </w:rPr>
                  <w:t>, 2018-05-17, paskelbta TAR 2018-05-28, i. k. 2018-08533</w:t>
                </w:r>
              </w:p>
              <w:p w14:paraId="3726B108" w14:textId="187BEBC0">
                <w:pPr>
                  <w:jc w:val="both"/>
                  <w:rPr>
                    <w:color w:val="000000"/>
                    <w:sz w:val="20"/>
                    <w:lang w:eastAsia="lt-LT"/>
                  </w:rPr>
                </w:pPr>
                <w:r>
                  <w:rPr>
                    <w:i/>
                    <w:iCs/>
                    <w:color w:val="000000"/>
                    <w:sz w:val="20"/>
                    <w:lang w:eastAsia="lt-LT"/>
                  </w:rPr>
                  <w:t>Nr. </w:t>
                </w:r>
                <w:hyperlink r:id="rId54" w:tgtFrame="_parent" w:history="1">
                  <w:r>
                    <w:rPr>
                      <w:i/>
                      <w:iCs/>
                      <w:color w:val="0000FF"/>
                      <w:sz w:val="20"/>
                      <w:u w:val="single"/>
                      <w:lang w:eastAsia="lt-LT"/>
                    </w:rPr>
                    <w:t>XIV-552</w:t>
                  </w:r>
                </w:hyperlink>
                <w:r>
                  <w:rPr>
                    <w:i/>
                    <w:iCs/>
                    <w:color w:val="000000"/>
                    <w:sz w:val="20"/>
                    <w:lang w:eastAsia="lt-LT"/>
                  </w:rPr>
                  <w:t>, 2021-09-30, paskelbta TAR 2021-10-08, i. k. 2021-21219</w:t>
                </w:r>
              </w:p>
              <w:p w14:paraId="2D850DE8" w14:textId="650FDCB8">
                <w:pPr>
                  <w:jc w:val="both"/>
                  <w:rPr>
                    <w:b/>
                    <w:bCs/>
                    <w:color w:val="000000"/>
                    <w:sz w:val="20"/>
                    <w:lang w:eastAsia="lt-LT"/>
                  </w:rPr>
                </w:pPr>
                <w:r>
                  <w:rPr>
                    <w:b/>
                    <w:bCs/>
                    <w:color w:val="000000"/>
                    <w:sz w:val="20"/>
                    <w:lang w:eastAsia="lt-LT"/>
                  </w:rPr>
                  <w:t>VDI darbo reglamentas</w:t>
                </w:r>
              </w:p>
              <w:p w14:paraId="205FB255" w14:textId="2394051A">
                <w:pPr>
                  <w:jc w:val="both"/>
                  <w:rPr>
                    <w:color w:val="000000"/>
                    <w:sz w:val="20"/>
                    <w:lang w:eastAsia="lt-LT"/>
                  </w:rPr>
                </w:pPr>
                <w:r>
                  <w:rPr>
                    <w:b/>
                    <w:bCs/>
                    <w:color w:val="000000"/>
                    <w:sz w:val="20"/>
                    <w:lang w:eastAsia="lt-LT"/>
                  </w:rPr>
                  <w:t>3 punktas</w:t>
                </w:r>
                <w:r>
                  <w:rPr>
                    <w:color w:val="000000"/>
                    <w:sz w:val="20"/>
                    <w:lang w:eastAsia="lt-LT"/>
                  </w:rPr>
                  <w:t>. VDI veikla grindžiama teisėtumo, teisingumo, įstatymo viršenybės, objektyvumo, proporcingumo, nepiktnaudžiavimo valdžia, tarnybinio bendradarbiavimo ir kitais Lietuvos Respublikos viešojo administravimo įstatyme (toliau – Viešojo administravimo įstatymas) nustatytais principais.</w:t>
                </w:r>
              </w:p>
              <w:p w14:paraId="14EF557A" w14:textId="2836441F">
                <w:pPr>
                  <w:jc w:val="both"/>
                  <w:rPr>
                    <w:color w:val="000000"/>
                    <w:sz w:val="20"/>
                    <w:lang w:eastAsia="lt-LT"/>
                  </w:rPr>
                </w:pPr>
                <w:r>
                  <w:rPr>
                    <w:color w:val="000000"/>
                    <w:sz w:val="20"/>
                    <w:lang w:eastAsia="lt-LT"/>
                  </w:rPr>
                  <w:t>&lt;...&gt;</w:t>
                </w:r>
              </w:p>
              <w:p w14:paraId="17542E31" w14:textId="386BD888">
                <w:pPr>
                  <w:jc w:val="both"/>
                  <w:rPr>
                    <w:color w:val="000000"/>
                    <w:sz w:val="20"/>
                    <w:lang w:eastAsia="lt-LT"/>
                  </w:rPr>
                </w:pPr>
                <w:r>
                  <w:rPr>
                    <w:b/>
                    <w:bCs/>
                    <w:color w:val="000000"/>
                    <w:sz w:val="20"/>
                    <w:lang w:eastAsia="lt-LT"/>
                  </w:rPr>
                  <w:t>8.8.1. punktas</w:t>
                </w:r>
                <w:r>
                  <w:rPr>
                    <w:color w:val="000000"/>
                    <w:sz w:val="20"/>
                    <w:lang w:eastAsia="lt-LT"/>
                  </w:rPr>
                  <w:t>. tiria prašymus bei skundus Valstybinės darbo inspekcijos kompetencijai priskirtais klausimais, užtikrina pareiškėjų konfidencialumą</w:t>
                </w:r>
              </w:p>
              <w:p w14:paraId="7D3E2BE2" w14:textId="3AFEF708">
                <w:pPr>
                  <w:jc w:val="both"/>
                  <w:rPr>
                    <w:b/>
                    <w:bCs/>
                    <w:color w:val="000000"/>
                    <w:sz w:val="20"/>
                    <w:lang w:eastAsia="lt-LT"/>
                  </w:rPr>
                </w:pPr>
                <w:r>
                  <w:rPr>
                    <w:b/>
                    <w:bCs/>
                    <w:color w:val="000000"/>
                    <w:sz w:val="20"/>
                    <w:lang w:eastAsia="lt-LT"/>
                  </w:rPr>
                  <w:t>DK</w:t>
                </w:r>
              </w:p>
              <w:p w14:paraId="78949E1E" w14:textId="4FDB50C8">
                <w:pPr>
                  <w:jc w:val="both"/>
                  <w:rPr>
                    <w:b/>
                    <w:bCs/>
                    <w:color w:val="000000"/>
                    <w:sz w:val="20"/>
                    <w:lang w:eastAsia="lt-LT"/>
                  </w:rPr>
                </w:pPr>
                <w:r>
                  <w:rPr>
                    <w:b/>
                    <w:bCs/>
                    <w:color w:val="000000"/>
                    <w:sz w:val="20"/>
                    <w:lang w:eastAsia="lt-LT"/>
                  </w:rPr>
                  <w:t>165 straipsnis. Darbuotojų atstovavimo sistema</w:t>
                </w:r>
              </w:p>
              <w:p w14:paraId="130B1CFF" w14:textId="7882E014">
                <w:pPr>
                  <w:jc w:val="both"/>
                  <w:rPr>
                    <w:color w:val="000000"/>
                    <w:sz w:val="20"/>
                    <w:lang w:eastAsia="lt-LT"/>
                  </w:rPr>
                </w:pPr>
                <w:r>
                  <w:rPr>
                    <w:color w:val="000000"/>
                    <w:sz w:val="20"/>
                    <w:lang w:eastAsia="lt-LT"/>
                  </w:rPr>
                  <w:t>1.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p w14:paraId="15E906B7" w14:textId="77777777">
                <w:pPr>
                  <w:jc w:val="both"/>
                  <w:rPr>
                    <w:color w:val="000000"/>
                    <w:sz w:val="20"/>
                    <w:lang w:eastAsia="lt-LT"/>
                  </w:rPr>
                </w:pPr>
                <w:r>
                  <w:rPr>
                    <w:color w:val="000000"/>
                    <w:sz w:val="20"/>
                    <w:lang w:eastAsia="lt-LT"/>
                  </w:rPr>
                  <w:t>&lt;...&gt;</w:t>
                </w:r>
              </w:p>
              <w:p w14:paraId="72DD5018" w14:textId="1E073781">
                <w:pPr>
                  <w:jc w:val="both"/>
                  <w:rPr>
                    <w:color w:val="000000"/>
                    <w:sz w:val="20"/>
                    <w:lang w:eastAsia="lt-LT"/>
                  </w:rPr>
                </w:pPr>
                <w:r>
                  <w:rPr>
                    <w:color w:val="000000"/>
                    <w:sz w:val="20"/>
                    <w:lang w:eastAsia="lt-LT"/>
                  </w:rPr>
                  <w:t>3.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p w14:paraId="6F782E01" w14:textId="2F56A267">
                <w:pPr>
                  <w:jc w:val="both"/>
                  <w:rPr>
                    <w:color w:val="000000"/>
                    <w:sz w:val="20"/>
                    <w:lang w:eastAsia="lt-LT"/>
                  </w:rPr>
                </w:pPr>
                <w:r>
                  <w:rPr>
                    <w:color w:val="000000"/>
                    <w:sz w:val="20"/>
                    <w:lang w:eastAsia="lt-LT"/>
                  </w:rPr>
                  <w:t>4.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p w14:paraId="743BDA29" w14:textId="04C4081F">
                <w:pPr>
                  <w:jc w:val="both"/>
                  <w:rPr>
                    <w:color w:val="000000"/>
                    <w:sz w:val="20"/>
                    <w:lang w:eastAsia="lt-LT"/>
                  </w:rPr>
                </w:pPr>
                <w:r>
                  <w:rPr>
                    <w:b/>
                    <w:bCs/>
                    <w:color w:val="000000"/>
                    <w:sz w:val="20"/>
                    <w:lang w:eastAsia="lt-LT"/>
                  </w:rPr>
                  <w:t>166 straipsnis. Darbuotojų atstovų nepriklausomumo garantijos</w:t>
                </w:r>
              </w:p>
              <w:p w14:paraId="25981E76" w14:textId="49D6409E">
                <w:pPr>
                  <w:jc w:val="both"/>
                  <w:rPr>
                    <w:color w:val="000000"/>
                    <w:sz w:val="20"/>
                    <w:lang w:eastAsia="lt-LT"/>
                  </w:rPr>
                </w:pPr>
                <w:r>
                  <w:rPr>
                    <w:color w:val="000000"/>
                    <w:sz w:val="20"/>
                    <w:lang w:eastAsia="lt-LT"/>
                  </w:rPr>
                  <w:t>1. Darbuotojų atstovai veikia laisvai ir nepriklausomai nuo kitų socialinės partnerystės šalių.</w:t>
                </w:r>
              </w:p>
              <w:p w14:paraId="3EE5247B" w14:textId="28261E98">
                <w:pPr>
                  <w:rPr>
                    <w:sz w:val="22"/>
                    <w:szCs w:val="22"/>
                    <w:lang w:eastAsia="lt-LT"/>
                  </w:rPr>
                </w:pPr>
                <w:r>
                  <w:rPr>
                    <w:sz w:val="22"/>
                    <w:szCs w:val="22"/>
                    <w:lang w:eastAsia="lt-LT"/>
                  </w:rPr>
                  <w:t>&lt;...&gt;</w:t>
                </w:r>
              </w:p>
              <w:p w14:paraId="5A36DA98" w14:textId="3B5F92D2">
                <w:pPr>
                  <w:jc w:val="both"/>
                  <w:rPr>
                    <w:b/>
                    <w:bCs/>
                    <w:color w:val="000000"/>
                    <w:sz w:val="20"/>
                    <w:lang w:eastAsia="lt-LT"/>
                  </w:rPr>
                </w:pPr>
                <w:r>
                  <w:rPr>
                    <w:b/>
                    <w:bCs/>
                    <w:color w:val="000000"/>
                    <w:sz w:val="20"/>
                    <w:lang w:eastAsia="lt-LT"/>
                  </w:rPr>
                  <w:t>215 straipsnis. Darbo ginčų nagrinėjimas šio kodekso nustatyta tvarka</w:t>
                </w:r>
              </w:p>
              <w:p w14:paraId="20A07278" w14:textId="36CDADD3">
                <w:pPr>
                  <w:jc w:val="both"/>
                  <w:rPr>
                    <w:color w:val="000000"/>
                    <w:sz w:val="20"/>
                    <w:lang w:eastAsia="lt-LT"/>
                  </w:rPr>
                </w:pPr>
                <w:r>
                  <w:rPr>
                    <w:color w:val="000000"/>
                    <w:sz w:val="20"/>
                    <w:lang w:eastAsia="lt-LT"/>
                  </w:rPr>
                  <w:t>1.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w:t>
                </w:r>
              </w:p>
              <w:p w14:paraId="51FA7E1C" w14:textId="75348098">
                <w:pPr>
                  <w:rPr>
                    <w:sz w:val="22"/>
                    <w:szCs w:val="22"/>
                    <w:lang w:eastAsia="lt-LT"/>
                  </w:rPr>
                </w:pPr>
                <w:r>
                  <w:rPr>
                    <w:sz w:val="22"/>
                    <w:szCs w:val="22"/>
                    <w:lang w:eastAsia="lt-LT"/>
                  </w:rPr>
                  <w:t>&lt;...&gt;</w:t>
                </w:r>
              </w:p>
              <w:p w14:paraId="3BE7265B" w14:textId="77777777">
                <w:pPr>
                  <w:jc w:val="both"/>
                  <w:rPr>
                    <w:b/>
                    <w:bCs/>
                    <w:color w:val="000000"/>
                    <w:sz w:val="20"/>
                    <w:lang w:eastAsia="lt-LT"/>
                  </w:rPr>
                </w:pPr>
                <w:r>
                  <w:rPr>
                    <w:b/>
                    <w:bCs/>
                    <w:color w:val="000000"/>
                    <w:sz w:val="20"/>
                    <w:lang w:eastAsia="lt-LT"/>
                  </w:rPr>
                  <w:t>216 straipsnis. Darbo ginčus dėl teisės nagrinėjantys organai</w:t>
                </w:r>
              </w:p>
              <w:p w14:paraId="2DB74787" w14:textId="77777777">
                <w:pPr>
                  <w:jc w:val="both"/>
                  <w:rPr>
                    <w:color w:val="000000"/>
                    <w:sz w:val="20"/>
                    <w:lang w:eastAsia="lt-LT"/>
                  </w:rPr>
                </w:pPr>
                <w:r>
                  <w:rPr>
                    <w:color w:val="000000"/>
                    <w:sz w:val="20"/>
                    <w:lang w:eastAsia="lt-LT"/>
                  </w:rPr>
                  <w:t>1. Darbo ginčus dėl teisės nagrinėja:</w:t>
                </w:r>
              </w:p>
              <w:p w14:paraId="6B3FD10B" w14:textId="77777777">
                <w:pPr>
                  <w:jc w:val="both"/>
                  <w:rPr>
                    <w:color w:val="000000"/>
                    <w:sz w:val="20"/>
                    <w:lang w:eastAsia="lt-LT"/>
                  </w:rPr>
                </w:pPr>
                <w:r>
                  <w:rPr>
                    <w:color w:val="000000"/>
                    <w:sz w:val="20"/>
                    <w:lang w:eastAsia="lt-LT"/>
                  </w:rPr>
                  <w:t>1) darbo ginčų komisija;</w:t>
                </w:r>
              </w:p>
              <w:p w14:paraId="0FAADCC7" w14:textId="1161DA17">
                <w:pPr>
                  <w:jc w:val="both"/>
                  <w:rPr>
                    <w:color w:val="000000"/>
                    <w:sz w:val="20"/>
                    <w:lang w:eastAsia="lt-LT"/>
                  </w:rPr>
                </w:pPr>
                <w:r>
                  <w:rPr>
                    <w:color w:val="000000"/>
                    <w:sz w:val="20"/>
                    <w:lang w:eastAsia="lt-LT"/>
                  </w:rPr>
                  <w:t>2) teismas.</w:t>
                </w:r>
              </w:p>
              <w:p w14:paraId="188CD948" w14:textId="3EAD7071">
                <w:pPr>
                  <w:jc w:val="both"/>
                  <w:rPr>
                    <w:b/>
                    <w:bCs/>
                    <w:color w:val="000000"/>
                    <w:sz w:val="20"/>
                    <w:lang w:eastAsia="lt-LT"/>
                  </w:rPr>
                </w:pPr>
                <w:r>
                  <w:rPr>
                    <w:b/>
                    <w:bCs/>
                    <w:color w:val="000000"/>
                    <w:sz w:val="20"/>
                    <w:lang w:eastAsia="lt-LT"/>
                  </w:rPr>
                  <w:t>217 straipsnis. Darbo ginčus dėl teisės nagrinėjančių organų kompetencija</w:t>
                </w:r>
              </w:p>
              <w:p w14:paraId="62BF501D" w14:textId="1EBF6663">
                <w:pPr>
                  <w:jc w:val="both"/>
                  <w:rPr>
                    <w:color w:val="000000"/>
                    <w:sz w:val="20"/>
                    <w:lang w:eastAsia="lt-LT"/>
                  </w:rPr>
                </w:pPr>
                <w:r>
                  <w:rPr>
                    <w:color w:val="000000"/>
                    <w:sz w:val="20"/>
                    <w:lang w:eastAsia="lt-LT"/>
                  </w:rPr>
                  <w:t>1. Nagrinėdamas darbo ginčus dėl teisės, darbo ginčą nagrinėjantis organas turi teisę:</w:t>
                </w:r>
              </w:p>
              <w:p w14:paraId="7C207D5E" w14:textId="2FC79472">
                <w:pPr>
                  <w:jc w:val="both"/>
                  <w:rPr>
                    <w:color w:val="000000"/>
                    <w:sz w:val="20"/>
                    <w:lang w:eastAsia="lt-LT"/>
                  </w:rPr>
                </w:pPr>
                <w:r>
                  <w:rPr>
                    <w:color w:val="000000"/>
                    <w:sz w:val="20"/>
                    <w:lang w:eastAsia="lt-LT"/>
                  </w:rPr>
                  <w:t>1) įpareigoti kitą šalį atkurti dėl darbo teisės normų ar abipusių susitarimų nevykdymo ar netinkamo vykdymo pažeistas teises;</w:t>
                </w:r>
              </w:p>
              <w:p w14:paraId="07A526E9" w14:textId="1696A0E6">
                <w:pPr>
                  <w:jc w:val="both"/>
                  <w:rPr>
                    <w:color w:val="000000"/>
                    <w:sz w:val="20"/>
                    <w:lang w:eastAsia="lt-LT"/>
                  </w:rPr>
                </w:pPr>
                <w:r>
                  <w:rPr>
                    <w:color w:val="000000"/>
                    <w:sz w:val="20"/>
                    <w:lang w:eastAsia="lt-LT"/>
                  </w:rPr>
                  <w:t>2) priteisti padarytą turtinę ar neturtinę žalą, o darbo teisės normų ar susitarimų nustatytais atvejais – ir baudas ar delspinigius;</w:t>
                </w:r>
              </w:p>
              <w:p w14:paraId="3B09B3AD" w14:textId="2BA755F9">
                <w:pPr>
                  <w:jc w:val="both"/>
                  <w:rPr>
                    <w:color w:val="000000"/>
                    <w:sz w:val="20"/>
                    <w:lang w:eastAsia="lt-LT"/>
                  </w:rPr>
                </w:pPr>
                <w:r>
                  <w:rPr>
                    <w:color w:val="000000"/>
                    <w:sz w:val="20"/>
                    <w:lang w:eastAsia="lt-LT"/>
                  </w:rPr>
                  <w:t>3) nutraukti arba pakeisti teisinius santykius;</w:t>
                </w:r>
              </w:p>
              <w:p w14:paraId="2D884C6F" w14:textId="4D99F0B2">
                <w:pPr>
                  <w:jc w:val="both"/>
                  <w:rPr>
                    <w:color w:val="000000"/>
                    <w:sz w:val="20"/>
                    <w:lang w:eastAsia="lt-LT"/>
                  </w:rPr>
                </w:pPr>
                <w:r>
                  <w:rPr>
                    <w:color w:val="000000"/>
                    <w:sz w:val="20"/>
                    <w:lang w:eastAsia="lt-LT"/>
                  </w:rPr>
                  <w:t>4) įpareigoti atlikti kitus įstatymuose ar darbo teisės normose nustatytus veiksmus.</w:t>
                </w:r>
              </w:p>
              <w:p w14:paraId="6D16741B" w14:textId="741873D3">
                <w:pPr>
                  <w:jc w:val="both"/>
                  <w:rPr>
                    <w:color w:val="000000"/>
                    <w:sz w:val="20"/>
                    <w:lang w:eastAsia="lt-LT"/>
                  </w:rPr>
                </w:pPr>
                <w:r>
                  <w:rPr>
                    <w:color w:val="000000"/>
                    <w:sz w:val="20"/>
                    <w:lang w:eastAsia="lt-LT"/>
                  </w:rPr>
                  <w:t>2.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w:t>
                </w:r>
              </w:p>
              <w:p w14:paraId="632E990A" w14:textId="11713290">
                <w:pPr>
                  <w:jc w:val="both"/>
                  <w:rPr>
                    <w:color w:val="000000"/>
                    <w:sz w:val="20"/>
                    <w:lang w:eastAsia="lt-LT"/>
                  </w:rPr>
                </w:pPr>
                <w:r>
                  <w:rPr>
                    <w:color w:val="000000"/>
                    <w:sz w:val="20"/>
                    <w:lang w:eastAsia="lt-LT"/>
                  </w:rPr>
                  <w:t>3. Darbo ginčų komisijoje darbo ginčai dėl teisės nagrinėjami nemokamai ir ginčo šalių patirtos bylinėjimosi išlaidos nepriteisiamos.</w:t>
                </w:r>
              </w:p>
              <w:p w14:paraId="6EC6AF5A" w14:textId="77777777">
                <w:pPr>
                  <w:jc w:val="both"/>
                  <w:rPr>
                    <w:color w:val="000000"/>
                    <w:sz w:val="20"/>
                    <w:lang w:eastAsia="lt-LT"/>
                  </w:rPr>
                </w:pPr>
                <w:r>
                  <w:rPr>
                    <w:i/>
                    <w:iCs/>
                    <w:color w:val="000000"/>
                    <w:sz w:val="20"/>
                    <w:lang w:eastAsia="lt-LT"/>
                  </w:rPr>
                  <w:t>Papildyta straipsnio dalimi:</w:t>
                </w:r>
              </w:p>
              <w:p w14:paraId="574212AB" w14:textId="77777777">
                <w:pPr>
                  <w:jc w:val="both"/>
                  <w:rPr>
                    <w:color w:val="000000"/>
                    <w:sz w:val="20"/>
                    <w:lang w:eastAsia="lt-LT"/>
                  </w:rPr>
                </w:pPr>
                <w:r>
                  <w:rPr>
                    <w:i/>
                    <w:iCs/>
                    <w:color w:val="000000"/>
                    <w:sz w:val="20"/>
                    <w:lang w:eastAsia="lt-LT"/>
                  </w:rPr>
                  <w:t>Nr. </w:t>
                </w:r>
                <w:hyperlink r:id="rId55" w:tgtFrame="_parent" w:history="1">
                  <w:r>
                    <w:rPr>
                      <w:i/>
                      <w:iCs/>
                      <w:color w:val="0000FF"/>
                      <w:sz w:val="20"/>
                      <w:u w:val="single"/>
                      <w:lang w:eastAsia="lt-LT"/>
                    </w:rPr>
                    <w:t>XII-2688</w:t>
                  </w:r>
                </w:hyperlink>
                <w:r>
                  <w:rPr>
                    <w:i/>
                    <w:iCs/>
                    <w:color w:val="000000"/>
                    <w:sz w:val="20"/>
                    <w:lang w:eastAsia="lt-LT"/>
                  </w:rPr>
                  <w:t>, 2016-11-03, paskelbta TAR 2016-11-09, i. k. 2016-26498</w:t>
                </w:r>
              </w:p>
              <w:p w14:paraId="1CD31772" w14:textId="77777777">
                <w:pPr>
                  <w:jc w:val="both"/>
                  <w:rPr>
                    <w:color w:val="000000"/>
                    <w:sz w:val="20"/>
                    <w:lang w:eastAsia="lt-LT"/>
                  </w:rPr>
                </w:pPr>
                <w:r>
                  <w:rPr>
                    <w:i/>
                    <w:iCs/>
                    <w:color w:val="000000"/>
                    <w:sz w:val="20"/>
                    <w:lang w:eastAsia="lt-LT"/>
                  </w:rPr>
                  <w:t>Straipsnio dalies pakeitimai:</w:t>
                </w:r>
              </w:p>
              <w:p w14:paraId="298BB506" w14:textId="6DE80C09">
                <w:pPr>
                  <w:jc w:val="both"/>
                  <w:rPr>
                    <w:color w:val="000000"/>
                    <w:sz w:val="20"/>
                    <w:lang w:eastAsia="lt-LT"/>
                  </w:rPr>
                </w:pPr>
                <w:r>
                  <w:rPr>
                    <w:i/>
                    <w:iCs/>
                    <w:color w:val="000000"/>
                    <w:sz w:val="20"/>
                    <w:lang w:eastAsia="lt-LT"/>
                  </w:rPr>
                  <w:t>Nr. </w:t>
                </w:r>
                <w:hyperlink r:id="rId56" w:tgtFrame="_parent" w:history="1">
                  <w:r>
                    <w:rPr>
                      <w:i/>
                      <w:iCs/>
                      <w:color w:val="0000FF"/>
                      <w:sz w:val="20"/>
                      <w:u w:val="single"/>
                      <w:lang w:eastAsia="lt-LT"/>
                    </w:rPr>
                    <w:t>XIII-413</w:t>
                  </w:r>
                </w:hyperlink>
                <w:r>
                  <w:rPr>
                    <w:i/>
                    <w:iCs/>
                    <w:color w:val="000000"/>
                    <w:sz w:val="20"/>
                    <w:lang w:eastAsia="lt-LT"/>
                  </w:rPr>
                  <w:t>, 2017-06-06, paskelbta TAR 2017-06-14, i. k. 2017-10021</w:t>
                </w:r>
              </w:p>
              <w:p w14:paraId="25D5AD30" w14:textId="05443257">
                <w:pPr>
                  <w:jc w:val="both"/>
                  <w:rPr>
                    <w:b/>
                    <w:bCs/>
                    <w:color w:val="000000"/>
                    <w:sz w:val="20"/>
                    <w:lang w:eastAsia="lt-LT"/>
                  </w:rPr>
                </w:pPr>
                <w:r>
                  <w:rPr>
                    <w:b/>
                    <w:bCs/>
                    <w:color w:val="000000"/>
                    <w:sz w:val="20"/>
                    <w:lang w:eastAsia="lt-LT"/>
                  </w:rPr>
                  <w:t xml:space="preserve">MVLGĮ </w:t>
                </w:r>
              </w:p>
              <w:p w14:paraId="4B0A07D5" w14:textId="5DEDA475">
                <w:pPr>
                  <w:jc w:val="both"/>
                  <w:rPr>
                    <w:b/>
                    <w:bCs/>
                    <w:color w:val="000000"/>
                    <w:sz w:val="20"/>
                    <w:lang w:eastAsia="lt-LT"/>
                  </w:rPr>
                </w:pPr>
                <w:r>
                  <w:rPr>
                    <w:b/>
                    <w:bCs/>
                    <w:color w:val="000000"/>
                    <w:sz w:val="20"/>
                    <w:lang w:eastAsia="lt-LT"/>
                  </w:rPr>
                  <w:t>19 straipsnis. Įstatymo vykdymo priežiūra</w:t>
                </w:r>
              </w:p>
              <w:p w14:paraId="25A743C4" w14:textId="00CB12BF">
                <w:pPr>
                  <w:jc w:val="both"/>
                  <w:rPr>
                    <w:color w:val="000000"/>
                    <w:sz w:val="20"/>
                    <w:lang w:eastAsia="lt-LT"/>
                  </w:rPr>
                </w:pPr>
                <w:r>
                  <w:rPr>
                    <w:color w:val="000000"/>
                    <w:sz w:val="20"/>
                    <w:lang w:eastAsia="lt-LT"/>
                  </w:rPr>
                  <w:t>1. Moterų ir vyrų lygių galimybių įstatymo vykdymo priežiūrą atlieka lygių galimybių kontrolierius.</w:t>
                </w:r>
              </w:p>
              <w:p w14:paraId="0D649610" w14:textId="099ACEA1">
                <w:pPr>
                  <w:jc w:val="both"/>
                  <w:rPr>
                    <w:color w:val="000000"/>
                    <w:sz w:val="20"/>
                    <w:lang w:eastAsia="lt-LT"/>
                  </w:rPr>
                </w:pPr>
                <w:r>
                  <w:rPr>
                    <w:color w:val="000000"/>
                    <w:sz w:val="20"/>
                    <w:lang w:eastAsia="lt-LT"/>
                  </w:rPr>
                  <w:t>2. Skundai dėl moterų ir vyrų lygių galimybių pažeidimo teikiami lygių galimybių kontrolieriui.</w:t>
                </w:r>
              </w:p>
              <w:p w14:paraId="5FC9F27D" w14:textId="66DD96C3">
                <w:pPr>
                  <w:jc w:val="both"/>
                  <w:rPr>
                    <w:color w:val="000000"/>
                    <w:sz w:val="20"/>
                    <w:lang w:eastAsia="lt-LT"/>
                  </w:rPr>
                </w:pPr>
                <w:r>
                  <w:rPr>
                    <w:color w:val="000000"/>
                    <w:sz w:val="20"/>
                    <w:lang w:eastAsia="lt-LT"/>
                  </w:rPr>
                  <w:t>3. Skundai dėl moterų ir vyrų lygių galimybių pažeidimo tiriami ir sprendimai dėl jų priimami Lietuvos Respublikos lygių galimybių įstatymo nustatyta tvarka.</w:t>
                </w:r>
              </w:p>
              <w:p w14:paraId="3FDAF7EC" w14:textId="2F31F10A">
                <w:pPr>
                  <w:jc w:val="both"/>
                  <w:rPr>
                    <w:b/>
                    <w:bCs/>
                    <w:color w:val="000000"/>
                    <w:sz w:val="20"/>
                  </w:rPr>
                </w:pPr>
                <w:r>
                  <w:rPr>
                    <w:b/>
                    <w:bCs/>
                    <w:color w:val="000000"/>
                    <w:sz w:val="20"/>
                  </w:rPr>
                  <w:t xml:space="preserve">LGĮ </w:t>
                </w:r>
              </w:p>
              <w:p w14:paraId="667703BC" w14:textId="3707A232">
                <w:pPr>
                  <w:jc w:val="both"/>
                  <w:rPr>
                    <w:b/>
                    <w:bCs/>
                    <w:color w:val="000000"/>
                    <w:sz w:val="20"/>
                  </w:rPr>
                </w:pPr>
                <w:r>
                  <w:rPr>
                    <w:b/>
                    <w:bCs/>
                    <w:color w:val="000000"/>
                    <w:sz w:val="20"/>
                  </w:rPr>
                  <w:t>17 straipsnis. Lygių galimybių kontrolieriaus kompetencija</w:t>
                </w:r>
              </w:p>
              <w:p w14:paraId="20937636" w14:textId="3AE62138">
                <w:pPr>
                  <w:jc w:val="both"/>
                  <w:rPr>
                    <w:color w:val="000000"/>
                    <w:sz w:val="20"/>
                  </w:rPr>
                </w:pPr>
                <w:r>
                  <w:rPr>
                    <w:color w:val="000000"/>
                    <w:sz w:val="20"/>
                  </w:rPr>
                  <w:t>1. Lygių galimybių kontrolierius, vadovaudamasis teisėtumo, nešališkumo ir teisingumo principais, šio įstatymo nustatyta tvarka tiria skundus, atlieka tyrimus savo iniciatyva ir teikia konsultacijas dėl paklausimų.</w:t>
                </w:r>
              </w:p>
              <w:p w14:paraId="12D629BF" w14:textId="77777777">
                <w:pPr>
                  <w:jc w:val="both"/>
                  <w:rPr>
                    <w:color w:val="000000"/>
                    <w:sz w:val="20"/>
                  </w:rPr>
                </w:pPr>
                <w:r>
                  <w:rPr>
                    <w:color w:val="000000"/>
                    <w:sz w:val="20"/>
                  </w:rPr>
                  <w:t>2. Lygių galimybių kontrolierius atlieka nepriklausomus tyrimus, susijusius su diskriminacijos atvejais, ir nepriklausomas diskriminacijos padėties apžvalgas, skelbia nepriklausomas ataskaitas, teikia išvadas ir rekomendacijas bet kokiais su diskriminacija susijusiais klausimais dėl šio įstatymo įgyvendinimo, taip pat pasiūlymus valstybės ir savivaldybių institucijoms ir įstaigoms dėl teisės aktų tobulinimo ir lygių teisių įgyvendinimo politikos prioritetų, vykdo prevencinę ir švietėjišką veiklą, lygių galimybių užtikrinimo sklaidą.</w:t>
                </w:r>
              </w:p>
              <w:p w14:paraId="31EB5331" w14:textId="77777777">
                <w:pPr>
                  <w:jc w:val="both"/>
                  <w:rPr>
                    <w:b/>
                    <w:bCs/>
                    <w:color w:val="000000"/>
                    <w:sz w:val="20"/>
                  </w:rPr>
                </w:pPr>
                <w:r>
                  <w:rPr>
                    <w:b/>
                    <w:bCs/>
                    <w:color w:val="000000"/>
                    <w:sz w:val="20"/>
                  </w:rPr>
                  <w:t>LGKT nuostatai</w:t>
                </w:r>
              </w:p>
              <w:p w14:paraId="2BE358F1" w14:textId="77777777">
                <w:pPr>
                  <w:jc w:val="both"/>
                  <w:rPr>
                    <w:color w:val="000000"/>
                    <w:sz w:val="20"/>
                  </w:rPr>
                </w:pPr>
                <w:r>
                  <w:rPr>
                    <w:color w:val="000000"/>
                    <w:sz w:val="20"/>
                  </w:rPr>
                  <w:t>&lt;...&gt;</w:t>
                </w:r>
              </w:p>
              <w:p w14:paraId="4BD7DCBB" w14:textId="77777777">
                <w:pPr>
                  <w:jc w:val="both"/>
                  <w:rPr>
                    <w:color w:val="000000"/>
                    <w:sz w:val="20"/>
                  </w:rPr>
                </w:pPr>
                <w:r>
                  <w:rPr>
                    <w:color w:val="000000"/>
                    <w:sz w:val="20"/>
                  </w:rPr>
                  <w:t>14. Lygių galimybių kontrolierius, vadovaudamasis teisėtumo, nešališkumo ir teisingumo principais, Lygių galimybių įstatymo nustatyta tvarka tiria skundus, atlieka tyrimus savo iniciatyva ir teikia konsultacijas dėl paklausimų.</w:t>
                </w:r>
              </w:p>
              <w:p w14:paraId="333BE134" w14:textId="77777777">
                <w:pPr>
                  <w:jc w:val="both"/>
                  <w:rPr>
                    <w:color w:val="000000"/>
                    <w:sz w:val="20"/>
                  </w:rPr>
                </w:pPr>
                <w:r>
                  <w:rPr>
                    <w:color w:val="000000"/>
                    <w:sz w:val="20"/>
                  </w:rPr>
                  <w:t>15. Lygių galimybių kontrolierius atlieka nepriklausomus tyrimus, susijusius su diskriminacijos atvejais, ir nepriklausomas diskriminacijos padėties apžvalgas, skelbia nepriklausomas ataskaitas, teikia išvadas ir rekomendacijas bet kokiais su diskriminacija susijusiais klausimais dėl Lygių galimybių įstatymo įgyvendinimo, taip pat pasiūlymus valstybės ir savivaldybių institucijoms ir įstaigoms dėl teisės aktų tobulinimo ir lygių teisių įgyvendinimo politikos prioritetų, vykdo prevencinę ir švietėjišką veiklą, lygių galimybių užtikrinimo sklaidą.</w:t>
                </w:r>
              </w:p>
              <w:p w14:paraId="018F5527" w14:textId="0EB765DD">
                <w:pPr>
                  <w:jc w:val="both"/>
                  <w:rPr>
                    <w:color w:val="000000"/>
                    <w:sz w:val="20"/>
                  </w:rPr>
                </w:pPr>
                <w:r>
                  <w:rPr>
                    <w:color w:val="000000"/>
                    <w:sz w:val="20"/>
                  </w:rPr>
                  <w:t>16. Lygių galimybių kontrolierius keičiasi turima informacija su kitomis Lietuvos Respublikos ir užsienio valstybių institucijomis ir įstaigomis, tarptautinėmis organizacijomis.</w:t>
                </w:r>
              </w:p>
            </w:tc>
            <w:tc>
              <w:tcPr>
                <w:tcW w:w="1572" w:type="dxa"/>
                <w:shd w:val="clear" w:color="auto" w:fill="FFFFFF" w:themeFill="background1"/>
              </w:tcPr>
              <w:p w14:paraId="72C27795" w14:textId="228FE154">
                <w:pPr>
                  <w:jc w:val="both"/>
                  <w:rPr>
                    <w:color w:val="000000"/>
                    <w:sz w:val="20"/>
                  </w:rPr>
                </w:pPr>
                <w:r>
                  <w:rPr>
                    <w:color w:val="000000"/>
                    <w:sz w:val="20"/>
                  </w:rPr>
                  <w:t>Visiškas</w:t>
                </w:r>
              </w:p>
            </w:tc>
          </w:tr>
          <w:tr w14:paraId="363A8C5F" w14:textId="77777777">
            <w:tc>
              <w:tcPr>
                <w:tcW w:w="8391" w:type="dxa"/>
                <w:shd w:val="clear" w:color="auto" w:fill="FFFFFF" w:themeFill="background1"/>
              </w:tcPr>
              <w:p w14:paraId="05DB8788" w14:textId="6F5ACBC4">
                <w:pPr>
                  <w:jc w:val="both"/>
                  <w:rPr>
                    <w:color w:val="000000"/>
                    <w:sz w:val="20"/>
                  </w:rPr>
                </w:pPr>
                <w:r>
                  <w:rPr>
                    <w:color w:val="000000"/>
                    <w:sz w:val="20"/>
                  </w:rPr>
                  <w:t>2. Valstybės narės, laikydamosi nacionalinės teisės ir praktikos, imasi aktyvių priemonių, kad užtikrintų glaudų darbo inspekcijų, lygybės institucijų ir, kai taikytina, socialinių partnerių bendradarbiavimą ir veiklos koordinavimą, kiek tai susiję su vienodo darbo užmokesčio principu.</w:t>
                </w:r>
              </w:p>
            </w:tc>
            <w:tc>
              <w:tcPr>
                <w:tcW w:w="5347" w:type="dxa"/>
                <w:shd w:val="clear" w:color="auto" w:fill="FFFFFF" w:themeFill="background1"/>
              </w:tcPr>
              <w:p w14:paraId="75985D64" w14:textId="1422579E">
                <w:pPr>
                  <w:jc w:val="both"/>
                  <w:rPr>
                    <w:b/>
                    <w:bCs/>
                    <w:sz w:val="20"/>
                    <w:szCs w:val="18"/>
                  </w:rPr>
                </w:pPr>
                <w:r>
                  <w:rPr>
                    <w:b/>
                    <w:bCs/>
                    <w:sz w:val="20"/>
                    <w:szCs w:val="18"/>
                  </w:rPr>
                  <w:t xml:space="preserve">DK </w:t>
                </w:r>
              </w:p>
              <w:p w14:paraId="033CC7E1" w14:textId="58B58359">
                <w:pPr>
                  <w:jc w:val="both"/>
                  <w:rPr>
                    <w:b/>
                    <w:bCs/>
                    <w:sz w:val="20"/>
                    <w:szCs w:val="18"/>
                  </w:rPr>
                </w:pPr>
                <w:r>
                  <w:rPr>
                    <w:b/>
                    <w:bCs/>
                    <w:sz w:val="20"/>
                    <w:szCs w:val="18"/>
                  </w:rPr>
                  <w:t>165 straipsnis. Darbuotojų atstovavimo sistema</w:t>
                </w:r>
              </w:p>
              <w:p w14:paraId="6E86412D" w14:textId="77777777">
                <w:pPr>
                  <w:jc w:val="both"/>
                  <w:rPr>
                    <w:sz w:val="20"/>
                    <w:szCs w:val="18"/>
                  </w:rPr>
                </w:pPr>
                <w:r>
                  <w:rPr>
                    <w:sz w:val="20"/>
                    <w:szCs w:val="18"/>
                  </w:rPr>
                  <w:t xml:space="preserve">&lt;...&gt; </w:t>
                </w:r>
              </w:p>
              <w:p w14:paraId="3E41F105" w14:textId="0487F31D">
                <w:pPr>
                  <w:jc w:val="both"/>
                  <w:rPr>
                    <w:sz w:val="20"/>
                    <w:szCs w:val="18"/>
                  </w:rPr>
                </w:pPr>
                <w:r>
                  <w:rPr>
                    <w:sz w:val="20"/>
                    <w:szCs w:val="18"/>
                  </w:rPr>
                  <w:t>5.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14:paraId="71196121" w14:textId="02DB7EE1">
                <w:pPr>
                  <w:jc w:val="both"/>
                  <w:rPr>
                    <w:b/>
                    <w:bCs/>
                    <w:sz w:val="20"/>
                    <w:szCs w:val="18"/>
                  </w:rPr>
                </w:pPr>
                <w:r>
                  <w:rPr>
                    <w:b/>
                    <w:bCs/>
                    <w:sz w:val="20"/>
                    <w:szCs w:val="18"/>
                  </w:rPr>
                  <w:t>225 straipsnis. Pasirengimas nagrinėti prašymą</w:t>
                </w:r>
              </w:p>
              <w:p w14:paraId="158C98B4" w14:textId="75B02DD7">
                <w:pPr>
                  <w:jc w:val="both"/>
                  <w:rPr>
                    <w:sz w:val="20"/>
                    <w:szCs w:val="18"/>
                  </w:rPr>
                </w:pPr>
                <w:r>
                  <w:rPr>
                    <w:sz w:val="20"/>
                    <w:szCs w:val="18"/>
                  </w:rPr>
                  <w:t>1. Darbo ginčų komisijos pirmininkas, rengdamasis nagrinėti prašymą išnagrinėti darbo ginčą dėl teisės, atsižvelgdamas į bylos aplinkybes, iš atitinkamų tarnybų ir asmenų išreikalauja darbo ginčui nagrinėti reikalingus dokumentus (jų kopijas), kitus įrodymus, kviečia liudytojus.</w:t>
                </w:r>
              </w:p>
              <w:p w14:paraId="231AB82E" w14:textId="77777777">
                <w:pPr>
                  <w:jc w:val="both"/>
                  <w:rPr>
                    <w:sz w:val="20"/>
                    <w:szCs w:val="18"/>
                  </w:rPr>
                </w:pPr>
                <w:r>
                  <w:rPr>
                    <w:i/>
                    <w:iCs/>
                    <w:sz w:val="20"/>
                    <w:szCs w:val="18"/>
                  </w:rPr>
                  <w:t>Straipsnio dalies pakeitimai:</w:t>
                </w:r>
              </w:p>
              <w:p w14:paraId="6D5D111D" w14:textId="35BA8414">
                <w:pPr>
                  <w:jc w:val="both"/>
                  <w:rPr>
                    <w:sz w:val="20"/>
                    <w:szCs w:val="18"/>
                  </w:rPr>
                </w:pPr>
                <w:r>
                  <w:rPr>
                    <w:i/>
                    <w:iCs/>
                    <w:sz w:val="20"/>
                    <w:szCs w:val="18"/>
                  </w:rPr>
                  <w:t>Nr. </w:t>
                </w:r>
                <w:hyperlink r:id="rId57" w:tgtFrame="_parent" w:history="1">
                  <w:r>
                    <w:rPr>
                      <w:i/>
                      <w:iCs/>
                      <w:color w:val="0000FF"/>
                      <w:sz w:val="20"/>
                      <w:szCs w:val="18"/>
                      <w:u w:val="single"/>
                    </w:rPr>
                    <w:t>XIV-1187</w:t>
                  </w:r>
                </w:hyperlink>
                <w:r>
                  <w:rPr>
                    <w:i/>
                    <w:iCs/>
                    <w:sz w:val="20"/>
                    <w:szCs w:val="18"/>
                  </w:rPr>
                  <w:t>, 2022-06-28, paskelbta TAR 2022-07-11, i. k. 2022-15174</w:t>
                </w:r>
              </w:p>
              <w:p w14:paraId="298D534D" w14:textId="0EB464D9">
                <w:pPr>
                  <w:jc w:val="both"/>
                  <w:rPr>
                    <w:b/>
                    <w:bCs/>
                    <w:color w:val="000000"/>
                    <w:sz w:val="20"/>
                    <w:lang w:eastAsia="lt-LT"/>
                  </w:rPr>
                </w:pPr>
                <w:r>
                  <w:rPr>
                    <w:b/>
                    <w:bCs/>
                    <w:color w:val="000000"/>
                    <w:sz w:val="20"/>
                    <w:lang w:eastAsia="lt-LT"/>
                  </w:rPr>
                  <w:t xml:space="preserve">VDI  darbo reglamentas</w:t>
                </w:r>
              </w:p>
              <w:p w14:paraId="2FDB6578" w14:textId="77777777">
                <w:pPr>
                  <w:jc w:val="both"/>
                  <w:rPr>
                    <w:color w:val="000000"/>
                    <w:sz w:val="20"/>
                    <w:lang w:eastAsia="lt-LT"/>
                  </w:rPr>
                </w:pPr>
                <w:r>
                  <w:rPr>
                    <w:b/>
                    <w:bCs/>
                    <w:color w:val="000000"/>
                    <w:sz w:val="20"/>
                    <w:lang w:eastAsia="lt-LT"/>
                  </w:rPr>
                  <w:t>3 punktas</w:t>
                </w:r>
                <w:r>
                  <w:rPr>
                    <w:color w:val="000000"/>
                    <w:sz w:val="20"/>
                    <w:lang w:eastAsia="lt-LT"/>
                  </w:rPr>
                  <w:t>. VDI veikla grindžiama teisėtumo, teisingumo, įstatymo viršenybės, objektyvumo, proporcingumo, nepiktnaudžiavimo valdžia, tarnybinio bendradarbiavimo ir kitais Lietuvos Respublikos viešojo administravimo įstatyme (toliau – Viešojo administravimo įstatymas) nustatytais principais.</w:t>
                </w:r>
              </w:p>
              <w:p w14:paraId="05B79735" w14:textId="7613078C">
                <w:pPr>
                  <w:jc w:val="both"/>
                  <w:rPr>
                    <w:b/>
                    <w:bCs/>
                    <w:color w:val="000000"/>
                    <w:sz w:val="20"/>
                    <w:lang w:eastAsia="lt-LT"/>
                  </w:rPr>
                </w:pPr>
                <w:r>
                  <w:rPr>
                    <w:b/>
                    <w:bCs/>
                    <w:color w:val="000000"/>
                    <w:sz w:val="20"/>
                    <w:lang w:eastAsia="lt-LT"/>
                  </w:rPr>
                  <w:t xml:space="preserve">LGĮ </w:t>
                </w:r>
              </w:p>
              <w:p w14:paraId="24177E47" w14:textId="77777777">
                <w:pPr>
                  <w:jc w:val="both"/>
                  <w:rPr>
                    <w:b/>
                    <w:bCs/>
                    <w:color w:val="000000"/>
                    <w:sz w:val="20"/>
                    <w:lang w:eastAsia="lt-LT"/>
                  </w:rPr>
                </w:pPr>
                <w:r>
                  <w:rPr>
                    <w:b/>
                    <w:bCs/>
                    <w:color w:val="000000"/>
                    <w:sz w:val="20"/>
                    <w:lang w:eastAsia="lt-LT"/>
                  </w:rPr>
                  <w:t>17 straipsnis. Lygių galimybių kontrolieriaus kompetencija</w:t>
                </w:r>
              </w:p>
              <w:p w14:paraId="4B8E7C3E" w14:textId="77777777">
                <w:pPr>
                  <w:jc w:val="both"/>
                  <w:rPr>
                    <w:color w:val="000000"/>
                    <w:sz w:val="20"/>
                    <w:lang w:eastAsia="lt-LT"/>
                  </w:rPr>
                </w:pPr>
                <w:r>
                  <w:rPr>
                    <w:color w:val="000000"/>
                    <w:sz w:val="20"/>
                    <w:lang w:eastAsia="lt-LT"/>
                  </w:rPr>
                  <w:t xml:space="preserve">&lt;...&gt; </w:t>
                </w:r>
              </w:p>
              <w:p w14:paraId="51EB2B7F" w14:textId="2C36C0C8">
                <w:pPr>
                  <w:jc w:val="both"/>
                  <w:rPr>
                    <w:color w:val="000000"/>
                    <w:sz w:val="20"/>
                    <w:lang w:eastAsia="lt-LT"/>
                  </w:rPr>
                </w:pPr>
                <w:r>
                  <w:rPr>
                    <w:color w:val="000000"/>
                    <w:sz w:val="20"/>
                    <w:lang w:eastAsia="lt-LT"/>
                  </w:rPr>
                  <w:t>3. Lygių galimybių kontrolierius keičiasi turima informacija su kitomis Lietuvos Respublikos ir užsienio valstybių institucijomis ir įstaigomis, tarptautinėmis organizacijomis.</w:t>
                </w:r>
              </w:p>
            </w:tc>
            <w:tc>
              <w:tcPr>
                <w:tcW w:w="1572" w:type="dxa"/>
                <w:shd w:val="clear" w:color="auto" w:fill="FFFFFF" w:themeFill="background1"/>
              </w:tcPr>
              <w:p w14:paraId="45F07EBA" w14:textId="07A369EE">
                <w:pPr>
                  <w:jc w:val="both"/>
                  <w:rPr>
                    <w:color w:val="000000"/>
                    <w:sz w:val="20"/>
                  </w:rPr>
                </w:pPr>
                <w:r>
                  <w:rPr>
                    <w:color w:val="000000"/>
                    <w:sz w:val="20"/>
                  </w:rPr>
                  <w:t>Visiškas</w:t>
                </w:r>
              </w:p>
            </w:tc>
          </w:tr>
          <w:tr w14:paraId="26679275" w14:textId="77777777">
            <w:tc>
              <w:tcPr>
                <w:tcW w:w="8391" w:type="dxa"/>
                <w:shd w:val="clear" w:color="auto" w:fill="FFFFFF" w:themeFill="background1"/>
              </w:tcPr>
              <w:p w14:paraId="63B0DCFF" w14:textId="5646C8E8">
                <w:pPr>
                  <w:jc w:val="both"/>
                  <w:rPr>
                    <w:color w:val="000000"/>
                    <w:sz w:val="20"/>
                  </w:rPr>
                </w:pPr>
                <w:r>
                  <w:rPr>
                    <w:color w:val="000000"/>
                    <w:sz w:val="20"/>
                  </w:rPr>
                  <w:t>3. Valstybės narės suteikia savo lygybės institucijoms pakankamai išteklių, būtinų, kad jos galėtų veiksmingai vykdyti savo funkcijas, susijusias su pagarba teisei į vienodą darbo užmokestį.</w:t>
                </w:r>
              </w:p>
            </w:tc>
            <w:tc>
              <w:tcPr>
                <w:tcW w:w="5347" w:type="dxa"/>
                <w:shd w:val="clear" w:color="auto" w:fill="FFFFFF" w:themeFill="background1"/>
              </w:tcPr>
              <w:p w14:paraId="275420FA" w14:textId="7D77C6FB">
                <w:pPr>
                  <w:jc w:val="both"/>
                  <w:rPr>
                    <w:b/>
                    <w:bCs/>
                    <w:color w:val="000000"/>
                    <w:sz w:val="20"/>
                    <w:lang w:eastAsia="lt-LT"/>
                  </w:rPr>
                </w:pPr>
                <w:r>
                  <w:rPr>
                    <w:b/>
                    <w:bCs/>
                    <w:color w:val="000000"/>
                    <w:sz w:val="20"/>
                    <w:lang w:eastAsia="lt-LT"/>
                  </w:rPr>
                  <w:t>LGKT nuostatai</w:t>
                </w:r>
              </w:p>
              <w:p w14:paraId="079D2A3B" w14:textId="77777777">
                <w:pPr>
                  <w:jc w:val="both"/>
                  <w:rPr>
                    <w:color w:val="000000"/>
                    <w:sz w:val="20"/>
                    <w:lang w:eastAsia="lt-LT"/>
                  </w:rPr>
                </w:pPr>
                <w:r>
                  <w:rPr>
                    <w:color w:val="000000"/>
                    <w:sz w:val="20"/>
                    <w:lang w:eastAsia="lt-LT"/>
                  </w:rPr>
                  <w:t>4. Lygių galimybių kontrolieriaus tarnyba yra juridinis asmuo, turintis sąskaitų bankuose, antspaudą su Lietuvos valstybės herbu bei savo pavadinimu, ir finansuojamas iš valstybės biudžeto.</w:t>
                </w:r>
              </w:p>
              <w:p w14:paraId="1E51BB3D" w14:textId="5E51D898">
                <w:pPr>
                  <w:jc w:val="both"/>
                  <w:rPr>
                    <w:b/>
                    <w:bCs/>
                    <w:color w:val="000000"/>
                    <w:sz w:val="20"/>
                    <w:lang w:eastAsia="lt-LT"/>
                  </w:rPr>
                </w:pPr>
                <w:r>
                  <w:rPr>
                    <w:b/>
                    <w:bCs/>
                    <w:color w:val="000000"/>
                    <w:sz w:val="20"/>
                    <w:lang w:eastAsia="lt-LT"/>
                  </w:rPr>
                  <w:t>VDI nuostatai</w:t>
                </w:r>
              </w:p>
              <w:p w14:paraId="131B0FCF" w14:textId="140EF81C">
                <w:pPr>
                  <w:jc w:val="both"/>
                  <w:rPr>
                    <w:color w:val="000000"/>
                    <w:sz w:val="20"/>
                    <w:lang w:eastAsia="lt-LT"/>
                  </w:rPr>
                </w:pPr>
                <w:r>
                  <w:rPr>
                    <w:color w:val="000000"/>
                    <w:sz w:val="20"/>
                    <w:lang w:eastAsia="lt-LT"/>
                  </w:rPr>
                  <w:t>5. Valstybinė darbo inspekcija yra biudžetinė įstaiga, finansuojama iš Lietuvos Respublikos valstybės biudžeto. Valstybinei darbo inspekcijai finansuoti taip pat gali būti naudojamos Lietuvos, užsienio šalių ir tarptautinių fondų bei kitos lėšos.</w:t>
                </w:r>
              </w:p>
            </w:tc>
            <w:tc>
              <w:tcPr>
                <w:tcW w:w="1572" w:type="dxa"/>
                <w:shd w:val="clear" w:color="auto" w:fill="FFFFFF" w:themeFill="background1"/>
              </w:tcPr>
              <w:p w14:paraId="103A44A1" w14:textId="2B8AA74F">
                <w:pPr>
                  <w:jc w:val="both"/>
                  <w:rPr>
                    <w:color w:val="000000"/>
                    <w:sz w:val="20"/>
                  </w:rPr>
                </w:pPr>
                <w:r>
                  <w:rPr>
                    <w:color w:val="000000"/>
                    <w:sz w:val="20"/>
                  </w:rPr>
                  <w:t>Visiškas</w:t>
                </w:r>
              </w:p>
            </w:tc>
          </w:tr>
          <w:tr w14:paraId="4CBFFB66" w14:textId="77777777">
            <w:tc>
              <w:tcPr>
                <w:tcW w:w="15310" w:type="dxa"/>
                <w:gridSpan w:val="3"/>
                <w:shd w:val="clear" w:color="auto" w:fill="D6E3BC" w:themeFill="accent3" w:themeFillTint="66"/>
              </w:tcPr>
              <w:p w14:paraId="4427FA74" w14:textId="02DDA895">
                <w:pPr>
                  <w:jc w:val="both"/>
                  <w:rPr>
                    <w:b/>
                    <w:bCs/>
                    <w:color w:val="000000"/>
                    <w:sz w:val="20"/>
                  </w:rPr>
                </w:pPr>
                <w:r>
                  <w:rPr>
                    <w:b/>
                    <w:bCs/>
                    <w:color w:val="000000"/>
                    <w:sz w:val="20"/>
                  </w:rPr>
                  <w:t>29 straipsnis. Stebėsena ir informuotumo didinimas</w:t>
                </w:r>
              </w:p>
            </w:tc>
          </w:tr>
          <w:tr w14:paraId="5507F196" w14:textId="77777777">
            <w:tc>
              <w:tcPr>
                <w:tcW w:w="8391" w:type="dxa"/>
                <w:shd w:val="clear" w:color="auto" w:fill="FFFFFF" w:themeFill="background1"/>
              </w:tcPr>
              <w:p w14:paraId="5F330F6F" w14:textId="3DAD9FF1">
                <w:pPr>
                  <w:jc w:val="both"/>
                  <w:rPr>
                    <w:color w:val="000000"/>
                    <w:sz w:val="20"/>
                  </w:rPr>
                </w:pPr>
                <w:r>
                  <w:rPr>
                    <w:color w:val="000000"/>
                    <w:sz w:val="20"/>
                  </w:rPr>
                  <w:t>1. Valstybės narės užtikrina nuoseklią ir koordinuotą vienodo darbo užmokesčio principo taikymo stebėseną ir rėmimą ir užtikrina, kad būtų vykdomos visos galimos teisių gynimo priemonės.</w:t>
                </w:r>
              </w:p>
            </w:tc>
            <w:tc>
              <w:tcPr>
                <w:tcW w:w="5347" w:type="dxa"/>
                <w:shd w:val="clear" w:color="auto" w:fill="FFFFFF" w:themeFill="background1"/>
              </w:tcPr>
              <w:p w14:paraId="44AA024F" w14:textId="77777777">
                <w:pPr>
                  <w:jc w:val="both"/>
                  <w:rPr>
                    <w:b/>
                    <w:bCs/>
                    <w:color w:val="000000"/>
                    <w:sz w:val="20"/>
                    <w:lang w:eastAsia="lt-LT"/>
                  </w:rPr>
                </w:pPr>
                <w:r>
                  <w:rPr>
                    <w:b/>
                    <w:bCs/>
                    <w:color w:val="000000"/>
                    <w:sz w:val="20"/>
                    <w:lang w:eastAsia="lt-LT"/>
                  </w:rPr>
                  <w:t>VDI įstatymas</w:t>
                </w:r>
              </w:p>
              <w:p w14:paraId="49277C39" w14:textId="77777777">
                <w:pPr>
                  <w:jc w:val="both"/>
                  <w:rPr>
                    <w:b/>
                    <w:bCs/>
                    <w:color w:val="000000"/>
                    <w:sz w:val="20"/>
                    <w:lang w:eastAsia="lt-LT"/>
                  </w:rPr>
                </w:pPr>
                <w:r>
                  <w:rPr>
                    <w:b/>
                    <w:bCs/>
                    <w:color w:val="000000"/>
                    <w:sz w:val="20"/>
                    <w:lang w:eastAsia="lt-LT"/>
                  </w:rPr>
                  <w:t>4 straipsnis. Valstybinės darbo inspekcijos kompetencija</w:t>
                </w:r>
              </w:p>
              <w:p w14:paraId="0AD5634A" w14:textId="77777777">
                <w:pPr>
                  <w:jc w:val="both"/>
                  <w:rPr>
                    <w:color w:val="000000"/>
                    <w:sz w:val="20"/>
                    <w:lang w:eastAsia="lt-LT"/>
                  </w:rPr>
                </w:pPr>
                <w:r>
                  <w:rPr>
                    <w:color w:val="000000"/>
                    <w:sz w:val="20"/>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 kontrolė įmonėse, įstaigose, organizacijose ar kitose organizacinėse struktūrose, nepaisant jų nuosavybės formos, rūšies, veiklos pobūdžio, taip pat tais atvejais, kai darbdavys yra fizinis asmuo (toliau – darbdaviai), ir tais atvejais, kai savarankišką veiklą vykdo savarankiškai dirbantys asmenys, jeigu jiems taikomi darbuotojų saugos ir sveikatos norminių teisės aktų reikalavimai (toliau – savarankiškai dirbantys asmenys).</w:t>
                </w:r>
              </w:p>
              <w:p w14:paraId="374EB36C" w14:textId="77777777">
                <w:pPr>
                  <w:jc w:val="both"/>
                  <w:rPr>
                    <w:color w:val="000000"/>
                    <w:sz w:val="20"/>
                    <w:lang w:eastAsia="lt-LT"/>
                  </w:rPr>
                </w:pPr>
                <w:r>
                  <w:rPr>
                    <w:i/>
                    <w:iCs/>
                    <w:color w:val="000000"/>
                    <w:sz w:val="20"/>
                    <w:lang w:eastAsia="lt-LT"/>
                  </w:rPr>
                  <w:t>Straipsnio pakeitimai:</w:t>
                </w:r>
              </w:p>
              <w:p w14:paraId="61461026" w14:textId="77777777">
                <w:pPr>
                  <w:jc w:val="both"/>
                  <w:rPr>
                    <w:color w:val="000000"/>
                    <w:sz w:val="20"/>
                    <w:lang w:eastAsia="lt-LT"/>
                  </w:rPr>
                </w:pPr>
                <w:r>
                  <w:rPr>
                    <w:i/>
                    <w:iCs/>
                    <w:color w:val="000000"/>
                    <w:sz w:val="20"/>
                    <w:lang w:eastAsia="lt-LT"/>
                  </w:rPr>
                  <w:t>Nr. </w:t>
                </w:r>
                <w:hyperlink r:id="rId58" w:tgtFrame="_parent" w:history="1">
                  <w:r>
                    <w:rPr>
                      <w:i/>
                      <w:iCs/>
                      <w:color w:val="0000FF"/>
                      <w:sz w:val="20"/>
                      <w:u w:val="single"/>
                      <w:lang w:eastAsia="lt-LT"/>
                    </w:rPr>
                    <w:t>XIII-1160</w:t>
                  </w:r>
                </w:hyperlink>
                <w:r>
                  <w:rPr>
                    <w:i/>
                    <w:iCs/>
                    <w:color w:val="000000"/>
                    <w:sz w:val="20"/>
                    <w:lang w:eastAsia="lt-LT"/>
                  </w:rPr>
                  <w:t>, 2018-05-17, paskelbta TAR 2018-05-28, i. k. 2018-08533</w:t>
                </w:r>
              </w:p>
              <w:p w14:paraId="57E65A72" w14:textId="77777777">
                <w:pPr>
                  <w:jc w:val="both"/>
                  <w:rPr>
                    <w:color w:val="000000"/>
                    <w:sz w:val="20"/>
                    <w:lang w:eastAsia="lt-LT"/>
                  </w:rPr>
                </w:pPr>
                <w:r>
                  <w:rPr>
                    <w:i/>
                    <w:iCs/>
                    <w:color w:val="000000"/>
                    <w:sz w:val="20"/>
                    <w:lang w:eastAsia="lt-LT"/>
                  </w:rPr>
                  <w:t>Nr. </w:t>
                </w:r>
                <w:hyperlink r:id="rId59" w:tgtFrame="_parent" w:history="1">
                  <w:r>
                    <w:rPr>
                      <w:i/>
                      <w:iCs/>
                      <w:color w:val="0000FF"/>
                      <w:sz w:val="20"/>
                      <w:u w:val="single"/>
                      <w:lang w:eastAsia="lt-LT"/>
                    </w:rPr>
                    <w:t>XIV-552</w:t>
                  </w:r>
                </w:hyperlink>
                <w:r>
                  <w:rPr>
                    <w:i/>
                    <w:iCs/>
                    <w:color w:val="000000"/>
                    <w:sz w:val="20"/>
                    <w:lang w:eastAsia="lt-LT"/>
                  </w:rPr>
                  <w:t>, 2021-09-30, paskelbta TAR 2021-10-08, i. k. 2021-21219</w:t>
                </w:r>
              </w:p>
              <w:p w14:paraId="1802FC76" w14:textId="77777777">
                <w:pPr>
                  <w:jc w:val="both"/>
                  <w:rPr>
                    <w:b/>
                    <w:bCs/>
                    <w:color w:val="000000"/>
                    <w:sz w:val="20"/>
                    <w:lang w:eastAsia="lt-LT"/>
                  </w:rPr>
                </w:pPr>
                <w:r>
                  <w:rPr>
                    <w:b/>
                    <w:bCs/>
                    <w:color w:val="000000"/>
                    <w:sz w:val="20"/>
                    <w:lang w:eastAsia="lt-LT"/>
                  </w:rPr>
                  <w:t>LGKT nuostatai</w:t>
                </w:r>
              </w:p>
              <w:p w14:paraId="459C04D2" w14:textId="77777777">
                <w:pPr>
                  <w:jc w:val="both"/>
                  <w:rPr>
                    <w:color w:val="000000"/>
                    <w:sz w:val="20"/>
                    <w:lang w:eastAsia="lt-LT"/>
                  </w:rPr>
                </w:pPr>
                <w:r>
                  <w:rPr>
                    <w:color w:val="000000"/>
                    <w:sz w:val="20"/>
                    <w:lang w:eastAsia="lt-LT"/>
                  </w:rPr>
                  <w:t>8. Lygių galimybių kontrolieriaus tarnybos veiklos tikslai yra šie:</w:t>
                </w:r>
              </w:p>
              <w:p w14:paraId="0D71D0D9" w14:textId="77777777">
                <w:pPr>
                  <w:jc w:val="both"/>
                  <w:rPr>
                    <w:color w:val="000000"/>
                    <w:sz w:val="20"/>
                    <w:lang w:eastAsia="lt-LT"/>
                  </w:rPr>
                </w:pPr>
                <w:r>
                  <w:rPr>
                    <w:color w:val="000000"/>
                    <w:sz w:val="20"/>
                    <w:lang w:eastAsia="lt-LT"/>
                  </w:rPr>
                  <w:t>8.1. užtikrinti lygių galimybių kontrolieriui pavestų funkcijų įgyvendinimą pagal jam suteiktą kompetenciją;</w:t>
                </w:r>
              </w:p>
              <w:p w14:paraId="6265BF2A" w14:textId="77777777">
                <w:pPr>
                  <w:jc w:val="both"/>
                  <w:rPr>
                    <w:color w:val="000000"/>
                    <w:sz w:val="20"/>
                    <w:lang w:eastAsia="lt-LT"/>
                  </w:rPr>
                </w:pPr>
                <w:r>
                  <w:rPr>
                    <w:color w:val="000000"/>
                    <w:sz w:val="20"/>
                    <w:lang w:eastAsia="lt-LT"/>
                  </w:rPr>
                  <w:t>8.2. užtikrinti, kad būtų vykdoma Lygių galimybių įstatymo ir Moterų ir vyrų lygių galimybių įstatymo įgyvendinimo priežiūra.</w:t>
                </w:r>
              </w:p>
              <w:p w14:paraId="7A65A02D" w14:textId="77777777">
                <w:pPr>
                  <w:jc w:val="both"/>
                  <w:rPr>
                    <w:b/>
                    <w:bCs/>
                    <w:color w:val="000000"/>
                    <w:sz w:val="20"/>
                    <w:lang w:eastAsia="lt-LT"/>
                  </w:rPr>
                </w:pPr>
                <w:r>
                  <w:rPr>
                    <w:b/>
                    <w:bCs/>
                    <w:color w:val="000000"/>
                    <w:sz w:val="20"/>
                    <w:lang w:eastAsia="lt-LT"/>
                  </w:rPr>
                  <w:t>VDĮ įstatymas</w:t>
                </w:r>
              </w:p>
              <w:p w14:paraId="27BEE119" w14:textId="77777777">
                <w:pPr>
                  <w:jc w:val="both"/>
                  <w:rPr>
                    <w:b/>
                    <w:bCs/>
                    <w:color w:val="000000"/>
                    <w:sz w:val="20"/>
                    <w:lang w:eastAsia="lt-LT"/>
                  </w:rPr>
                </w:pPr>
                <w:r>
                  <w:rPr>
                    <w:b/>
                    <w:bCs/>
                    <w:color w:val="000000"/>
                    <w:sz w:val="20"/>
                    <w:lang w:eastAsia="lt-LT"/>
                  </w:rPr>
                  <w:t>4 straipsnis. Valstybinės darbo inspekcijos kompetencija</w:t>
                </w:r>
              </w:p>
              <w:p w14:paraId="60CE5492" w14:textId="77777777">
                <w:pPr>
                  <w:jc w:val="both"/>
                  <w:rPr>
                    <w:color w:val="000000"/>
                    <w:sz w:val="20"/>
                    <w:lang w:eastAsia="lt-LT"/>
                  </w:rPr>
                </w:pPr>
                <w:r>
                  <w:rPr>
                    <w:color w:val="000000"/>
                    <w:sz w:val="20"/>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 kontrolė įmonėse, įstaigose, organizacijose ar kitose organizacinėse struktūrose, nepaisant jų nuosavybės formos, rūšies, veiklos pobūdžio, taip pat tais atvejais, kai darbdavys yra fizinis asmuo (toliau – darbdaviai), ir tais atvejais, kai savarankišką veiklą vykdo savarankiškai dirbantys asmenys, jeigu jiems taikomi darbuotojų saugos ir sveikatos norminių teisės aktų reikalavimai (toliau – savarankiškai dirbantys asmenys).</w:t>
                </w:r>
              </w:p>
              <w:p w14:paraId="668F52BB" w14:textId="77777777">
                <w:pPr>
                  <w:jc w:val="both"/>
                  <w:rPr>
                    <w:color w:val="000000"/>
                    <w:sz w:val="20"/>
                    <w:lang w:eastAsia="lt-LT"/>
                  </w:rPr>
                </w:pPr>
                <w:r>
                  <w:rPr>
                    <w:i/>
                    <w:iCs/>
                    <w:color w:val="000000"/>
                    <w:sz w:val="20"/>
                    <w:lang w:eastAsia="lt-LT"/>
                  </w:rPr>
                  <w:t>Straipsnio pakeitimai:</w:t>
                </w:r>
              </w:p>
              <w:p w14:paraId="2365CD24" w14:textId="77777777">
                <w:pPr>
                  <w:jc w:val="both"/>
                  <w:rPr>
                    <w:color w:val="000000"/>
                    <w:sz w:val="20"/>
                    <w:lang w:eastAsia="lt-LT"/>
                  </w:rPr>
                </w:pPr>
                <w:r>
                  <w:rPr>
                    <w:i/>
                    <w:iCs/>
                    <w:color w:val="000000"/>
                    <w:sz w:val="20"/>
                    <w:lang w:eastAsia="lt-LT"/>
                  </w:rPr>
                  <w:t>Nr. </w:t>
                </w:r>
                <w:hyperlink r:id="rId60" w:tgtFrame="_parent" w:history="1">
                  <w:r>
                    <w:rPr>
                      <w:i/>
                      <w:iCs/>
                      <w:color w:val="0000FF"/>
                      <w:sz w:val="20"/>
                      <w:u w:val="single"/>
                      <w:lang w:eastAsia="lt-LT"/>
                    </w:rPr>
                    <w:t>XIII-1160</w:t>
                  </w:r>
                </w:hyperlink>
                <w:r>
                  <w:rPr>
                    <w:i/>
                    <w:iCs/>
                    <w:color w:val="000000"/>
                    <w:sz w:val="20"/>
                    <w:lang w:eastAsia="lt-LT"/>
                  </w:rPr>
                  <w:t>, 2018-05-17, paskelbta TAR 2018-05-28, i. k. 2018-08533</w:t>
                </w:r>
              </w:p>
              <w:p w14:paraId="44E3F6E2" w14:textId="137BA590">
                <w:pPr>
                  <w:jc w:val="both"/>
                  <w:rPr>
                    <w:b/>
                    <w:bCs/>
                    <w:color w:val="000000"/>
                    <w:sz w:val="20"/>
                    <w:lang w:eastAsia="lt-LT"/>
                  </w:rPr>
                </w:pPr>
                <w:r>
                  <w:rPr>
                    <w:i/>
                    <w:iCs/>
                    <w:color w:val="000000"/>
                    <w:sz w:val="20"/>
                    <w:lang w:eastAsia="lt-LT"/>
                  </w:rPr>
                  <w:t>Nr. </w:t>
                </w:r>
                <w:hyperlink r:id="rId61" w:tgtFrame="_parent" w:history="1">
                  <w:r>
                    <w:rPr>
                      <w:i/>
                      <w:iCs/>
                      <w:color w:val="0000FF"/>
                      <w:sz w:val="20"/>
                      <w:u w:val="single"/>
                      <w:lang w:eastAsia="lt-LT"/>
                    </w:rPr>
                    <w:t>XIV-552</w:t>
                  </w:r>
                </w:hyperlink>
                <w:r>
                  <w:rPr>
                    <w:i/>
                    <w:iCs/>
                    <w:color w:val="000000"/>
                    <w:sz w:val="20"/>
                    <w:lang w:eastAsia="lt-LT"/>
                  </w:rPr>
                  <w:t>, 2021-09-30, paskelbta TAR 2021-10-08, i. k. 2021-21219</w:t>
                </w:r>
              </w:p>
            </w:tc>
            <w:tc>
              <w:tcPr>
                <w:tcW w:w="1572" w:type="dxa"/>
                <w:shd w:val="clear" w:color="auto" w:fill="FFFFFF" w:themeFill="background1"/>
              </w:tcPr>
              <w:p w14:paraId="7883029B" w14:textId="7344FDC5">
                <w:pPr>
                  <w:jc w:val="both"/>
                  <w:rPr>
                    <w:color w:val="000000"/>
                    <w:sz w:val="20"/>
                  </w:rPr>
                </w:pPr>
                <w:r>
                  <w:rPr>
                    <w:color w:val="000000"/>
                    <w:sz w:val="20"/>
                  </w:rPr>
                  <w:t>Visiškas</w:t>
                </w:r>
              </w:p>
            </w:tc>
          </w:tr>
          <w:tr w14:paraId="69F31A95" w14:textId="77777777">
            <w:tc>
              <w:tcPr>
                <w:tcW w:w="8391" w:type="dxa"/>
                <w:shd w:val="clear" w:color="auto" w:fill="FFFFFF" w:themeFill="background1"/>
              </w:tcPr>
              <w:p w14:paraId="67D1F1F9" w14:textId="1539CEEE">
                <w:pPr>
                  <w:jc w:val="both"/>
                  <w:rPr>
                    <w:color w:val="000000"/>
                    <w:sz w:val="20"/>
                  </w:rPr>
                </w:pPr>
                <w:r>
                  <w:rPr>
                    <w:color w:val="000000"/>
                    <w:sz w:val="20"/>
                  </w:rPr>
                  <w:t>2. Kiekviena valstybė narė paskiria įstaigą, kuri stebėtų ir remtų nacionalinių priemonių, kuriomis įgyvendinama ši direktyva, įgyvendinimą (toliau – stebėsenos įstaiga), ir imasi būtinų priemonių tinkamam jos veikimui užtikrinti. Stebėsenos įstaiga gali būti esamos nacionalinio lygmens įstaigos ar struktūros dalis. Valstybės narės gali paskirti daugiau nei vieną įstaigą informuotumo didinimo ir duomenų rinkimo tikslu, jei 3 dalies b, c ir e punktuose numatytas stebėsenos ir analizės funkcijas užtikrina centrinė įstaiga.</w:t>
                </w:r>
              </w:p>
            </w:tc>
            <w:tc>
              <w:tcPr>
                <w:tcW w:w="5347" w:type="dxa"/>
                <w:shd w:val="clear" w:color="auto" w:fill="FFFFFF" w:themeFill="background1"/>
              </w:tcPr>
              <w:p w14:paraId="32A29CE2" w14:textId="1C201F8F">
                <w:pPr>
                  <w:jc w:val="both"/>
                  <w:rPr>
                    <w:b/>
                    <w:bCs/>
                    <w:color w:val="000000"/>
                    <w:sz w:val="20"/>
                    <w:lang w:eastAsia="lt-LT"/>
                  </w:rPr>
                </w:pPr>
                <w:r>
                  <w:rPr>
                    <w:b/>
                    <w:bCs/>
                    <w:color w:val="000000"/>
                    <w:sz w:val="20"/>
                    <w:lang w:eastAsia="lt-LT"/>
                  </w:rPr>
                  <w:t>VDI įstatymas</w:t>
                </w:r>
              </w:p>
              <w:p w14:paraId="23694F56" w14:textId="77777777">
                <w:pPr>
                  <w:jc w:val="both"/>
                  <w:rPr>
                    <w:b/>
                    <w:bCs/>
                    <w:color w:val="000000"/>
                    <w:sz w:val="20"/>
                    <w:lang w:eastAsia="lt-LT"/>
                  </w:rPr>
                </w:pPr>
                <w:r>
                  <w:rPr>
                    <w:b/>
                    <w:bCs/>
                    <w:color w:val="000000"/>
                    <w:sz w:val="20"/>
                    <w:lang w:eastAsia="lt-LT"/>
                  </w:rPr>
                  <w:t>4 straipsnis. Valstybinės darbo inspekcijos kompetencija</w:t>
                </w:r>
              </w:p>
              <w:p w14:paraId="1A1569CA" w14:textId="77777777">
                <w:pPr>
                  <w:jc w:val="both"/>
                  <w:rPr>
                    <w:color w:val="000000"/>
                    <w:sz w:val="20"/>
                    <w:lang w:eastAsia="lt-LT"/>
                  </w:rPr>
                </w:pPr>
                <w:r>
                  <w:rPr>
                    <w:color w:val="000000"/>
                    <w:sz w:val="20"/>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 kontrolė įmonėse, įstaigose, organizacijose ar kitose organizacinėse struktūrose, nepaisant jų nuosavybės formos, rūšies, veiklos pobūdžio, taip pat tais atvejais, kai darbdavys yra fizinis asmuo (toliau – darbdaviai), ir tais atvejais, kai savarankišką veiklą vykdo savarankiškai dirbantys asmenys, jeigu jiems taikomi darbuotojų saugos ir sveikatos norminių teisės aktų reikalavimai (toliau – savarankiškai dirbantys asmenys).</w:t>
                </w:r>
              </w:p>
              <w:p w14:paraId="621FC65F" w14:textId="77777777">
                <w:pPr>
                  <w:jc w:val="both"/>
                  <w:rPr>
                    <w:color w:val="000000"/>
                    <w:sz w:val="20"/>
                    <w:lang w:eastAsia="lt-LT"/>
                  </w:rPr>
                </w:pPr>
                <w:r>
                  <w:rPr>
                    <w:i/>
                    <w:iCs/>
                    <w:color w:val="000000"/>
                    <w:sz w:val="20"/>
                    <w:lang w:eastAsia="lt-LT"/>
                  </w:rPr>
                  <w:t>Straipsnio pakeitimai:</w:t>
                </w:r>
              </w:p>
              <w:p w14:paraId="780A2012" w14:textId="77777777">
                <w:pPr>
                  <w:jc w:val="both"/>
                  <w:rPr>
                    <w:color w:val="000000"/>
                    <w:sz w:val="20"/>
                    <w:lang w:eastAsia="lt-LT"/>
                  </w:rPr>
                </w:pPr>
                <w:r>
                  <w:rPr>
                    <w:i/>
                    <w:iCs/>
                    <w:color w:val="000000"/>
                    <w:sz w:val="20"/>
                    <w:lang w:eastAsia="lt-LT"/>
                  </w:rPr>
                  <w:t>Nr. </w:t>
                </w:r>
                <w:hyperlink r:id="rId62" w:tgtFrame="_parent" w:history="1">
                  <w:r>
                    <w:rPr>
                      <w:i/>
                      <w:iCs/>
                      <w:color w:val="0000FF"/>
                      <w:sz w:val="20"/>
                      <w:u w:val="single"/>
                      <w:lang w:eastAsia="lt-LT"/>
                    </w:rPr>
                    <w:t>XIII-1160</w:t>
                  </w:r>
                </w:hyperlink>
                <w:r>
                  <w:rPr>
                    <w:i/>
                    <w:iCs/>
                    <w:color w:val="000000"/>
                    <w:sz w:val="20"/>
                    <w:lang w:eastAsia="lt-LT"/>
                  </w:rPr>
                  <w:t>, 2018-05-17, paskelbta TAR 2018-05-28, i. k. 2018-08533</w:t>
                </w:r>
              </w:p>
              <w:p w14:paraId="03A2CC86" w14:textId="6B820640">
                <w:pPr>
                  <w:jc w:val="both"/>
                  <w:rPr>
                    <w:color w:val="000000"/>
                    <w:sz w:val="20"/>
                    <w:lang w:eastAsia="lt-LT"/>
                  </w:rPr>
                </w:pPr>
                <w:r>
                  <w:rPr>
                    <w:i/>
                    <w:iCs/>
                    <w:color w:val="000000"/>
                    <w:sz w:val="20"/>
                    <w:lang w:eastAsia="lt-LT"/>
                  </w:rPr>
                  <w:t>Nr. </w:t>
                </w:r>
                <w:hyperlink r:id="rId63" w:tgtFrame="_parent" w:history="1">
                  <w:r>
                    <w:rPr>
                      <w:i/>
                      <w:iCs/>
                      <w:color w:val="0000FF"/>
                      <w:sz w:val="20"/>
                      <w:u w:val="single"/>
                      <w:lang w:eastAsia="lt-LT"/>
                    </w:rPr>
                    <w:t>XIV-552</w:t>
                  </w:r>
                </w:hyperlink>
                <w:r>
                  <w:rPr>
                    <w:i/>
                    <w:iCs/>
                    <w:color w:val="000000"/>
                    <w:sz w:val="20"/>
                    <w:lang w:eastAsia="lt-LT"/>
                  </w:rPr>
                  <w:t>, 2021-09-30, paskelbta TAR 2021-10-08, i. k. 2021-21219</w:t>
                </w:r>
              </w:p>
              <w:p w14:paraId="4288322A" w14:textId="2899E683">
                <w:pPr>
                  <w:jc w:val="both"/>
                  <w:rPr>
                    <w:b/>
                    <w:bCs/>
                    <w:color w:val="000000"/>
                    <w:sz w:val="20"/>
                    <w:lang w:eastAsia="lt-LT"/>
                  </w:rPr>
                </w:pPr>
                <w:r>
                  <w:rPr>
                    <w:b/>
                    <w:bCs/>
                    <w:color w:val="000000"/>
                    <w:sz w:val="20"/>
                    <w:lang w:eastAsia="lt-LT"/>
                  </w:rPr>
                  <w:t>LGKT nuostatai</w:t>
                </w:r>
              </w:p>
              <w:p w14:paraId="7DF94F8B" w14:textId="77777777">
                <w:pPr>
                  <w:jc w:val="both"/>
                  <w:rPr>
                    <w:color w:val="000000"/>
                    <w:sz w:val="20"/>
                    <w:lang w:eastAsia="lt-LT"/>
                  </w:rPr>
                </w:pPr>
                <w:r>
                  <w:rPr>
                    <w:color w:val="000000"/>
                    <w:sz w:val="20"/>
                    <w:lang w:eastAsia="lt-LT"/>
                  </w:rPr>
                  <w:t>8. Lygių galimybių kontrolieriaus tarnybos veiklos tikslai yra šie:</w:t>
                </w:r>
              </w:p>
              <w:p w14:paraId="606D82FA" w14:textId="77777777">
                <w:pPr>
                  <w:jc w:val="both"/>
                  <w:rPr>
                    <w:color w:val="000000"/>
                    <w:sz w:val="20"/>
                    <w:lang w:eastAsia="lt-LT"/>
                  </w:rPr>
                </w:pPr>
                <w:r>
                  <w:rPr>
                    <w:color w:val="000000"/>
                    <w:sz w:val="20"/>
                    <w:lang w:eastAsia="lt-LT"/>
                  </w:rPr>
                  <w:t>8.1. užtikrinti lygių galimybių kontrolieriui pavestų funkcijų įgyvendinimą pagal jam suteiktą kompetenciją;</w:t>
                </w:r>
              </w:p>
              <w:p w14:paraId="644697D8" w14:textId="77777777">
                <w:pPr>
                  <w:jc w:val="both"/>
                  <w:rPr>
                    <w:color w:val="000000"/>
                    <w:sz w:val="20"/>
                    <w:lang w:eastAsia="lt-LT"/>
                  </w:rPr>
                </w:pPr>
                <w:r>
                  <w:rPr>
                    <w:color w:val="000000"/>
                    <w:sz w:val="20"/>
                    <w:lang w:eastAsia="lt-LT"/>
                  </w:rPr>
                  <w:t>8.2. užtikrinti, kad būtų vykdoma Lygių galimybių įstatymo ir Moterų ir vyrų lygių galimybių įstatymo įgyvendinimo priežiūra.</w:t>
                </w:r>
              </w:p>
              <w:p w14:paraId="033C304F" w14:textId="357C5F2D">
                <w:pPr>
                  <w:jc w:val="both"/>
                  <w:rPr>
                    <w:b/>
                    <w:bCs/>
                    <w:color w:val="000000"/>
                    <w:sz w:val="20"/>
                    <w:lang w:eastAsia="lt-LT"/>
                  </w:rPr>
                </w:pPr>
                <w:r>
                  <w:rPr>
                    <w:b/>
                    <w:bCs/>
                    <w:color w:val="000000"/>
                    <w:sz w:val="20"/>
                    <w:lang w:eastAsia="lt-LT"/>
                  </w:rPr>
                  <w:t xml:space="preserve">MVLGĮ </w:t>
                </w:r>
              </w:p>
              <w:p w14:paraId="3715FD53" w14:textId="77777777">
                <w:pPr>
                  <w:jc w:val="both"/>
                  <w:rPr>
                    <w:color w:val="000000"/>
                    <w:sz w:val="20"/>
                    <w:lang w:eastAsia="lt-LT"/>
                  </w:rPr>
                </w:pPr>
                <w:r>
                  <w:rPr>
                    <w:b/>
                    <w:bCs/>
                    <w:color w:val="000000"/>
                    <w:sz w:val="20"/>
                    <w:lang w:eastAsia="lt-LT"/>
                  </w:rPr>
                  <w:t>6 straipsnis. Darbdavio arba darbdavio atstovo pareiga įgyvendinti lygias moterų ir vyrų teises darbe</w:t>
                </w:r>
              </w:p>
              <w:p w14:paraId="61A41C97" w14:textId="77777777">
                <w:pPr>
                  <w:jc w:val="both"/>
                  <w:rPr>
                    <w:color w:val="000000"/>
                    <w:sz w:val="20"/>
                    <w:lang w:eastAsia="lt-LT"/>
                  </w:rPr>
                </w:pPr>
                <w:r>
                  <w:rPr>
                    <w:color w:val="000000"/>
                    <w:sz w:val="20"/>
                    <w:lang w:eastAsia="lt-LT"/>
                  </w:rPr>
                  <w:t>&lt;...&gt;</w:t>
                </w:r>
              </w:p>
              <w:p w14:paraId="7C3CD377" w14:textId="16513B9F">
                <w:pPr>
                  <w:jc w:val="both"/>
                  <w:rPr>
                    <w:color w:val="000000"/>
                    <w:sz w:val="20"/>
                    <w:lang w:eastAsia="lt-LT"/>
                  </w:rPr>
                </w:pPr>
                <w:r>
                  <w:rPr>
                    <w:color w:val="000000"/>
                    <w:sz w:val="20"/>
                    <w:lang w:eastAsia="lt-LT"/>
                  </w:rPr>
                  <w:t>3) už tokį patį ar vienodos vertės darbą mokėti vienodą darbo užmokestį, įskaitant visus papildomus uždarbius, bet kokiu būdu darbdavio arba darbdavio atstovo išmokamus darbuotojui už jo atliktą darbą;</w:t>
                </w:r>
              </w:p>
            </w:tc>
            <w:tc>
              <w:tcPr>
                <w:tcW w:w="1572" w:type="dxa"/>
                <w:shd w:val="clear" w:color="auto" w:fill="FFFFFF" w:themeFill="background1"/>
              </w:tcPr>
              <w:p w14:paraId="3E38E6AC" w14:textId="77777777">
                <w:pPr>
                  <w:jc w:val="both"/>
                  <w:rPr>
                    <w:color w:val="000000"/>
                    <w:sz w:val="20"/>
                  </w:rPr>
                </w:pPr>
                <w:r>
                  <w:rPr>
                    <w:color w:val="000000"/>
                    <w:sz w:val="20"/>
                  </w:rPr>
                  <w:t>Visiškas</w:t>
                </w:r>
              </w:p>
              <w:p w14:paraId="2BFCC513" w14:textId="77777777">
                <w:pPr>
                  <w:jc w:val="both"/>
                  <w:rPr>
                    <w:b/>
                    <w:bCs/>
                    <w:color w:val="000000"/>
                    <w:sz w:val="20"/>
                  </w:rPr>
                </w:pPr>
              </w:p>
              <w:p w14:paraId="44897FA8" w14:textId="09A92298">
                <w:pPr>
                  <w:jc w:val="both"/>
                  <w:rPr>
                    <w:b/>
                    <w:bCs/>
                    <w:color w:val="000000"/>
                    <w:sz w:val="20"/>
                  </w:rPr>
                </w:pPr>
              </w:p>
            </w:tc>
          </w:tr>
          <w:tr w14:paraId="444D0E08" w14:textId="77777777">
            <w:tc>
              <w:tcPr>
                <w:tcW w:w="8391" w:type="dxa"/>
                <w:shd w:val="clear" w:color="auto" w:fill="FFFFFF" w:themeFill="background1"/>
              </w:tcPr>
              <w:p w14:paraId="79A1EB59" w14:textId="1B1A7A47">
                <w:pPr>
                  <w:jc w:val="both"/>
                  <w:rPr>
                    <w:color w:val="000000"/>
                    <w:sz w:val="20"/>
                  </w:rPr>
                </w:pPr>
                <w:r>
                  <w:rPr>
                    <w:color w:val="000000"/>
                    <w:sz w:val="20"/>
                  </w:rPr>
                  <w:t>3. Valstybės narės užtikrina, kad stebėsenos įstaigos užduotys, be kita ko, būtų:</w:t>
                </w:r>
              </w:p>
            </w:tc>
            <w:tc>
              <w:tcPr>
                <w:tcW w:w="5347" w:type="dxa"/>
                <w:shd w:val="clear" w:color="auto" w:fill="FFFFFF" w:themeFill="background1"/>
              </w:tcPr>
              <w:p w14:paraId="53CEA114" w14:textId="77777777">
                <w:pPr>
                  <w:jc w:val="both"/>
                  <w:rPr>
                    <w:b/>
                    <w:bCs/>
                    <w:color w:val="000000"/>
                    <w:sz w:val="20"/>
                    <w:lang w:eastAsia="lt-LT"/>
                  </w:rPr>
                </w:pPr>
              </w:p>
            </w:tc>
            <w:tc>
              <w:tcPr>
                <w:tcW w:w="1572" w:type="dxa"/>
                <w:shd w:val="clear" w:color="auto" w:fill="FFFFFF" w:themeFill="background1"/>
              </w:tcPr>
              <w:p w14:paraId="39065DE6" w14:textId="77777777">
                <w:pPr>
                  <w:jc w:val="both"/>
                  <w:rPr>
                    <w:b/>
                    <w:bCs/>
                    <w:color w:val="000000"/>
                    <w:sz w:val="20"/>
                  </w:rPr>
                </w:pPr>
              </w:p>
            </w:tc>
          </w:tr>
          <w:tr w14:paraId="57344102" w14:textId="77777777">
            <w:tc>
              <w:tcPr>
                <w:tcW w:w="8391" w:type="dxa"/>
                <w:shd w:val="clear" w:color="auto" w:fill="FFFFFF" w:themeFill="background1"/>
              </w:tcPr>
              <w:p w14:paraId="69FD1FEB" w14:textId="44B8BDA9">
                <w:pPr>
                  <w:jc w:val="both"/>
                  <w:rPr>
                    <w:color w:val="000000"/>
                    <w:sz w:val="20"/>
                  </w:rPr>
                </w:pPr>
                <w:r>
                  <w:rPr>
                    <w:color w:val="000000"/>
                    <w:sz w:val="20"/>
                  </w:rPr>
                  <w:t>a) didinti viešųjų ir privačiųjų įmonių bei organizacijų, socialinių partnerių ir visuomenės informuotumą, kad būtų skatinamas vienodo darbo užmokesčio principas ir teisė į darbo užmokesčio skaidrumą, be kita ko, sprendžiant daugialypės diskriminacijos, susijusios su vienodu darbo užmokesčiu už vienodą arba vienodos vertės darbą, problemą;</w:t>
                </w:r>
              </w:p>
            </w:tc>
            <w:tc>
              <w:tcPr>
                <w:tcW w:w="5347" w:type="dxa"/>
                <w:shd w:val="clear" w:color="auto" w:fill="FFFFFF" w:themeFill="background1"/>
              </w:tcPr>
              <w:p w14:paraId="4BE5E236" w14:textId="6E8431B6">
                <w:pPr>
                  <w:jc w:val="both"/>
                  <w:rPr>
                    <w:b/>
                    <w:bCs/>
                    <w:color w:val="000000"/>
                    <w:sz w:val="20"/>
                    <w:lang w:eastAsia="lt-LT"/>
                  </w:rPr>
                </w:pPr>
                <w:r>
                  <w:rPr>
                    <w:b/>
                    <w:bCs/>
                    <w:color w:val="000000"/>
                    <w:sz w:val="20"/>
                    <w:lang w:eastAsia="lt-LT"/>
                  </w:rPr>
                  <w:t>LGKT nuostatai</w:t>
                </w:r>
              </w:p>
              <w:p w14:paraId="4D2413D9" w14:textId="77777777">
                <w:pPr>
                  <w:jc w:val="both"/>
                  <w:rPr>
                    <w:color w:val="000000"/>
                    <w:sz w:val="20"/>
                    <w:lang w:eastAsia="lt-LT"/>
                  </w:rPr>
                </w:pPr>
                <w:r>
                  <w:rPr>
                    <w:color w:val="000000"/>
                    <w:sz w:val="20"/>
                    <w:lang w:eastAsia="lt-LT"/>
                  </w:rPr>
                  <w:t>8. Lygių galimybių kontrolieriaus tarnybos veiklos tikslai yra šie:</w:t>
                </w:r>
              </w:p>
              <w:p w14:paraId="7C1A4AB0" w14:textId="77777777">
                <w:pPr>
                  <w:jc w:val="both"/>
                  <w:rPr>
                    <w:color w:val="000000"/>
                    <w:sz w:val="20"/>
                    <w:lang w:eastAsia="lt-LT"/>
                  </w:rPr>
                </w:pPr>
                <w:r>
                  <w:rPr>
                    <w:color w:val="000000"/>
                    <w:sz w:val="20"/>
                    <w:lang w:eastAsia="lt-LT"/>
                  </w:rPr>
                  <w:t>8.1. užtikrinti lygių galimybių kontrolieriui pavestų funkcijų įgyvendinimą pagal jam suteiktą kompetenciją;</w:t>
                </w:r>
              </w:p>
              <w:p w14:paraId="17B0407F" w14:textId="77777777">
                <w:pPr>
                  <w:jc w:val="both"/>
                  <w:rPr>
                    <w:color w:val="000000"/>
                    <w:sz w:val="20"/>
                    <w:lang w:eastAsia="lt-LT"/>
                  </w:rPr>
                </w:pPr>
                <w:r>
                  <w:rPr>
                    <w:color w:val="000000"/>
                    <w:sz w:val="20"/>
                    <w:lang w:eastAsia="lt-LT"/>
                  </w:rPr>
                  <w:t>8.2. užtikrinti, kad būtų vykdoma Lygių galimybių įstatymo ir Moterų ir vyrų lygių galimybių įstatymo įgyvendinimo priežiūra.</w:t>
                </w:r>
              </w:p>
              <w:p w14:paraId="484A9110" w14:textId="77777777">
                <w:pPr>
                  <w:jc w:val="both"/>
                  <w:rPr>
                    <w:color w:val="000000"/>
                    <w:sz w:val="20"/>
                    <w:lang w:eastAsia="lt-LT"/>
                  </w:rPr>
                </w:pPr>
                <w:r>
                  <w:rPr>
                    <w:color w:val="000000"/>
                    <w:sz w:val="20"/>
                    <w:lang w:eastAsia="lt-LT"/>
                  </w:rPr>
                  <w:t>9. Lygių galimybių kontrolieriaus tarnyba, padėdama lygių galimybių kontrolieriui įgyvendinti jam pavestas funkcijas:</w:t>
                </w:r>
              </w:p>
              <w:p w14:paraId="6FABEADA" w14:textId="77777777">
                <w:pPr>
                  <w:jc w:val="both"/>
                  <w:rPr>
                    <w:color w:val="000000"/>
                    <w:sz w:val="20"/>
                    <w:lang w:eastAsia="lt-LT"/>
                  </w:rPr>
                </w:pPr>
                <w:r>
                  <w:rPr>
                    <w:color w:val="000000"/>
                    <w:sz w:val="20"/>
                    <w:lang w:eastAsia="lt-LT"/>
                  </w:rPr>
                  <w:t>9.4. teikia fiziniams ir juridiniams asmenims informaciją ir konsultacijas lygių galimybių kontrolieriaus veiklos klausimais;</w:t>
                </w:r>
              </w:p>
              <w:p w14:paraId="315D9772" w14:textId="77777777">
                <w:pPr>
                  <w:jc w:val="both"/>
                  <w:rPr>
                    <w:color w:val="000000"/>
                    <w:sz w:val="20"/>
                    <w:lang w:eastAsia="lt-LT"/>
                  </w:rPr>
                </w:pPr>
                <w:r>
                  <w:rPr>
                    <w:color w:val="000000"/>
                    <w:sz w:val="20"/>
                    <w:lang w:eastAsia="lt-LT"/>
                  </w:rPr>
                  <w:t>&lt;...&gt;</w:t>
                </w:r>
              </w:p>
              <w:p w14:paraId="6E87B9C4" w14:textId="77777777">
                <w:pPr>
                  <w:jc w:val="both"/>
                  <w:rPr>
                    <w:color w:val="000000"/>
                    <w:sz w:val="20"/>
                    <w:lang w:eastAsia="lt-LT"/>
                  </w:rPr>
                </w:pPr>
                <w:r>
                  <w:rPr>
                    <w:color w:val="000000"/>
                    <w:sz w:val="20"/>
                    <w:lang w:eastAsia="lt-LT"/>
                  </w:rPr>
                  <w:t>9.6. atlieka nepriklausomas lygių galimybių įgyvendinimo ir diskriminacijos padėties apžvalgas;</w:t>
                </w:r>
              </w:p>
              <w:p w14:paraId="67EE8DBC" w14:textId="77777777">
                <w:pPr>
                  <w:jc w:val="both"/>
                  <w:rPr>
                    <w:color w:val="000000"/>
                    <w:sz w:val="20"/>
                    <w:lang w:eastAsia="lt-LT"/>
                  </w:rPr>
                </w:pPr>
                <w:r>
                  <w:rPr>
                    <w:color w:val="000000"/>
                    <w:sz w:val="20"/>
                    <w:lang w:eastAsia="lt-LT"/>
                  </w:rPr>
                  <w:t>9.7. skelbia nepriklausomas ataskaitas, teikia išvadas ir rekomendacijas bet kokiais su lygių galimybių įgyvendinimu ir diskriminacija susijusiais klausimais;</w:t>
                </w:r>
              </w:p>
              <w:p w14:paraId="45C0571D" w14:textId="77777777">
                <w:pPr>
                  <w:jc w:val="both"/>
                  <w:rPr>
                    <w:color w:val="000000"/>
                    <w:sz w:val="20"/>
                    <w:lang w:eastAsia="lt-LT"/>
                  </w:rPr>
                </w:pPr>
                <w:r>
                  <w:rPr>
                    <w:color w:val="000000"/>
                    <w:sz w:val="20"/>
                    <w:lang w:eastAsia="lt-LT"/>
                  </w:rPr>
                  <w:t>&lt;...&gt;</w:t>
                </w:r>
              </w:p>
              <w:p w14:paraId="7EDACA00" w14:textId="77777777">
                <w:pPr>
                  <w:jc w:val="both"/>
                  <w:rPr>
                    <w:color w:val="000000"/>
                    <w:sz w:val="20"/>
                    <w:lang w:eastAsia="lt-LT"/>
                  </w:rPr>
                </w:pPr>
                <w:r>
                  <w:rPr>
                    <w:color w:val="000000"/>
                    <w:sz w:val="20"/>
                    <w:lang w:eastAsia="lt-LT"/>
                  </w:rPr>
                  <w:t>9.10. vykdo prevencinę ir švietėjišką veiklą, lygių galimybių užtikrinimo sklaidą;</w:t>
                </w:r>
              </w:p>
              <w:p w14:paraId="2A84535E" w14:textId="77777777">
                <w:pPr>
                  <w:jc w:val="both"/>
                  <w:rPr>
                    <w:color w:val="000000"/>
                    <w:sz w:val="20"/>
                    <w:lang w:eastAsia="lt-LT"/>
                  </w:rPr>
                </w:pPr>
                <w:r>
                  <w:rPr>
                    <w:color w:val="000000"/>
                    <w:sz w:val="20"/>
                    <w:lang w:eastAsia="lt-LT"/>
                  </w:rPr>
                  <w:t>9.11. inicijuoja tikslines priemones, projektines veiklas lygių galimybių ir nediskriminavimo klausimais ir jas įgyvendina;</w:t>
                </w:r>
              </w:p>
              <w:p w14:paraId="317F103F" w14:textId="77777777">
                <w:pPr>
                  <w:jc w:val="both"/>
                  <w:rPr>
                    <w:color w:val="000000"/>
                    <w:sz w:val="20"/>
                    <w:lang w:eastAsia="lt-LT"/>
                  </w:rPr>
                </w:pPr>
                <w:r>
                  <w:rPr>
                    <w:color w:val="000000"/>
                    <w:sz w:val="20"/>
                    <w:lang w:eastAsia="lt-LT"/>
                  </w:rPr>
                  <w:t>9.12. renka ir apibendrina aktualią informaciją lygių galimybių integravimo klausimais;</w:t>
                </w:r>
              </w:p>
              <w:p w14:paraId="66307968" w14:textId="7CE644DA">
                <w:pPr>
                  <w:jc w:val="both"/>
                  <w:rPr>
                    <w:color w:val="000000"/>
                    <w:sz w:val="20"/>
                    <w:lang w:eastAsia="lt-LT"/>
                  </w:rPr>
                </w:pPr>
                <w:r>
                  <w:rPr>
                    <w:color w:val="000000"/>
                    <w:sz w:val="20"/>
                    <w:lang w:eastAsia="lt-LT"/>
                  </w:rPr>
                  <w:t>9.13. nuolat informuoja visuomenę apie lygių galimybių kontrolieriaus ir Lygių galimybių kontrolieriaus tarnybos veiklą;</w:t>
                </w:r>
              </w:p>
              <w:p w14:paraId="5FA6F3AB" w14:textId="5D5130DC">
                <w:pPr>
                  <w:jc w:val="both"/>
                  <w:rPr>
                    <w:b/>
                    <w:bCs/>
                    <w:color w:val="000000"/>
                    <w:sz w:val="20"/>
                    <w:lang w:eastAsia="lt-LT"/>
                  </w:rPr>
                </w:pPr>
                <w:r>
                  <w:rPr>
                    <w:b/>
                    <w:bCs/>
                    <w:color w:val="000000"/>
                    <w:sz w:val="20"/>
                    <w:lang w:eastAsia="lt-LT"/>
                  </w:rPr>
                  <w:t xml:space="preserve">MVLGĮ </w:t>
                </w:r>
              </w:p>
              <w:p w14:paraId="22DED56B" w14:textId="77777777">
                <w:pPr>
                  <w:jc w:val="both"/>
                  <w:rPr>
                    <w:color w:val="000000"/>
                    <w:sz w:val="20"/>
                    <w:lang w:eastAsia="lt-LT"/>
                  </w:rPr>
                </w:pPr>
                <w:r>
                  <w:rPr>
                    <w:b/>
                    <w:bCs/>
                    <w:color w:val="000000"/>
                    <w:sz w:val="20"/>
                    <w:lang w:eastAsia="lt-LT"/>
                  </w:rPr>
                  <w:t>6 straipsnis. Darbdavio arba darbdavio atstovo pareiga įgyvendinti lygias moterų ir vyrų teises darbe</w:t>
                </w:r>
              </w:p>
              <w:p w14:paraId="59AE2BBB" w14:textId="77777777">
                <w:pPr>
                  <w:jc w:val="both"/>
                  <w:rPr>
                    <w:color w:val="000000"/>
                    <w:sz w:val="20"/>
                    <w:lang w:eastAsia="lt-LT"/>
                  </w:rPr>
                </w:pPr>
                <w:r>
                  <w:rPr>
                    <w:color w:val="000000"/>
                    <w:sz w:val="20"/>
                    <w:lang w:eastAsia="lt-LT"/>
                  </w:rPr>
                  <w:t>&lt;...&gt;</w:t>
                </w:r>
              </w:p>
              <w:p w14:paraId="09D0982D" w14:textId="77777777">
                <w:pPr>
                  <w:jc w:val="both"/>
                  <w:rPr>
                    <w:color w:val="000000"/>
                    <w:sz w:val="20"/>
                    <w:lang w:eastAsia="lt-LT"/>
                  </w:rPr>
                </w:pPr>
                <w:r>
                  <w:rPr>
                    <w:color w:val="000000"/>
                    <w:sz w:val="20"/>
                    <w:lang w:eastAsia="lt-LT"/>
                  </w:rPr>
                  <w:t>3) už tokį patį ar vienodos vertės darbą mokėti vienodą darbo užmokestį, įskaitant visus papildomus uždarbius, bet kokiu būdu darbdavio arba darbdavio atstovo išmokamus darbuotojui už jo atliktą darbą;</w:t>
                </w:r>
              </w:p>
              <w:p w14:paraId="59069C00" w14:textId="1E5B20CC">
                <w:pPr>
                  <w:jc w:val="both"/>
                  <w:rPr>
                    <w:b/>
                    <w:bCs/>
                    <w:color w:val="000000"/>
                    <w:sz w:val="20"/>
                    <w:lang w:eastAsia="lt-LT"/>
                  </w:rPr>
                </w:pPr>
                <w:r>
                  <w:rPr>
                    <w:b/>
                    <w:bCs/>
                    <w:color w:val="000000"/>
                    <w:sz w:val="20"/>
                    <w:lang w:eastAsia="lt-LT"/>
                  </w:rPr>
                  <w:t>VDI nuostatai</w:t>
                </w:r>
              </w:p>
              <w:p w14:paraId="6D9BA262" w14:textId="77777777">
                <w:pPr>
                  <w:jc w:val="both"/>
                  <w:rPr>
                    <w:color w:val="000000"/>
                    <w:sz w:val="20"/>
                    <w:lang w:eastAsia="lt-LT"/>
                  </w:rPr>
                </w:pPr>
                <w:r>
                  <w:rPr>
                    <w:color w:val="000000"/>
                    <w:sz w:val="20"/>
                    <w:lang w:eastAsia="lt-LT"/>
                  </w:rPr>
                  <w:t>8. Valstybinė darbo inspekcija:</w:t>
                </w:r>
              </w:p>
              <w:p w14:paraId="06B18982" w14:textId="77777777">
                <w:pPr>
                  <w:jc w:val="both"/>
                  <w:rPr>
                    <w:color w:val="000000"/>
                    <w:sz w:val="20"/>
                    <w:lang w:eastAsia="lt-LT"/>
                  </w:rPr>
                </w:pPr>
                <w:r>
                  <w:rPr>
                    <w:color w:val="000000"/>
                    <w:sz w:val="20"/>
                    <w:lang w:eastAsia="lt-LT"/>
                  </w:rPr>
                  <w:t>8.1. siekdama šių Nuostatų 7.1 papunktyje nurodyto tikslo:</w:t>
                </w:r>
              </w:p>
              <w:p w14:paraId="2EBE7807" w14:textId="63F4F619">
                <w:pPr>
                  <w:jc w:val="both"/>
                  <w:rPr>
                    <w:b/>
                    <w:bCs/>
                    <w:color w:val="000000"/>
                    <w:sz w:val="20"/>
                    <w:lang w:eastAsia="lt-LT"/>
                  </w:rPr>
                </w:pPr>
                <w:r>
                  <w:rPr>
                    <w:color w:val="000000"/>
                    <w:sz w:val="20"/>
                    <w:lang w:eastAsia="lt-LT"/>
                  </w:rPr>
                  <w:t>8.1.1. kontroliuoja Darbo kodekso ir kitų darbo teisės normų, darbuotojų saugos ir sveikatos norminių teisės aktų reikalavimų vykdymą ir atlieka jų pažeidimų prevenciją, tikrina, kaip įmonėse laikomasi kolektyvinių sutarčių nuostatų, teikia darbdaviams reikalavimus, nurodymus, išvadas ir rekomendacijas, taip pat kontroliuoja, kaip laikomasi darbuotojų saugos ir sveikatos reikalavimų, taikomų savarankiškai dirbantiems asmenims, vykdantiems savarankišką veiklą statybvietėse;</w:t>
                </w:r>
              </w:p>
            </w:tc>
            <w:tc>
              <w:tcPr>
                <w:tcW w:w="1572" w:type="dxa"/>
                <w:shd w:val="clear" w:color="auto" w:fill="FFFFFF" w:themeFill="background1"/>
              </w:tcPr>
              <w:p w14:paraId="67E2B045" w14:textId="5B8A8584">
                <w:pPr>
                  <w:jc w:val="both"/>
                  <w:rPr>
                    <w:color w:val="000000"/>
                    <w:sz w:val="20"/>
                  </w:rPr>
                </w:pPr>
                <w:r>
                  <w:rPr>
                    <w:color w:val="000000"/>
                    <w:sz w:val="20"/>
                  </w:rPr>
                  <w:t>Visiškas</w:t>
                </w:r>
              </w:p>
              <w:p w14:paraId="469D017B" w14:textId="77777777">
                <w:pPr>
                  <w:jc w:val="both"/>
                  <w:rPr>
                    <w:color w:val="000000"/>
                    <w:sz w:val="20"/>
                  </w:rPr>
                </w:pPr>
              </w:p>
              <w:p w14:paraId="5C0F6F78" w14:textId="77777777">
                <w:pPr>
                  <w:jc w:val="both"/>
                  <w:rPr>
                    <w:b/>
                    <w:bCs/>
                    <w:color w:val="000000"/>
                    <w:sz w:val="20"/>
                  </w:rPr>
                </w:pPr>
              </w:p>
            </w:tc>
          </w:tr>
          <w:tr w14:paraId="411A5E95" w14:textId="77777777">
            <w:tc>
              <w:tcPr>
                <w:tcW w:w="8391" w:type="dxa"/>
                <w:shd w:val="clear" w:color="auto" w:fill="FFFFFF" w:themeFill="background1"/>
              </w:tcPr>
              <w:p w14:paraId="6BBDCFBE" w14:textId="77777777">
                <w:pPr>
                  <w:jc w:val="both"/>
                  <w:rPr>
                    <w:color w:val="000000"/>
                    <w:sz w:val="20"/>
                  </w:rPr>
                </w:pPr>
                <w:r>
                  <w:rPr>
                    <w:color w:val="000000"/>
                    <w:sz w:val="20"/>
                  </w:rPr>
                  <w:t>b) analizuoti vyrų ir moterų darbo užmokesčio atotrūkio priežastis ir parengti priemones, kurios padėtų įvertinti darbo užmokesčio nelygybę, pasinaudojant visų pirma EIGE analitinio darbo rezultatais ir jo priemonėmis;</w:t>
                </w:r>
              </w:p>
              <w:p w14:paraId="4C307C3B" w14:textId="77777777">
                <w:pPr>
                  <w:jc w:val="both"/>
                  <w:rPr>
                    <w:color w:val="000000"/>
                    <w:sz w:val="20"/>
                  </w:rPr>
                </w:pPr>
              </w:p>
              <w:p w14:paraId="6AC6800A" w14:textId="77777777">
                <w:pPr>
                  <w:jc w:val="both"/>
                  <w:rPr>
                    <w:color w:val="000000"/>
                    <w:sz w:val="20"/>
                  </w:rPr>
                </w:pPr>
              </w:p>
              <w:p w14:paraId="659E1928" w14:textId="77777777">
                <w:pPr>
                  <w:jc w:val="both"/>
                  <w:rPr>
                    <w:color w:val="000000"/>
                    <w:sz w:val="20"/>
                  </w:rPr>
                </w:pPr>
              </w:p>
              <w:p w14:paraId="1A5AAE59" w14:textId="5724FA49">
                <w:pPr>
                  <w:jc w:val="both"/>
                  <w:rPr>
                    <w:color w:val="000000"/>
                    <w:sz w:val="20"/>
                  </w:rPr>
                </w:pPr>
              </w:p>
            </w:tc>
            <w:tc>
              <w:tcPr>
                <w:tcW w:w="5347" w:type="dxa"/>
                <w:shd w:val="clear" w:color="auto" w:fill="FFFFFF" w:themeFill="background1"/>
              </w:tcPr>
              <w:p w14:paraId="43F76D06" w14:textId="0101828A">
                <w:pPr>
                  <w:jc w:val="both"/>
                  <w:rPr>
                    <w:b/>
                    <w:bCs/>
                    <w:color w:val="000000"/>
                    <w:sz w:val="20"/>
                    <w:lang w:eastAsia="lt-LT"/>
                  </w:rPr>
                </w:pPr>
                <w:r>
                  <w:rPr>
                    <w:b/>
                    <w:bCs/>
                    <w:color w:val="000000"/>
                    <w:sz w:val="20"/>
                    <w:lang w:eastAsia="lt-LT"/>
                  </w:rPr>
                  <w:t>VDĮ įstatymas</w:t>
                </w:r>
              </w:p>
              <w:p w14:paraId="061E57C0" w14:textId="77777777">
                <w:pPr>
                  <w:jc w:val="both"/>
                  <w:rPr>
                    <w:b/>
                    <w:bCs/>
                    <w:color w:val="000000"/>
                    <w:sz w:val="20"/>
                    <w:lang w:eastAsia="lt-LT"/>
                  </w:rPr>
                </w:pPr>
                <w:r>
                  <w:rPr>
                    <w:b/>
                    <w:bCs/>
                    <w:color w:val="000000"/>
                    <w:sz w:val="20"/>
                    <w:lang w:eastAsia="lt-LT"/>
                  </w:rPr>
                  <w:t>4 straipsnis. Valstybinės darbo inspekcijos kompetencija</w:t>
                </w:r>
              </w:p>
              <w:p w14:paraId="551908B0" w14:textId="77777777">
                <w:pPr>
                  <w:jc w:val="both"/>
                  <w:rPr>
                    <w:color w:val="000000"/>
                    <w:sz w:val="20"/>
                    <w:lang w:eastAsia="lt-LT"/>
                  </w:rPr>
                </w:pPr>
                <w:r>
                  <w:rPr>
                    <w:color w:val="000000"/>
                    <w:sz w:val="20"/>
                    <w:lang w:eastAsia="lt-LT"/>
                  </w:rPr>
                  <w:t>Valstybinės darbo inspekcijos kompetencijai priskiriama nelaimingų atsitikimų darbe, profesinių ligų, darbuotojų saugos ir sveikatos, norminių darbo teisės aktų pažeidimų prevencija ir Lietuvos Respublikos darbo kodekso, darbuotojų saugą ir sveikatą bei darbo santykius reglamentuojančių įstatymų ir kitų norminių teisės aktų laikymosi kontrolė įmonėse, įstaigose, organizacijose ar kitose organizacinėse struktūrose, nepaisant jų nuosavybės formos, rūšies, veiklos pobūdžio, taip pat tais atvejais, kai darbdavys yra fizinis asmuo (toliau – darbdaviai), ir tais atvejais, kai savarankišką veiklą vykdo savarankiškai dirbantys asmenys, jeigu jiems taikomi darbuotojų saugos ir sveikatos norminių teisės aktų reikalavimai (toliau – savarankiškai dirbantys asmenys).</w:t>
                </w:r>
              </w:p>
              <w:p w14:paraId="619E7124" w14:textId="77777777">
                <w:pPr>
                  <w:jc w:val="both"/>
                  <w:rPr>
                    <w:color w:val="000000"/>
                    <w:sz w:val="20"/>
                    <w:lang w:eastAsia="lt-LT"/>
                  </w:rPr>
                </w:pPr>
                <w:r>
                  <w:rPr>
                    <w:i/>
                    <w:iCs/>
                    <w:color w:val="000000"/>
                    <w:sz w:val="20"/>
                    <w:lang w:eastAsia="lt-LT"/>
                  </w:rPr>
                  <w:t>Straipsnio pakeitimai:</w:t>
                </w:r>
              </w:p>
              <w:p w14:paraId="16676E50" w14:textId="77777777">
                <w:pPr>
                  <w:jc w:val="both"/>
                  <w:rPr>
                    <w:color w:val="000000"/>
                    <w:sz w:val="20"/>
                    <w:lang w:eastAsia="lt-LT"/>
                  </w:rPr>
                </w:pPr>
                <w:r>
                  <w:rPr>
                    <w:i/>
                    <w:iCs/>
                    <w:color w:val="000000"/>
                    <w:sz w:val="20"/>
                    <w:lang w:eastAsia="lt-LT"/>
                  </w:rPr>
                  <w:t>Nr. </w:t>
                </w:r>
                <w:hyperlink r:id="rId64" w:tgtFrame="_parent" w:history="1">
                  <w:r>
                    <w:rPr>
                      <w:i/>
                      <w:iCs/>
                      <w:color w:val="0000FF"/>
                      <w:sz w:val="20"/>
                      <w:u w:val="single"/>
                      <w:lang w:eastAsia="lt-LT"/>
                    </w:rPr>
                    <w:t>XIII-1160</w:t>
                  </w:r>
                </w:hyperlink>
                <w:r>
                  <w:rPr>
                    <w:i/>
                    <w:iCs/>
                    <w:color w:val="000000"/>
                    <w:sz w:val="20"/>
                    <w:lang w:eastAsia="lt-LT"/>
                  </w:rPr>
                  <w:t>, 2018-05-17, paskelbta TAR 2018-05-28, i. k. 2018-08533</w:t>
                </w:r>
              </w:p>
              <w:p w14:paraId="0B9AAAA9" w14:textId="25DA10A1">
                <w:pPr>
                  <w:jc w:val="both"/>
                  <w:rPr>
                    <w:color w:val="000000"/>
                    <w:sz w:val="20"/>
                    <w:lang w:eastAsia="lt-LT"/>
                  </w:rPr>
                </w:pPr>
                <w:r>
                  <w:rPr>
                    <w:i/>
                    <w:iCs/>
                    <w:color w:val="000000"/>
                    <w:sz w:val="20"/>
                    <w:lang w:eastAsia="lt-LT"/>
                  </w:rPr>
                  <w:t>Nr. </w:t>
                </w:r>
                <w:hyperlink r:id="rId65" w:tgtFrame="_parent" w:history="1">
                  <w:r>
                    <w:rPr>
                      <w:i/>
                      <w:iCs/>
                      <w:color w:val="0000FF"/>
                      <w:sz w:val="20"/>
                      <w:u w:val="single"/>
                      <w:lang w:eastAsia="lt-LT"/>
                    </w:rPr>
                    <w:t>XIV-552</w:t>
                  </w:r>
                </w:hyperlink>
                <w:r>
                  <w:rPr>
                    <w:i/>
                    <w:iCs/>
                    <w:color w:val="000000"/>
                    <w:sz w:val="20"/>
                    <w:lang w:eastAsia="lt-LT"/>
                  </w:rPr>
                  <w:t>, 2021-09-30, paskelbta TAR 2021-10-08, i. k. 2021-21219</w:t>
                </w:r>
              </w:p>
              <w:p w14:paraId="3C6F1AA9" w14:textId="54692856">
                <w:pPr>
                  <w:jc w:val="both"/>
                  <w:rPr>
                    <w:b/>
                    <w:bCs/>
                    <w:color w:val="000000"/>
                    <w:sz w:val="20"/>
                    <w:lang w:eastAsia="lt-LT"/>
                  </w:rPr>
                </w:pPr>
                <w:r>
                  <w:rPr>
                    <w:b/>
                    <w:bCs/>
                    <w:color w:val="000000"/>
                    <w:sz w:val="20"/>
                    <w:lang w:eastAsia="lt-LT"/>
                  </w:rPr>
                  <w:t>VDI nuostatų projektas</w:t>
                </w:r>
              </w:p>
              <w:p w14:paraId="7FE88AFA" w14:textId="11C3B8DF">
                <w:pPr>
                  <w:jc w:val="both"/>
                  <w:rPr>
                    <w:b/>
                    <w:bCs/>
                    <w:color w:val="000000"/>
                    <w:sz w:val="20"/>
                    <w:lang w:eastAsia="lt-LT"/>
                  </w:rPr>
                </w:pPr>
                <w:r>
                  <w:rPr>
                    <w:b/>
                    <w:bCs/>
                    <w:color w:val="000000"/>
                    <w:sz w:val="20"/>
                    <w:lang w:eastAsia="lt-LT"/>
                  </w:rPr>
                  <w:t>Papildyti nuostatus:</w:t>
                </w:r>
              </w:p>
              <w:p w14:paraId="23DF50D2" w14:textId="7ED0EF62">
                <w:pPr>
                  <w:jc w:val="both"/>
                  <w:rPr>
                    <w:b/>
                    <w:bCs/>
                    <w:color w:val="000000"/>
                    <w:sz w:val="20"/>
                  </w:rPr>
                </w:pPr>
                <w:r>
                  <w:rPr>
                    <w:b/>
                    <w:bCs/>
                    <w:color w:val="000000"/>
                    <w:sz w:val="20"/>
                    <w:lang w:eastAsia="lt-LT"/>
                  </w:rPr>
                  <w:t xml:space="preserve">8.3.27. renka, analizuoja, apibendrina darbdavių teikiamą informaciją apie darbuotojų </w:t>
                </w:r>
                <w:r>
                  <w:rPr>
                    <w:b/>
                    <w:bCs/>
                    <w:color w:val="000000"/>
                    <w:sz w:val="20"/>
                  </w:rPr>
                  <w:t>vyrų ir moterų darbo užmokesčio atotrūkio priežastis, bendro darbo užmokesčio vertinimo ataskaitas, rengia priemones, kurios padėtų įvertinti darbo užmokesčio nelygybę, Lietuvos Respublikos socialinės apsaugos ir darbo ministro nustatyta tvarka dalyvauja darbo užmokesčio teisingumo vertinime.;</w:t>
                </w:r>
              </w:p>
            </w:tc>
            <w:tc>
              <w:tcPr>
                <w:tcW w:w="1572" w:type="dxa"/>
                <w:shd w:val="clear" w:color="auto" w:fill="FFFFFF" w:themeFill="background1"/>
              </w:tcPr>
              <w:p w14:paraId="492C3C84" w14:textId="5DB6C33D">
                <w:pPr>
                  <w:jc w:val="both"/>
                  <w:rPr>
                    <w:color w:val="000000"/>
                    <w:sz w:val="20"/>
                  </w:rPr>
                </w:pPr>
                <w:r>
                  <w:rPr>
                    <w:color w:val="000000"/>
                    <w:sz w:val="20"/>
                  </w:rPr>
                  <w:t>Dalinis, Visiškas, kai SADM priims poįstatyminius teisės aktus iki 2026-06-06</w:t>
                </w:r>
              </w:p>
            </w:tc>
          </w:tr>
          <w:tr w14:paraId="531E228C" w14:textId="77777777">
            <w:tc>
              <w:tcPr>
                <w:tcW w:w="8391" w:type="dxa"/>
                <w:shd w:val="clear" w:color="auto" w:fill="FFFFFF" w:themeFill="background1"/>
              </w:tcPr>
              <w:p w14:paraId="5B2DBA6C" w14:textId="5DB4357D">
                <w:pPr>
                  <w:jc w:val="both"/>
                  <w:rPr>
                    <w:color w:val="000000"/>
                    <w:sz w:val="20"/>
                  </w:rPr>
                </w:pPr>
                <w:r>
                  <w:rPr>
                    <w:color w:val="000000"/>
                    <w:sz w:val="20"/>
                  </w:rPr>
                  <w:t>c) rinkti iš darbdavių pagal 9 straipsnio 7 dalį gautus duomenis ir nedelsiant paskelbti 9 straipsnio 1 dalies a–f punktuose nurodytus duomenis lengvai prieinamu ir naudotojui patogiu būdu, kad būtų galima palyginti atitinkamos valstybės narės darbdavius, sektorius ir regionus ir užtikrinti, kad būtų prieinama ankstesnių ketverių metų informacija, jei ji turima;</w:t>
                </w:r>
              </w:p>
            </w:tc>
            <w:tc>
              <w:tcPr>
                <w:tcW w:w="5347" w:type="dxa"/>
                <w:shd w:val="clear" w:color="auto" w:fill="FFFFFF" w:themeFill="background1"/>
              </w:tcPr>
              <w:p w14:paraId="7826F244" w14:textId="77777777">
                <w:pPr>
                  <w:jc w:val="both"/>
                  <w:rPr>
                    <w:b/>
                    <w:bCs/>
                    <w:color w:val="000000"/>
                    <w:sz w:val="20"/>
                    <w:lang w:eastAsia="lt-LT"/>
                  </w:rPr>
                </w:pPr>
                <w:r>
                  <w:rPr>
                    <w:b/>
                    <w:bCs/>
                    <w:color w:val="000000"/>
                    <w:sz w:val="20"/>
                    <w:lang w:eastAsia="lt-LT"/>
                  </w:rPr>
                  <w:t>DK projektas</w:t>
                </w:r>
              </w:p>
              <w:p w14:paraId="63AAB7AB" w14:textId="77777777">
                <w:pPr>
                  <w:jc w:val="both"/>
                  <w:rPr>
                    <w:b/>
                    <w:bCs/>
                    <w:sz w:val="20"/>
                  </w:rPr>
                </w:pPr>
                <w:r>
                  <w:rPr>
                    <w:b/>
                    <w:bCs/>
                    <w:sz w:val="20"/>
                  </w:rPr>
                  <w:t>1 straipsnis. 23 straipsnio pakeitimas</w:t>
                </w:r>
              </w:p>
              <w:p w14:paraId="27550CDD" w14:textId="77777777">
                <w:pPr>
                  <w:jc w:val="both"/>
                  <w:rPr>
                    <w:b/>
                    <w:bCs/>
                    <w:sz w:val="20"/>
                  </w:rPr>
                </w:pPr>
                <w:r>
                  <w:rPr>
                    <w:b/>
                    <w:bCs/>
                    <w:sz w:val="20"/>
                  </w:rPr>
                  <w:t>Pakeisti 23 straipsnį ir jį išdėstyti taip:</w:t>
                </w:r>
              </w:p>
              <w:p w14:paraId="1E8C5949" w14:textId="77777777">
                <w:pPr>
                  <w:jc w:val="both"/>
                  <w:rPr>
                    <w:b/>
                    <w:bCs/>
                    <w:sz w:val="20"/>
                  </w:rPr>
                </w:pPr>
                <w:r>
                  <w:rPr>
                    <w:b/>
                    <w:bCs/>
                    <w:sz w:val="20"/>
                  </w:rPr>
                  <w:t>„&lt;...&gt;</w:t>
                </w:r>
              </w:p>
              <w:p w14:paraId="18BD2012" w14:textId="4CA2C12B">
                <w:pPr>
                  <w:jc w:val="both"/>
                  <w:rPr>
                    <w:b/>
                    <w:bCs/>
                    <w:sz w:val="20"/>
                  </w:rPr>
                </w:pPr>
                <w:r>
                  <w:rPr>
                    <w:b/>
                    <w:bCs/>
                    <w:sz w:val="20"/>
                  </w:rPr>
                  <w:t>4.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taip pat kas trejus metus – šiuos darbdavių, turinčių nuo 100 iki 249 apdraustųjų asmenų, draudžiamų pagal Lietuvos Respublikos valstybinio socialinio draudimo įstatymo 4 straipsnio 1 ir 2 dalis (toliau – apdraustieji asmenys), ir mažiau apdraustųjų asmenų turinčių darbdavių, pageidaujančių, kad jiems būtų taikomos tokios pačios šiame straipsnyje numatytų duomenų tvarkymo taisyklės, kaip ir darbdaviams, kurių apdraustųjų asmenų skaičius – nuo 100 iki 249, kasmet – darbdavių, kurių apdraustųjų asmenų skaičius – 250 ir daugiau, praėjusių kalendorinių metų rodiklius:</w:t>
                </w:r>
              </w:p>
              <w:p w14:paraId="2A83FFA6" w14:textId="77777777">
                <w:pPr>
                  <w:jc w:val="both"/>
                  <w:rPr>
                    <w:b/>
                    <w:bCs/>
                    <w:sz w:val="20"/>
                  </w:rPr>
                </w:pPr>
                <w:r>
                  <w:rPr>
                    <w:b/>
                    <w:bCs/>
                    <w:sz w:val="20"/>
                  </w:rPr>
                  <w:t>1) vyrų ir moterų darbo užmokesčio atotrūkį;</w:t>
                </w:r>
              </w:p>
              <w:p w14:paraId="24F3441F" w14:textId="77777777">
                <w:pPr>
                  <w:jc w:val="both"/>
                  <w:rPr>
                    <w:b/>
                    <w:bCs/>
                    <w:sz w:val="20"/>
                  </w:rPr>
                </w:pPr>
                <w:r>
                  <w:rPr>
                    <w:b/>
                    <w:bCs/>
                    <w:sz w:val="20"/>
                  </w:rPr>
                  <w:t>2) vyrų ir moterų darbo užmokesčio atotrūkį, įvertinus papildomą darbo užmokestį, nurodytą šio kodekso 139 straipsnio 2 dalies 2–6 punktuose ir 144 straipsnio 1–4 ir 7 dalyse (toliau – papildomas darbo užmokestis);</w:t>
                </w:r>
              </w:p>
              <w:p w14:paraId="2389114F" w14:textId="77777777">
                <w:pPr>
                  <w:jc w:val="both"/>
                  <w:rPr>
                    <w:b/>
                    <w:bCs/>
                    <w:sz w:val="20"/>
                  </w:rPr>
                </w:pPr>
                <w:r>
                  <w:rPr>
                    <w:b/>
                    <w:bCs/>
                    <w:sz w:val="20"/>
                  </w:rPr>
                  <w:t>3) vyrų ir moterų darbo užmokesčio medianų atotrūkį;</w:t>
                </w:r>
              </w:p>
              <w:p w14:paraId="5C69D871" w14:textId="77777777">
                <w:pPr>
                  <w:jc w:val="both"/>
                  <w:rPr>
                    <w:b/>
                    <w:bCs/>
                    <w:sz w:val="20"/>
                  </w:rPr>
                </w:pPr>
                <w:r>
                  <w:rPr>
                    <w:b/>
                    <w:bCs/>
                    <w:sz w:val="20"/>
                  </w:rPr>
                  <w:t>4) vyrų ir moterų darbo užmokesčio medianų atotrūkį, įvertinus papildomą darbo užmokestį;</w:t>
                </w:r>
              </w:p>
              <w:p w14:paraId="63A15199" w14:textId="77777777">
                <w:pPr>
                  <w:jc w:val="both"/>
                  <w:rPr>
                    <w:b/>
                    <w:bCs/>
                    <w:sz w:val="20"/>
                  </w:rPr>
                </w:pPr>
                <w:r>
                  <w:rPr>
                    <w:b/>
                    <w:bCs/>
                    <w:sz w:val="20"/>
                  </w:rPr>
                  <w:t>5) vyrų ir moterų, gaunančių papildomą darbo užmokestį, dalį;</w:t>
                </w:r>
              </w:p>
              <w:p w14:paraId="3EC43FA9" w14:textId="77777777">
                <w:pPr>
                  <w:jc w:val="both"/>
                  <w:rPr>
                    <w:b/>
                    <w:bCs/>
                    <w:sz w:val="20"/>
                  </w:rPr>
                </w:pPr>
                <w:r>
                  <w:rPr>
                    <w:b/>
                    <w:bCs/>
                    <w:sz w:val="20"/>
                  </w:rPr>
                  <w:t xml:space="preserve">6) vyrų ir moterų dalį kiekviename darbo užmokesčio kvartilyje; </w:t>
                </w:r>
              </w:p>
              <w:p w14:paraId="09CB1183" w14:textId="77777777">
                <w:pPr>
                  <w:jc w:val="both"/>
                  <w:rPr>
                    <w:b/>
                    <w:bCs/>
                    <w:sz w:val="20"/>
                  </w:rPr>
                </w:pPr>
                <w:r>
                  <w:rPr>
                    <w:b/>
                    <w:bCs/>
                    <w:sz w:val="20"/>
                  </w:rPr>
                  <w:t>7) vyrų ir moterų darbo užmokesčio atotrūkį pagal bazinį (tarifinį) darbo užmokestį ir papildomą darbo užmokestį pagal pareigybių grupes.</w:t>
                </w:r>
              </w:p>
              <w:p w14:paraId="3C1B5AAC" w14:textId="6A3D9495">
                <w:pPr>
                  <w:jc w:val="both"/>
                  <w:rPr>
                    <w:b/>
                    <w:bCs/>
                    <w:sz w:val="20"/>
                  </w:rPr>
                </w:pPr>
                <w:r>
                  <w:rPr>
                    <w:b/>
                    <w:bCs/>
                    <w:sz w:val="20"/>
                  </w:rPr>
                  <w:t>5. Valstybinio socialinio draudimo fondo valdyba duomenis apie šio straipsnio 4 dalyje nurodytus rodiklius – kiekvieno darbuotojo mėnesio vidutinį valandinį darbo užmokestį ir visų darbdavio darbuotojų mėnesio vidutinį valandinį darbo užmokestį pagal lytį toje pačioje pareigybių grupėje – kas mėnesį, o duomenis apie tokius rodiklius kaip kiekvieno darbuotojo metinis darbo užmokestis ir metų vidutinis valandinis darbo užmokestis bei visų darbdavio darbuotojų vidutinis metinis darbo užmokestis ir metų vidutinis valandinis darbo užmokestis pagal lytį toje pačioje pareigybių grupėje kasmet pateikia šio straipsnio 4 dalyje nurodytiems darbdaviams. Duomenis apie šio straipsnio 4 dalies 1–7 punktuose nurodytus praėjusių kalendorinių metų rodiklius Valstybinio socialinio draudimo fondo valdyba pateikia darbdaviams, kurių apdraustųjų asmenų skaičius – nuo 100 iki 249, kas trejus metus, o darbdaviams, kurių apdraustųjų asmenų skaičius – 250 ir daugiau, – kasmet. Darbdaviai per vieną mėnesį nuo duomenų apie apskaičiuotus rodiklius gavimo dienos duomenis apie šio straipsnio 4 dalies 7 punkte nurodytą rodiklį pagal pareigybių grupes, kuriose yra daugiau kaip 2 atitinkamos lyties darbuotojai, privalo pateikti darbuotojų atstovams ir darbuotojams. Valstybinio socialinio draudimo fondo valdyba duomenis apie šio straipsnio 4 dalyje nurodytus rodiklius teikia Valstybinei darbo inspekcijai ir Lygių galimybių kontrolieriaus tarnybai.</w:t>
                </w:r>
              </w:p>
              <w:p w14:paraId="18996C4E" w14:textId="33CD7062">
                <w:pPr>
                  <w:jc w:val="both"/>
                  <w:rPr>
                    <w:b/>
                    <w:bCs/>
                    <w:color w:val="000000"/>
                    <w:sz w:val="20"/>
                    <w:lang w:eastAsia="lt-LT"/>
                  </w:rPr>
                </w:pPr>
                <w:r>
                  <w:rPr>
                    <w:b/>
                    <w:bCs/>
                    <w:color w:val="000000"/>
                    <w:sz w:val="20"/>
                    <w:lang w:eastAsia="lt-LT"/>
                  </w:rPr>
                  <w:t>&lt;...&gt;</w:t>
                </w:r>
              </w:p>
              <w:p w14:paraId="1DB6FC1A" w14:textId="77777777">
                <w:pPr>
                  <w:jc w:val="both"/>
                  <w:rPr>
                    <w:b/>
                    <w:bCs/>
                    <w:sz w:val="20"/>
                  </w:rPr>
                </w:pPr>
                <w:r>
                  <w:rPr>
                    <w:b/>
                    <w:bCs/>
                    <w:sz w:val="20"/>
                  </w:rPr>
                  <w:t xml:space="preserve">7. Valstybinio socialinio draudimo fondo valdyba duomenis apie darbdavių, kurių apdraustųjų asmenų skaičius – nuo 100 iki 249, praėjusių kalendorinių metų rodiklius, nurodytus šio straipsnio 4 dalies 1–6 punktuose, viešai skelbia kas trejus metus, o duomenis apie darbdavių, kurių apdraustųjų asmenų skaičius – 250 ir daugiau, praėjusių kalendorinių metų rodiklius, nurodytus šio straipsnio 4 dalies 1–6 punktuose, – kasmet. </w:t>
                </w:r>
              </w:p>
              <w:p w14:paraId="0455A844" w14:textId="01A7CED9">
                <w:pPr>
                  <w:jc w:val="both"/>
                  <w:rPr>
                    <w:b/>
                    <w:bCs/>
                    <w:color w:val="000000"/>
                    <w:sz w:val="20"/>
                    <w:lang w:eastAsia="lt-LT"/>
                  </w:rPr>
                </w:pPr>
                <w:r>
                  <w:rPr>
                    <w:b/>
                    <w:bCs/>
                    <w:color w:val="000000"/>
                    <w:sz w:val="20"/>
                    <w:lang w:eastAsia="lt-LT"/>
                  </w:rPr>
                  <w:t>&lt;...&gt;“</w:t>
                </w:r>
              </w:p>
            </w:tc>
            <w:tc>
              <w:tcPr>
                <w:tcW w:w="1572" w:type="dxa"/>
                <w:shd w:val="clear" w:color="auto" w:fill="FFFFFF" w:themeFill="background1"/>
              </w:tcPr>
              <w:p w14:paraId="6524E2D0" w14:textId="2FAF4068">
                <w:pPr>
                  <w:jc w:val="both"/>
                  <w:rPr>
                    <w:color w:val="000000"/>
                    <w:sz w:val="20"/>
                  </w:rPr>
                </w:pPr>
                <w:r>
                  <w:rPr>
                    <w:color w:val="000000"/>
                    <w:sz w:val="20"/>
                  </w:rPr>
                  <w:t>Visiškas</w:t>
                </w:r>
              </w:p>
            </w:tc>
          </w:tr>
          <w:tr w14:paraId="03B0AE5F" w14:textId="77777777">
            <w:tc>
              <w:tcPr>
                <w:tcW w:w="8391" w:type="dxa"/>
                <w:shd w:val="clear" w:color="auto" w:fill="FFFFFF" w:themeFill="background1"/>
              </w:tcPr>
              <w:p w14:paraId="67A91340" w14:textId="206C8A3C">
                <w:pPr>
                  <w:jc w:val="both"/>
                  <w:rPr>
                    <w:color w:val="000000"/>
                    <w:sz w:val="20"/>
                  </w:rPr>
                </w:pPr>
                <w:r>
                  <w:rPr>
                    <w:color w:val="000000"/>
                    <w:sz w:val="20"/>
                  </w:rPr>
                  <w:t>d) rinkti bendro darbo užmokesčio vertinimo ataskaitas pagal 10 straipsnio 3 dalį;</w:t>
                </w:r>
              </w:p>
            </w:tc>
            <w:tc>
              <w:tcPr>
                <w:tcW w:w="5347" w:type="dxa"/>
                <w:shd w:val="clear" w:color="auto" w:fill="FFFFFF" w:themeFill="background1"/>
              </w:tcPr>
              <w:p w14:paraId="3E33AF0F" w14:textId="1A47E5EB">
                <w:pPr>
                  <w:jc w:val="both"/>
                  <w:rPr>
                    <w:b/>
                    <w:bCs/>
                    <w:color w:val="000000"/>
                    <w:sz w:val="20"/>
                    <w:lang w:eastAsia="lt-LT"/>
                  </w:rPr>
                </w:pPr>
                <w:r>
                  <w:rPr>
                    <w:b/>
                    <w:bCs/>
                    <w:color w:val="000000"/>
                    <w:sz w:val="20"/>
                    <w:lang w:eastAsia="lt-LT"/>
                  </w:rPr>
                  <w:t>VDI nuostatų projektas</w:t>
                </w:r>
              </w:p>
              <w:p w14:paraId="1FF0F53A" w14:textId="54E7F13B">
                <w:pPr>
                  <w:jc w:val="both"/>
                  <w:rPr>
                    <w:b/>
                    <w:bCs/>
                    <w:color w:val="000000"/>
                    <w:sz w:val="20"/>
                    <w:lang w:eastAsia="lt-LT"/>
                  </w:rPr>
                </w:pPr>
                <w:r>
                  <w:rPr>
                    <w:b/>
                    <w:bCs/>
                    <w:color w:val="000000"/>
                    <w:sz w:val="20"/>
                    <w:lang w:eastAsia="lt-LT"/>
                  </w:rPr>
                  <w:t>&lt;...&gt;</w:t>
                </w:r>
              </w:p>
              <w:p w14:paraId="5C546F17" w14:textId="7C6580A9">
                <w:pPr>
                  <w:jc w:val="both"/>
                  <w:rPr>
                    <w:b/>
                    <w:bCs/>
                    <w:color w:val="000000"/>
                    <w:sz w:val="20"/>
                    <w:lang w:eastAsia="lt-LT"/>
                  </w:rPr>
                </w:pPr>
                <w:r>
                  <w:rPr>
                    <w:b/>
                    <w:bCs/>
                    <w:sz w:val="20"/>
                    <w:lang w:eastAsia="lt-LT"/>
                  </w:rPr>
                  <w:t xml:space="preserve">8.3.27. renka, analizuoja, apibendrina darbdavių teikiamą informaciją apie darbuotojų </w:t>
                </w:r>
                <w:r>
                  <w:rPr>
                    <w:b/>
                    <w:bCs/>
                    <w:sz w:val="20"/>
                  </w:rPr>
                  <w:t>vyrų ir moterų darbo užmokesčio atotrūkio priežastis, bendro darbo užmokesčio vertinimo ataskaitas, rengia priemones, kurios padėtų įvertinti darbo užmokesčio nelygybę, Lietuvos Respublikos socialinės apsaugos ir darbo ministro nustatyta tvarka dalyvauja darbo užmokesčio teisingumo vertinime.;</w:t>
                </w:r>
              </w:p>
            </w:tc>
            <w:tc>
              <w:tcPr>
                <w:tcW w:w="1572" w:type="dxa"/>
                <w:shd w:val="clear" w:color="auto" w:fill="FFFFFF" w:themeFill="background1"/>
              </w:tcPr>
              <w:p w14:paraId="2E36B453" w14:textId="1D3F9008">
                <w:pPr>
                  <w:jc w:val="both"/>
                  <w:rPr>
                    <w:b/>
                    <w:bCs/>
                    <w:color w:val="000000"/>
                    <w:sz w:val="20"/>
                  </w:rPr>
                </w:pPr>
                <w:r>
                  <w:rPr>
                    <w:color w:val="000000"/>
                    <w:sz w:val="20"/>
                  </w:rPr>
                  <w:t>Dalinis, Visiškas, kai SADM priims poįstatyminius teisės aktus iki 2026-06-06</w:t>
                </w:r>
              </w:p>
            </w:tc>
          </w:tr>
          <w:tr w14:paraId="2C7E53BF" w14:textId="77777777">
            <w:tc>
              <w:tcPr>
                <w:tcW w:w="8391" w:type="dxa"/>
                <w:shd w:val="clear" w:color="auto" w:fill="FFFFFF" w:themeFill="background1"/>
              </w:tcPr>
              <w:p w14:paraId="401FE66A" w14:textId="7FA63F6E">
                <w:pPr>
                  <w:jc w:val="both"/>
                  <w:rPr>
                    <w:color w:val="000000"/>
                    <w:sz w:val="20"/>
                  </w:rPr>
                </w:pPr>
                <w:r>
                  <w:rPr>
                    <w:color w:val="000000"/>
                    <w:sz w:val="20"/>
                  </w:rPr>
                  <w:t>e) kaupti duomenis apie kompetentingoms institucijoms, įskaitant lygybės institucijas, pateiktų skundų dėl diskriminacijos darbo užmokesčio srityje ir nacionaliniuose teismuose pareikštų ieškinių skaičių ir rūšis.</w:t>
                </w:r>
              </w:p>
            </w:tc>
            <w:tc>
              <w:tcPr>
                <w:tcW w:w="5347" w:type="dxa"/>
                <w:shd w:val="clear" w:color="auto" w:fill="FFFFFF" w:themeFill="background1"/>
              </w:tcPr>
              <w:p w14:paraId="6FE9245E" w14:textId="3242DF3E">
                <w:pPr>
                  <w:jc w:val="both"/>
                  <w:rPr>
                    <w:color w:val="000000"/>
                    <w:sz w:val="20"/>
                    <w:lang w:eastAsia="lt-LT"/>
                  </w:rPr>
                </w:pPr>
                <w:r>
                  <w:rPr>
                    <w:color w:val="000000"/>
                    <w:sz w:val="20"/>
                    <w:lang w:eastAsia="lt-LT"/>
                  </w:rPr>
                  <w:t>Darbo ginčų komisijų metinės veiklos ataskaitos</w:t>
                </w:r>
              </w:p>
              <w:p w14:paraId="5E252B40" w14:textId="01ED1E22">
                <w:pPr>
                  <w:jc w:val="both"/>
                  <w:rPr>
                    <w:color w:val="000000"/>
                    <w:sz w:val="20"/>
                    <w:lang w:eastAsia="lt-LT"/>
                  </w:rPr>
                </w:pPr>
                <w:r>
                  <w:rPr>
                    <w:color w:val="000000"/>
                    <w:sz w:val="20"/>
                    <w:lang w:eastAsia="lt-LT"/>
                  </w:rPr>
                  <w:t>Teismų metinės veiklos ataskaitos</w:t>
                </w:r>
              </w:p>
              <w:p w14:paraId="22D75810" w14:textId="694DDCB1">
                <w:pPr>
                  <w:jc w:val="both"/>
                  <w:rPr>
                    <w:color w:val="000000"/>
                    <w:sz w:val="20"/>
                    <w:lang w:eastAsia="lt-LT"/>
                  </w:rPr>
                </w:pPr>
                <w:r>
                  <w:rPr>
                    <w:color w:val="000000"/>
                    <w:sz w:val="20"/>
                    <w:lang w:eastAsia="lt-LT"/>
                  </w:rPr>
                  <w:t>Lygių galimybių kontrolieriaus tarnybos metinės veiklos ataskaitos</w:t>
                </w:r>
              </w:p>
            </w:tc>
            <w:tc>
              <w:tcPr>
                <w:tcW w:w="1572" w:type="dxa"/>
                <w:shd w:val="clear" w:color="auto" w:fill="FFFFFF" w:themeFill="background1"/>
              </w:tcPr>
              <w:p w14:paraId="1BE173C9" w14:textId="77777777">
                <w:pPr>
                  <w:jc w:val="both"/>
                  <w:rPr>
                    <w:color w:val="000000"/>
                    <w:sz w:val="20"/>
                  </w:rPr>
                </w:pPr>
                <w:r>
                  <w:rPr>
                    <w:color w:val="000000"/>
                    <w:sz w:val="20"/>
                  </w:rPr>
                  <w:t>Visiškas</w:t>
                </w:r>
              </w:p>
              <w:p w14:paraId="3A5A1257" w14:textId="2DF48CEE">
                <w:pPr>
                  <w:jc w:val="both"/>
                  <w:rPr>
                    <w:b/>
                    <w:bCs/>
                    <w:color w:val="000000"/>
                    <w:sz w:val="20"/>
                  </w:rPr>
                </w:pPr>
              </w:p>
            </w:tc>
          </w:tr>
          <w:tr w14:paraId="7BFC119C" w14:textId="77777777">
            <w:tc>
              <w:tcPr>
                <w:tcW w:w="8391" w:type="dxa"/>
                <w:shd w:val="clear" w:color="auto" w:fill="FFFFFF" w:themeFill="background1"/>
              </w:tcPr>
              <w:p w14:paraId="733CD120" w14:textId="33A428C2">
                <w:pPr>
                  <w:jc w:val="both"/>
                  <w:rPr>
                    <w:color w:val="000000"/>
                    <w:sz w:val="20"/>
                  </w:rPr>
                </w:pPr>
                <w:r>
                  <w:rPr>
                    <w:color w:val="000000"/>
                    <w:sz w:val="20"/>
                  </w:rPr>
                  <w:t>4. Valstybės narės ne vėliau kaip 2028 m. birželio 7 d., o vėliau – kas dvejus metus, vienu kartu pateikia Komisijai 3 dalies c, d ir e punktuose nurodytus duomenis.</w:t>
                </w:r>
              </w:p>
            </w:tc>
            <w:tc>
              <w:tcPr>
                <w:tcW w:w="5347" w:type="dxa"/>
                <w:shd w:val="clear" w:color="auto" w:fill="FFFFFF" w:themeFill="background1"/>
              </w:tcPr>
              <w:p w14:paraId="7F2FB47A" w14:textId="28F1E0BB">
                <w:pPr>
                  <w:jc w:val="both"/>
                  <w:rPr>
                    <w:color w:val="000000"/>
                    <w:sz w:val="20"/>
                    <w:lang w:eastAsia="lt-LT"/>
                  </w:rPr>
                </w:pPr>
                <w:r>
                  <w:rPr>
                    <w:color w:val="000000"/>
                    <w:sz w:val="20"/>
                    <w:lang w:eastAsia="lt-LT"/>
                  </w:rPr>
                  <w:t>Duomenys teikiami bendra tvarka</w:t>
                </w:r>
              </w:p>
            </w:tc>
            <w:tc>
              <w:tcPr>
                <w:tcW w:w="1572" w:type="dxa"/>
                <w:shd w:val="clear" w:color="auto" w:fill="FFFFFF" w:themeFill="background1"/>
              </w:tcPr>
              <w:p w14:paraId="642BB643" w14:textId="77777777">
                <w:pPr>
                  <w:jc w:val="both"/>
                  <w:rPr>
                    <w:b/>
                    <w:bCs/>
                    <w:color w:val="000000"/>
                    <w:sz w:val="20"/>
                  </w:rPr>
                </w:pPr>
              </w:p>
            </w:tc>
          </w:tr>
          <w:tr w14:paraId="516E35DB" w14:textId="77777777">
            <w:tc>
              <w:tcPr>
                <w:tcW w:w="15310" w:type="dxa"/>
                <w:gridSpan w:val="3"/>
                <w:shd w:val="clear" w:color="auto" w:fill="D6E3BC" w:themeFill="accent3" w:themeFillTint="66"/>
              </w:tcPr>
              <w:p w14:paraId="49D026D2" w14:textId="2DA9EE3A">
                <w:pPr>
                  <w:jc w:val="both"/>
                  <w:rPr>
                    <w:b/>
                    <w:bCs/>
                    <w:color w:val="000000"/>
                    <w:sz w:val="20"/>
                  </w:rPr>
                </w:pPr>
                <w:r>
                  <w:rPr>
                    <w:b/>
                    <w:bCs/>
                    <w:color w:val="000000"/>
                    <w:sz w:val="20"/>
                  </w:rPr>
                  <w:t>30 straipsnis. Kolektyvinės derybos ir veiksmai</w:t>
                </w:r>
              </w:p>
            </w:tc>
          </w:tr>
          <w:tr w14:paraId="64219024" w14:textId="77777777">
            <w:tc>
              <w:tcPr>
                <w:tcW w:w="8391" w:type="dxa"/>
                <w:shd w:val="clear" w:color="auto" w:fill="FFFFFF" w:themeFill="background1"/>
              </w:tcPr>
              <w:p w14:paraId="4922FED2" w14:textId="19405CCA">
                <w:pPr>
                  <w:jc w:val="both"/>
                  <w:rPr>
                    <w:color w:val="000000"/>
                    <w:sz w:val="20"/>
                  </w:rPr>
                </w:pPr>
                <w:r>
                  <w:rPr>
                    <w:color w:val="000000"/>
                    <w:sz w:val="20"/>
                  </w:rPr>
                  <w:t>Ši direktyva jokiu būdu nedaro poveikio teisei derėtis dėl kolektyvinių sutarčių, jas sudaryti ir užtikrinti jų vykdymą arba imtis kolektyvinių veiksmų pagal nacionalinę teisę ar praktiką.</w:t>
                </w:r>
              </w:p>
            </w:tc>
            <w:tc>
              <w:tcPr>
                <w:tcW w:w="5347" w:type="dxa"/>
                <w:shd w:val="clear" w:color="auto" w:fill="FFFFFF" w:themeFill="background1"/>
              </w:tcPr>
              <w:p w14:paraId="078FA123" w14:textId="011BADF3">
                <w:pPr>
                  <w:jc w:val="both"/>
                  <w:rPr>
                    <w:b/>
                    <w:bCs/>
                    <w:color w:val="000000"/>
                    <w:sz w:val="20"/>
                    <w:lang w:eastAsia="lt-LT"/>
                  </w:rPr>
                </w:pPr>
                <w:r>
                  <w:rPr>
                    <w:b/>
                    <w:bCs/>
                    <w:color w:val="000000"/>
                    <w:sz w:val="20"/>
                    <w:lang w:eastAsia="lt-LT"/>
                  </w:rPr>
                  <w:t>DK</w:t>
                </w:r>
              </w:p>
              <w:p w14:paraId="0763BEFE" w14:textId="3598F9A7">
                <w:pPr>
                  <w:jc w:val="both"/>
                  <w:rPr>
                    <w:b/>
                    <w:bCs/>
                    <w:color w:val="000000"/>
                    <w:sz w:val="20"/>
                    <w:lang w:eastAsia="lt-LT"/>
                  </w:rPr>
                </w:pPr>
                <w:r>
                  <w:rPr>
                    <w:b/>
                    <w:bCs/>
                    <w:color w:val="000000"/>
                    <w:sz w:val="20"/>
                    <w:lang w:eastAsia="lt-LT"/>
                  </w:rPr>
                  <w:t>2 straipsnis. Darbo santykių teisinio reglamentavimo principai</w:t>
                </w:r>
              </w:p>
              <w:p w14:paraId="27B73856" w14:textId="77777777">
                <w:pPr>
                  <w:jc w:val="both"/>
                  <w:rPr>
                    <w:color w:val="000000"/>
                    <w:sz w:val="20"/>
                    <w:lang w:eastAsia="lt-LT"/>
                  </w:rPr>
                </w:pPr>
                <w:r>
                  <w:rPr>
                    <w:color w:val="000000"/>
                    <w:sz w:val="20"/>
                    <w:lang w:eastAsia="lt-LT"/>
                  </w:rPr>
                  <w:t>1.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 ketinimo turėti vaiką (vaikų), įvaikį (įvaikių), globotinį (globotinių), rūpintinį (rūpintinių) (toliau – vaikas), santuokinės ir šeiminės padėties, priklausymo politinėms partijoms, profesinėms sąjungoms ir asociacijoms, aplinkybių, nesusijusių su darbuotojų dalykinėmis savybėmis, asociacijų laisvės, laisvų kolektyvinių derybų ir teisės imtis kolektyvinių veiksmų principais.</w:t>
                </w:r>
              </w:p>
              <w:p w14:paraId="65894755" w14:textId="77777777">
                <w:pPr>
                  <w:jc w:val="both"/>
                  <w:rPr>
                    <w:color w:val="000000"/>
                    <w:sz w:val="20"/>
                    <w:lang w:eastAsia="lt-LT"/>
                  </w:rPr>
                </w:pPr>
                <w:r>
                  <w:rPr>
                    <w:i/>
                    <w:iCs/>
                    <w:color w:val="000000"/>
                    <w:sz w:val="20"/>
                    <w:lang w:eastAsia="lt-LT"/>
                  </w:rPr>
                  <w:t>Straipsnio dalies pakeitimai:</w:t>
                </w:r>
              </w:p>
              <w:p w14:paraId="5E82751F" w14:textId="77777777">
                <w:pPr>
                  <w:jc w:val="both"/>
                  <w:rPr>
                    <w:color w:val="000000"/>
                    <w:sz w:val="20"/>
                    <w:lang w:eastAsia="lt-LT"/>
                  </w:rPr>
                </w:pPr>
                <w:r>
                  <w:rPr>
                    <w:i/>
                    <w:iCs/>
                    <w:color w:val="000000"/>
                    <w:sz w:val="20"/>
                    <w:lang w:eastAsia="lt-LT"/>
                  </w:rPr>
                  <w:t>Nr. </w:t>
                </w:r>
                <w:hyperlink r:id="rId66" w:tgtFrame="_parent" w:history="1">
                  <w:r>
                    <w:rPr>
                      <w:i/>
                      <w:iCs/>
                      <w:color w:val="0000FF"/>
                      <w:sz w:val="20"/>
                      <w:u w:val="single"/>
                      <w:lang w:eastAsia="lt-LT"/>
                    </w:rPr>
                    <w:t>XIII-2944</w:t>
                  </w:r>
                </w:hyperlink>
                <w:r>
                  <w:rPr>
                    <w:i/>
                    <w:iCs/>
                    <w:color w:val="000000"/>
                    <w:sz w:val="20"/>
                    <w:lang w:eastAsia="lt-LT"/>
                  </w:rPr>
                  <w:t>, 2020-05-21, paskelbta TAR 2020-06-03, i. k. 2020-12135</w:t>
                </w:r>
              </w:p>
              <w:p w14:paraId="5E969940" w14:textId="724D4376">
                <w:pPr>
                  <w:jc w:val="both"/>
                  <w:rPr>
                    <w:color w:val="000000"/>
                    <w:sz w:val="20"/>
                    <w:lang w:eastAsia="lt-LT"/>
                  </w:rPr>
                </w:pPr>
                <w:r>
                  <w:rPr>
                    <w:i/>
                    <w:iCs/>
                    <w:color w:val="000000"/>
                    <w:sz w:val="20"/>
                    <w:lang w:eastAsia="lt-LT"/>
                  </w:rPr>
                  <w:t>Nr. </w:t>
                </w:r>
                <w:hyperlink r:id="rId67" w:tgtFrame="_parent" w:history="1">
                  <w:r>
                    <w:rPr>
                      <w:i/>
                      <w:iCs/>
                      <w:color w:val="0000FF"/>
                      <w:sz w:val="20"/>
                      <w:u w:val="single"/>
                      <w:lang w:eastAsia="lt-LT"/>
                    </w:rPr>
                    <w:t>XIV-1189</w:t>
                  </w:r>
                </w:hyperlink>
                <w:r>
                  <w:rPr>
                    <w:i/>
                    <w:iCs/>
                    <w:color w:val="000000"/>
                    <w:sz w:val="20"/>
                    <w:lang w:eastAsia="lt-LT"/>
                  </w:rPr>
                  <w:t>, 2022-06-28, paskelbta TAR 2022-07-11, i. k. 2022-15178</w:t>
                </w:r>
              </w:p>
            </w:tc>
            <w:tc>
              <w:tcPr>
                <w:tcW w:w="1572" w:type="dxa"/>
                <w:shd w:val="clear" w:color="auto" w:fill="FFFFFF" w:themeFill="background1"/>
              </w:tcPr>
              <w:p w14:paraId="528219B8" w14:textId="709A61B1">
                <w:pPr>
                  <w:jc w:val="both"/>
                  <w:rPr>
                    <w:color w:val="000000"/>
                    <w:sz w:val="20"/>
                  </w:rPr>
                </w:pPr>
                <w:r>
                  <w:rPr>
                    <w:color w:val="000000"/>
                    <w:sz w:val="20"/>
                  </w:rPr>
                  <w:t>Visiškas</w:t>
                </w:r>
              </w:p>
            </w:tc>
          </w:tr>
          <w:tr w14:paraId="2D2F8EE2" w14:textId="77777777">
            <w:tc>
              <w:tcPr>
                <w:tcW w:w="15310" w:type="dxa"/>
                <w:gridSpan w:val="3"/>
                <w:shd w:val="clear" w:color="auto" w:fill="D6E3BC" w:themeFill="accent3" w:themeFillTint="66"/>
              </w:tcPr>
              <w:p w14:paraId="13CCA701" w14:textId="6B8CE5A8">
                <w:pPr>
                  <w:jc w:val="both"/>
                  <w:rPr>
                    <w:b/>
                    <w:bCs/>
                    <w:color w:val="000000"/>
                    <w:sz w:val="20"/>
                  </w:rPr>
                </w:pPr>
                <w:r>
                  <w:rPr>
                    <w:b/>
                    <w:bCs/>
                    <w:color w:val="000000"/>
                    <w:sz w:val="20"/>
                  </w:rPr>
                  <w:t>31 straipsnis. Statistika</w:t>
                </w:r>
              </w:p>
            </w:tc>
          </w:tr>
          <w:tr w14:paraId="0369D363" w14:textId="77777777">
            <w:tc>
              <w:tcPr>
                <w:tcW w:w="8391" w:type="dxa"/>
                <w:shd w:val="clear" w:color="auto" w:fill="FFFFFF" w:themeFill="background1"/>
              </w:tcPr>
              <w:p w14:paraId="3309FC86" w14:textId="5CE856BC">
                <w:pPr>
                  <w:jc w:val="both"/>
                  <w:rPr>
                    <w:color w:val="000000"/>
                    <w:sz w:val="20"/>
                  </w:rPr>
                </w:pPr>
                <w:r>
                  <w:rPr>
                    <w:color w:val="000000"/>
                    <w:sz w:val="20"/>
                  </w:rPr>
                  <w:t>Valstybės narės kasmet pateikia Komisijai (Eurostatui) naujausius nacionalinius duomenis, naudojamus apskaičiuojant nekoreguotąjį vyrų ir moterų darbo užmokesčio atotrūkį. Tie statistiniai duomenys suskirstomi pagal lytį, ekonomikos sektorių, darbo laiką (visą darbo laiką / ne visą darbo laiką), ekonominę kontrolę (viešoji / privačioji nuosavybė) bei amžių ir apskaičiuojami kasmet.</w:t>
                </w:r>
              </w:p>
              <w:p w14:paraId="0E25F9C7" w14:textId="501EB6A5">
                <w:pPr>
                  <w:jc w:val="both"/>
                  <w:rPr>
                    <w:color w:val="000000"/>
                    <w:sz w:val="20"/>
                  </w:rPr>
                </w:pPr>
                <w:r>
                  <w:rPr>
                    <w:color w:val="000000"/>
                    <w:sz w:val="20"/>
                  </w:rPr>
                  <w:t>Pirmoje pastraipoje nurodyti duomenys perduodami nuo 2028 m. sausio 31 d. už 2026 m. ataskaitinius metus.</w:t>
                </w:r>
              </w:p>
            </w:tc>
            <w:tc>
              <w:tcPr>
                <w:tcW w:w="5347" w:type="dxa"/>
                <w:shd w:val="clear" w:color="auto" w:fill="FFFFFF" w:themeFill="background1"/>
              </w:tcPr>
              <w:p w14:paraId="00FEE5DD" w14:textId="1D9E9C4A">
                <w:pPr>
                  <w:jc w:val="both"/>
                  <w:rPr>
                    <w:b/>
                    <w:bCs/>
                    <w:color w:val="000000"/>
                    <w:sz w:val="20"/>
                    <w:highlight w:val="red"/>
                    <w:lang w:eastAsia="lt-LT"/>
                  </w:rPr>
                </w:pPr>
                <w:r>
                  <w:rPr>
                    <w:b/>
                    <w:bCs/>
                    <w:sz w:val="20"/>
                  </w:rPr>
                  <w:t>Darbo statistikos nutarimas</w:t>
                </w:r>
              </w:p>
              <w:p w14:paraId="22E3FA63" w14:textId="2AFD11D6">
                <w:pPr>
                  <w:jc w:val="both"/>
                  <w:rPr>
                    <w:color w:val="000000"/>
                    <w:sz w:val="20"/>
                    <w:lang w:eastAsia="lt-LT"/>
                  </w:rPr>
                </w:pPr>
                <w:r>
                  <w:rPr>
                    <w:color w:val="000000"/>
                    <w:sz w:val="20"/>
                    <w:lang w:eastAsia="lt-LT"/>
                  </w:rPr>
                  <w:t>1. Pavesti Valstybės duomenų agentūrai: &lt;...&gt;</w:t>
                </w:r>
              </w:p>
              <w:p w14:paraId="61EC0688" w14:textId="092EC7F7">
                <w:pPr>
                  <w:jc w:val="both"/>
                  <w:rPr>
                    <w:color w:val="000000"/>
                    <w:sz w:val="20"/>
                    <w:lang w:eastAsia="lt-LT"/>
                  </w:rPr>
                </w:pPr>
                <w:r>
                  <w:rPr>
                    <w:color w:val="000000"/>
                    <w:sz w:val="20"/>
                    <w:lang w:eastAsia="lt-LT"/>
                  </w:rPr>
                  <w:t>1.7. kasmet atlikti moterų ir vyrų darbo užmokesčio atotrūkio statistinį tyrimą, rengti ir skelbti statistinę informaciją apie moterų ir vyrų vidutinio valandinio bruto darbo užmokesčio atotrūkį pagal nuosavybės formas (viešąją ir privačiąją), ekonominės veiklos rūšis, įmonių dydį, darbuotojų darbo laiko trukmę (visą darbo laiką ir ne visą darbo laiką) ir amžių;</w:t>
                </w:r>
              </w:p>
            </w:tc>
            <w:tc>
              <w:tcPr>
                <w:tcW w:w="1572" w:type="dxa"/>
                <w:shd w:val="clear" w:color="auto" w:fill="FFFFFF" w:themeFill="background1"/>
              </w:tcPr>
              <w:p w14:paraId="28D52544" w14:textId="77777777">
                <w:pPr>
                  <w:jc w:val="both"/>
                  <w:rPr>
                    <w:color w:val="000000"/>
                    <w:sz w:val="20"/>
                  </w:rPr>
                </w:pPr>
                <w:r>
                  <w:rPr>
                    <w:color w:val="000000"/>
                    <w:sz w:val="20"/>
                  </w:rPr>
                  <w:t>Visiškas</w:t>
                </w:r>
              </w:p>
              <w:p w14:paraId="64009CAB" w14:textId="77777777">
                <w:pPr>
                  <w:jc w:val="both"/>
                  <w:rPr>
                    <w:color w:val="000000"/>
                    <w:sz w:val="20"/>
                  </w:rPr>
                </w:pPr>
              </w:p>
              <w:p w14:paraId="7F2B50F0" w14:textId="77777777">
                <w:pPr>
                  <w:jc w:val="both"/>
                  <w:rPr>
                    <w:color w:val="000000"/>
                    <w:sz w:val="20"/>
                  </w:rPr>
                </w:pPr>
              </w:p>
              <w:p w14:paraId="69FAA4C8" w14:textId="77777777">
                <w:pPr>
                  <w:jc w:val="both"/>
                  <w:rPr>
                    <w:color w:val="000000"/>
                    <w:sz w:val="20"/>
                  </w:rPr>
                </w:pPr>
              </w:p>
              <w:p w14:paraId="7642338F" w14:textId="77777777">
                <w:pPr>
                  <w:jc w:val="both"/>
                  <w:rPr>
                    <w:color w:val="000000"/>
                    <w:sz w:val="20"/>
                  </w:rPr>
                </w:pPr>
              </w:p>
              <w:p w14:paraId="36C374EF" w14:textId="5090A1B3">
                <w:pPr>
                  <w:jc w:val="both"/>
                  <w:rPr>
                    <w:color w:val="000000"/>
                    <w:sz w:val="20"/>
                  </w:rPr>
                </w:pPr>
              </w:p>
            </w:tc>
          </w:tr>
          <w:tr w14:paraId="67E119E8" w14:textId="77777777">
            <w:tc>
              <w:tcPr>
                <w:tcW w:w="15310" w:type="dxa"/>
                <w:gridSpan w:val="3"/>
                <w:shd w:val="clear" w:color="auto" w:fill="D6E3BC" w:themeFill="accent3" w:themeFillTint="66"/>
              </w:tcPr>
              <w:p w14:paraId="765CF99E" w14:textId="33F98CEA">
                <w:pPr>
                  <w:jc w:val="both"/>
                  <w:rPr>
                    <w:b/>
                    <w:bCs/>
                    <w:sz w:val="20"/>
                  </w:rPr>
                </w:pPr>
                <w:r>
                  <w:rPr>
                    <w:b/>
                    <w:bCs/>
                    <w:sz w:val="20"/>
                  </w:rPr>
                  <w:t>32 straipsnis. Informacijos sklaida</w:t>
                </w:r>
              </w:p>
            </w:tc>
          </w:tr>
          <w:tr w14:paraId="2275D20F" w14:textId="77777777">
            <w:tc>
              <w:tcPr>
                <w:tcW w:w="8391" w:type="dxa"/>
                <w:shd w:val="clear" w:color="auto" w:fill="FFFFFF" w:themeFill="background1"/>
              </w:tcPr>
              <w:p w14:paraId="45158449" w14:textId="0274CE33">
                <w:pPr>
                  <w:jc w:val="both"/>
                  <w:rPr>
                    <w:color w:val="000000"/>
                    <w:sz w:val="20"/>
                  </w:rPr>
                </w:pPr>
                <w:r>
                  <w:rPr>
                    <w:color w:val="000000"/>
                    <w:sz w:val="20"/>
                  </w:rPr>
                  <w:t>Valstybės narės imasi aktyvių priemonių užtikrinti, kad pagal šią direktyvą priimtos nuostatos drauge su atitinkamomis jau galiojančiomis nuostatomis būtų visomis tinkamomis priemonėmis paviešintos atitinkamiems jų teritorijoje esantiems asmenims.</w:t>
                </w:r>
              </w:p>
            </w:tc>
            <w:tc>
              <w:tcPr>
                <w:tcW w:w="5347" w:type="dxa"/>
                <w:shd w:val="clear" w:color="auto" w:fill="FFFFFF" w:themeFill="background1"/>
              </w:tcPr>
              <w:p w14:paraId="6580B2BE" w14:textId="0F24AEC2">
                <w:pPr>
                  <w:jc w:val="both"/>
                  <w:rPr>
                    <w:color w:val="000000"/>
                    <w:sz w:val="20"/>
                    <w:lang w:eastAsia="lt-LT"/>
                  </w:rPr>
                </w:pPr>
                <w:r>
                  <w:rPr>
                    <w:sz w:val="20"/>
                  </w:rPr>
                  <w:t>e-tar; SADM, VDI, LGKT tinklapiai</w:t>
                </w:r>
              </w:p>
            </w:tc>
            <w:tc>
              <w:tcPr>
                <w:tcW w:w="1572" w:type="dxa"/>
                <w:shd w:val="clear" w:color="auto" w:fill="FFFFFF" w:themeFill="background1"/>
              </w:tcPr>
              <w:p w14:paraId="15561524" w14:textId="3827A6CA">
                <w:pPr>
                  <w:jc w:val="both"/>
                  <w:rPr>
                    <w:color w:val="000000"/>
                    <w:sz w:val="20"/>
                  </w:rPr>
                </w:pPr>
              </w:p>
            </w:tc>
          </w:tr>
          <w:tr w14:paraId="7596F888" w14:textId="77777777">
            <w:tc>
              <w:tcPr>
                <w:tcW w:w="15310" w:type="dxa"/>
                <w:gridSpan w:val="3"/>
                <w:shd w:val="clear" w:color="auto" w:fill="D6E3BC" w:themeFill="accent3" w:themeFillTint="66"/>
              </w:tcPr>
              <w:p w14:paraId="051E4703" w14:textId="39E6E727">
                <w:pPr>
                  <w:jc w:val="both"/>
                  <w:rPr>
                    <w:b/>
                    <w:bCs/>
                    <w:color w:val="FF0000"/>
                    <w:sz w:val="20"/>
                  </w:rPr>
                </w:pPr>
                <w:r>
                  <w:rPr>
                    <w:b/>
                    <w:bCs/>
                    <w:sz w:val="20"/>
                  </w:rPr>
                  <w:t>33 straipsnis. Įgyvendinimas</w:t>
                </w:r>
              </w:p>
            </w:tc>
          </w:tr>
          <w:tr w14:paraId="1065AF5C" w14:textId="77777777">
            <w:tc>
              <w:tcPr>
                <w:tcW w:w="8391" w:type="dxa"/>
                <w:shd w:val="clear" w:color="auto" w:fill="FFFFFF" w:themeFill="background1"/>
              </w:tcPr>
              <w:p w14:paraId="4E13CFD4" w14:textId="584FEEA7">
                <w:pPr>
                  <w:jc w:val="both"/>
                  <w:rPr>
                    <w:color w:val="000000"/>
                    <w:sz w:val="20"/>
                  </w:rPr>
                </w:pPr>
                <w:r>
                  <w:rPr>
                    <w:color w:val="000000"/>
                    <w:sz w:val="20"/>
                  </w:rPr>
                  <w:t>Įgyvendinti šią direktyvą valstybės narės gali pavesti socialiniams partneriams, laikydamosi nacionalinės teisės ir (arba) praktikos dėl socialinių partnerių vaidmens, jei valstybės narės imasi visų būtinų priemonių, kad būtų nuolat užtikrinami šia direktyva siekiami rezultatai. Socialiniams partneriams pavestos įgyvendinimo užduotys gali apimti:</w:t>
                </w:r>
              </w:p>
            </w:tc>
            <w:tc>
              <w:tcPr>
                <w:tcW w:w="5347" w:type="dxa"/>
                <w:shd w:val="clear" w:color="auto" w:fill="FFFFFF" w:themeFill="background1"/>
              </w:tcPr>
              <w:p w14:paraId="6918D599" w14:textId="7D1118A7">
                <w:pPr>
                  <w:jc w:val="both"/>
                  <w:rPr>
                    <w:color w:val="000000"/>
                    <w:sz w:val="20"/>
                    <w:lang w:eastAsia="lt-LT"/>
                  </w:rPr>
                </w:pPr>
              </w:p>
            </w:tc>
            <w:tc>
              <w:tcPr>
                <w:tcW w:w="1572" w:type="dxa"/>
                <w:shd w:val="clear" w:color="auto" w:fill="FFFFFF" w:themeFill="background1"/>
              </w:tcPr>
              <w:p w14:paraId="78C749C3" w14:textId="6FE49BE5">
                <w:pPr>
                  <w:jc w:val="both"/>
                  <w:rPr>
                    <w:color w:val="000000"/>
                    <w:sz w:val="20"/>
                  </w:rPr>
                </w:pPr>
              </w:p>
            </w:tc>
          </w:tr>
          <w:tr w14:paraId="370C4810" w14:textId="77777777">
            <w:tc>
              <w:tcPr>
                <w:tcW w:w="8391" w:type="dxa"/>
                <w:shd w:val="clear" w:color="auto" w:fill="FFFFFF" w:themeFill="background1"/>
              </w:tcPr>
              <w:p w14:paraId="3AF52EC2" w14:textId="6FB44791">
                <w:pPr>
                  <w:jc w:val="both"/>
                  <w:rPr>
                    <w:sz w:val="20"/>
                  </w:rPr>
                </w:pPr>
                <w:r>
                  <w:rPr>
                    <w:sz w:val="20"/>
                  </w:rPr>
                  <w:t>a) analitinių priemonių arba metodikų rengimą, kaip nurodyta 4 straipsnio 2 dalyje;</w:t>
                </w:r>
              </w:p>
            </w:tc>
            <w:tc>
              <w:tcPr>
                <w:tcW w:w="5347" w:type="dxa"/>
                <w:shd w:val="clear" w:color="auto" w:fill="FFFFFF" w:themeFill="background1"/>
              </w:tcPr>
              <w:p w14:paraId="6B0FA097" w14:textId="77777777">
                <w:pPr>
                  <w:jc w:val="both"/>
                  <w:rPr>
                    <w:color w:val="000000"/>
                    <w:sz w:val="20"/>
                    <w:lang w:eastAsia="lt-LT"/>
                  </w:rPr>
                </w:pPr>
              </w:p>
            </w:tc>
            <w:tc>
              <w:tcPr>
                <w:tcW w:w="1572" w:type="dxa"/>
                <w:shd w:val="clear" w:color="auto" w:fill="FFFFFF" w:themeFill="background1"/>
              </w:tcPr>
              <w:p w14:paraId="5190B212" w14:textId="77777777">
                <w:pPr>
                  <w:jc w:val="both"/>
                  <w:rPr>
                    <w:color w:val="000000"/>
                    <w:sz w:val="20"/>
                  </w:rPr>
                </w:pPr>
              </w:p>
            </w:tc>
          </w:tr>
          <w:tr w14:paraId="153DE98A" w14:textId="77777777">
            <w:tc>
              <w:tcPr>
                <w:tcW w:w="8391" w:type="dxa"/>
                <w:shd w:val="clear" w:color="auto" w:fill="FFFFFF" w:themeFill="background1"/>
              </w:tcPr>
              <w:p w14:paraId="1C1476B5" w14:textId="70F1055C">
                <w:pPr>
                  <w:jc w:val="both"/>
                  <w:rPr>
                    <w:sz w:val="20"/>
                  </w:rPr>
                </w:pPr>
                <w:r>
                  <w:rPr>
                    <w:sz w:val="20"/>
                  </w:rPr>
                  <w:t>b) finansines sankcijas, lygiavertes baudoms, su sąlyga, kad jos yra veiksmingos, proporcingos ir atgrasomos.</w:t>
                </w:r>
              </w:p>
            </w:tc>
            <w:tc>
              <w:tcPr>
                <w:tcW w:w="5347" w:type="dxa"/>
                <w:shd w:val="clear" w:color="auto" w:fill="FFFFFF" w:themeFill="background1"/>
              </w:tcPr>
              <w:p w14:paraId="581AC42F" w14:textId="77777777">
                <w:pPr>
                  <w:jc w:val="both"/>
                  <w:rPr>
                    <w:color w:val="000000"/>
                    <w:sz w:val="20"/>
                    <w:lang w:eastAsia="lt-LT"/>
                  </w:rPr>
                </w:pPr>
              </w:p>
            </w:tc>
            <w:tc>
              <w:tcPr>
                <w:tcW w:w="1572" w:type="dxa"/>
                <w:shd w:val="clear" w:color="auto" w:fill="FFFFFF" w:themeFill="background1"/>
              </w:tcPr>
              <w:p w14:paraId="15E53564" w14:textId="77777777">
                <w:pPr>
                  <w:jc w:val="both"/>
                  <w:rPr>
                    <w:color w:val="000000"/>
                    <w:sz w:val="20"/>
                  </w:rPr>
                </w:pPr>
              </w:p>
            </w:tc>
          </w:tr>
          <w:tr w14:paraId="0FA1EF90" w14:textId="77777777">
            <w:tc>
              <w:tcPr>
                <w:tcW w:w="15310" w:type="dxa"/>
                <w:gridSpan w:val="3"/>
                <w:shd w:val="clear" w:color="auto" w:fill="D6E3BC" w:themeFill="accent3" w:themeFillTint="66"/>
              </w:tcPr>
              <w:p w14:paraId="3A349E19" w14:textId="00CFF17E">
                <w:pPr>
                  <w:jc w:val="both"/>
                  <w:rPr>
                    <w:b/>
                    <w:bCs/>
                    <w:sz w:val="20"/>
                  </w:rPr>
                </w:pPr>
                <w:r>
                  <w:rPr>
                    <w:b/>
                    <w:bCs/>
                    <w:sz w:val="20"/>
                  </w:rPr>
                  <w:t>34 straipsnis. Perkėlimas į nacionalinę teisę</w:t>
                </w:r>
              </w:p>
            </w:tc>
          </w:tr>
          <w:tr w14:paraId="46577187" w14:textId="77777777">
            <w:tc>
              <w:tcPr>
                <w:tcW w:w="8391" w:type="dxa"/>
                <w:shd w:val="clear" w:color="auto" w:fill="FFFFFF" w:themeFill="background1"/>
              </w:tcPr>
              <w:p w14:paraId="7606DE55" w14:textId="77777777">
                <w:pPr>
                  <w:jc w:val="both"/>
                  <w:rPr>
                    <w:sz w:val="20"/>
                  </w:rPr>
                </w:pPr>
                <w:r>
                  <w:rPr>
                    <w:sz w:val="20"/>
                  </w:rPr>
                  <w:t>1.   Valstybės narės užtikrina, kad įsigaliotų įstatymai ir kiti teisės aktai, būtini, kad šios direktyvos būtų laikomasi ne vėliau kaip 2026 m. birželio 7 d. Apie tai jos nedelsdamos praneša Komisijai.</w:t>
                </w:r>
              </w:p>
              <w:p w14:paraId="35D9EABA" w14:textId="28D4246D">
                <w:pPr>
                  <w:jc w:val="both"/>
                  <w:rPr>
                    <w:sz w:val="20"/>
                  </w:rPr>
                </w:pPr>
                <w:r>
                  <w:rPr>
                    <w:sz w:val="20"/>
                  </w:rPr>
                  <w:t>Informuodamos Komisiją valstybės narės taip pat pateikia jai savo atlikto perkėlimo į nacionalinę teisę priemonių poveikio darbuotojams ir mažiau nei 250 darbuotojų turintiems darbdaviams vertinimo rezultatų santrauką ir nurodo, kur toks vertinimas paskelbtas.</w:t>
                </w:r>
              </w:p>
            </w:tc>
            <w:tc>
              <w:tcPr>
                <w:tcW w:w="5347" w:type="dxa"/>
                <w:shd w:val="clear" w:color="auto" w:fill="FFFFFF" w:themeFill="background1"/>
              </w:tcPr>
              <w:p w14:paraId="3AAEA937" w14:textId="6A108677">
                <w:pPr>
                  <w:jc w:val="both"/>
                  <w:rPr>
                    <w:b/>
                    <w:bCs/>
                    <w:color w:val="000000"/>
                    <w:sz w:val="20"/>
                  </w:rPr>
                </w:pPr>
                <w:r>
                  <w:rPr>
                    <w:b/>
                    <w:bCs/>
                    <w:color w:val="000000"/>
                    <w:sz w:val="20"/>
                  </w:rPr>
                  <w:t>DK projektas</w:t>
                </w:r>
              </w:p>
              <w:p w14:paraId="719DDE93" w14:textId="77777777">
                <w:pPr>
                  <w:jc w:val="both"/>
                  <w:rPr>
                    <w:b/>
                    <w:bCs/>
                    <w:sz w:val="20"/>
                  </w:rPr>
                </w:pPr>
                <w:r>
                  <w:rPr>
                    <w:b/>
                    <w:bCs/>
                    <w:sz w:val="20"/>
                  </w:rPr>
                  <w:t>22 straipsnis. Įstatymo įsigaliojimas, įgyvendinimas ir taikymas</w:t>
                </w:r>
              </w:p>
              <w:p w14:paraId="51F24527" w14:textId="77777777">
                <w:pPr>
                  <w:jc w:val="both"/>
                  <w:rPr>
                    <w:b/>
                    <w:bCs/>
                    <w:sz w:val="20"/>
                  </w:rPr>
                </w:pPr>
                <w:r>
                  <w:rPr>
                    <w:b/>
                    <w:bCs/>
                    <w:sz w:val="20"/>
                  </w:rPr>
                  <w:t xml:space="preserve">1. Šis įstatymas, išskyrus šio įstatymo </w:t>
                </w:r>
                <w:r>
                  <w:rPr>
                    <w:b/>
                    <w:bCs/>
                    <w:sz w:val="20"/>
                    <w:lang w:eastAsia="lt-LT"/>
                  </w:rPr>
                  <w:t>14 ir 17 straipsnius, šio straipsnio 2 ir 3 dalis</w:t>
                </w:r>
                <w:r>
                  <w:rPr>
                    <w:b/>
                    <w:bCs/>
                    <w:sz w:val="20"/>
                  </w:rPr>
                  <w:t xml:space="preserve">, įsigalioja 2026 m. birželio 7 d. </w:t>
                </w:r>
              </w:p>
              <w:p w14:paraId="6D2FDBFC" w14:textId="3F269119">
                <w:pPr>
                  <w:jc w:val="both"/>
                  <w:rPr>
                    <w:b/>
                    <w:bCs/>
                    <w:sz w:val="20"/>
                  </w:rPr>
                </w:pPr>
                <w:r>
                  <w:rPr>
                    <w:b/>
                    <w:bCs/>
                    <w:sz w:val="20"/>
                  </w:rPr>
                  <w:t xml:space="preserve">2. Lietuvos Respublikos socialinės apsaugos ir darbo ministerija priima šio įstatymo įgyvendinamuosius teisės aktus iki 2026 m. birželio 6 d. </w:t>
                </w:r>
              </w:p>
              <w:p w14:paraId="78300089" w14:textId="70A10AFF">
                <w:pPr>
                  <w:jc w:val="both"/>
                  <w:rPr>
                    <w:b/>
                    <w:bCs/>
                    <w:color w:val="000000"/>
                    <w:sz w:val="20"/>
                  </w:rPr>
                </w:pPr>
                <w:r>
                  <w:rPr>
                    <w:b/>
                    <w:bCs/>
                    <w:color w:val="000000"/>
                    <w:sz w:val="20"/>
                  </w:rPr>
                  <w:t>ANK projektas</w:t>
                </w:r>
              </w:p>
              <w:p w14:paraId="1A344BB5" w14:textId="77777777">
                <w:pPr>
                  <w:jc w:val="both"/>
                  <w:rPr>
                    <w:b/>
                    <w:bCs/>
                    <w:color w:val="000000"/>
                    <w:sz w:val="20"/>
                  </w:rPr>
                </w:pPr>
                <w:r>
                  <w:rPr>
                    <w:b/>
                    <w:bCs/>
                    <w:color w:val="000000"/>
                    <w:sz w:val="20"/>
                  </w:rPr>
                  <w:t>4 straipsnis. Įstatymo įsigaliojimas</w:t>
                </w:r>
              </w:p>
              <w:p w14:paraId="495D3D60" w14:textId="77777777">
                <w:pPr>
                  <w:jc w:val="both"/>
                  <w:rPr>
                    <w:b/>
                    <w:bCs/>
                    <w:color w:val="000000"/>
                    <w:sz w:val="20"/>
                  </w:rPr>
                </w:pPr>
                <w:r>
                  <w:rPr>
                    <w:b/>
                    <w:bCs/>
                    <w:color w:val="000000"/>
                    <w:sz w:val="20"/>
                  </w:rPr>
                  <w:t>Šis įstatymas įsigalioja 2026 m. birželio 7 d.</w:t>
                </w:r>
              </w:p>
              <w:p w14:paraId="413CFDF6" w14:textId="0187949F">
                <w:pPr>
                  <w:jc w:val="both"/>
                  <w:rPr>
                    <w:b/>
                    <w:bCs/>
                    <w:color w:val="000000"/>
                    <w:sz w:val="20"/>
                  </w:rPr>
                </w:pPr>
                <w:r>
                  <w:rPr>
                    <w:b/>
                    <w:bCs/>
                    <w:color w:val="000000"/>
                    <w:sz w:val="20"/>
                  </w:rPr>
                  <w:t>BIDU projektas</w:t>
                </w:r>
              </w:p>
              <w:p w14:paraId="02E6D55D" w14:textId="483AF4EE">
                <w:pPr>
                  <w:jc w:val="both"/>
                  <w:rPr>
                    <w:b/>
                    <w:bCs/>
                    <w:color w:val="000000"/>
                    <w:sz w:val="20"/>
                  </w:rPr>
                </w:pPr>
                <w:r>
                  <w:rPr>
                    <w:b/>
                    <w:bCs/>
                    <w:color w:val="000000"/>
                    <w:sz w:val="20"/>
                  </w:rPr>
                  <w:t>4 straipsnis. Įstatymo įsigaliojimas, įgyvendinimas ir taikymas</w:t>
                </w:r>
              </w:p>
              <w:p w14:paraId="0682D15D" w14:textId="77777777">
                <w:pPr>
                  <w:jc w:val="both"/>
                  <w:rPr>
                    <w:b/>
                    <w:bCs/>
                    <w:color w:val="000000"/>
                    <w:sz w:val="20"/>
                  </w:rPr>
                </w:pPr>
                <w:r>
                  <w:rPr>
                    <w:b/>
                    <w:bCs/>
                    <w:color w:val="000000"/>
                    <w:sz w:val="20"/>
                  </w:rPr>
                  <w:t>1. Šis įstatymas, išskyrus 2 straipsnį, šio straipsnio 2, 3 ir 4 dalis, įsigalioja 2026 m. birželio 7 d.</w:t>
                </w:r>
              </w:p>
              <w:p w14:paraId="358690E3" w14:textId="77777777">
                <w:pPr>
                  <w:rPr>
                    <w:b/>
                    <w:bCs/>
                    <w:color w:val="000000"/>
                    <w:sz w:val="20"/>
                  </w:rPr>
                </w:pPr>
                <w:r>
                  <w:rPr>
                    <w:b/>
                    <w:bCs/>
                    <w:color w:val="000000"/>
                    <w:sz w:val="20"/>
                  </w:rPr>
                  <w:t>2. Lietuvos Respublikos Vyriausybė iki 2026 m. birželio 6 d. priima šio įstatymo įgyvendinamuosius teisės aktus.</w:t>
                </w:r>
              </w:p>
              <w:p w14:paraId="36B21230" w14:textId="6A435E53">
                <w:pPr>
                  <w:rPr>
                    <w:b/>
                    <w:bCs/>
                    <w:sz w:val="20"/>
                    <w:lang w:eastAsia="lt-LT"/>
                  </w:rPr>
                </w:pPr>
                <w:r>
                  <w:rPr>
                    <w:b/>
                    <w:bCs/>
                    <w:sz w:val="20"/>
                    <w:lang w:eastAsia="lt-LT"/>
                  </w:rPr>
                  <w:t>VTĮ projektas</w:t>
                </w:r>
              </w:p>
              <w:p w14:paraId="57A3970C" w14:textId="0D3541CF">
                <w:pPr>
                  <w:jc w:val="both"/>
                  <w:rPr>
                    <w:b/>
                    <w:bCs/>
                    <w:sz w:val="20"/>
                    <w:lang w:eastAsia="lt-LT"/>
                  </w:rPr>
                </w:pPr>
                <w:r>
                  <w:rPr>
                    <w:b/>
                    <w:bCs/>
                    <w:sz w:val="20"/>
                    <w:lang w:eastAsia="lt-LT"/>
                  </w:rPr>
                  <w:t>5 straipsnis. Įstatymo įsigaliojimas, įgyvendinimas ir taikymas</w:t>
                </w:r>
              </w:p>
              <w:p w14:paraId="3CB8BDCE" w14:textId="77777777">
                <w:pPr>
                  <w:jc w:val="both"/>
                  <w:rPr>
                    <w:b/>
                    <w:bCs/>
                    <w:sz w:val="20"/>
                    <w:lang w:eastAsia="lt-LT"/>
                  </w:rPr>
                </w:pPr>
                <w:r>
                  <w:rPr>
                    <w:b/>
                    <w:bCs/>
                    <w:sz w:val="20"/>
                    <w:lang w:eastAsia="lt-LT"/>
                  </w:rPr>
                  <w:t xml:space="preserve">1. Šis įstatymas, išskyrus šio įstatymo 2 ir 3 straipsnius ir šio straipsnio 2 ir 3 dalis, įsigalioja 2026 m. birželio 7 d. </w:t>
                </w:r>
              </w:p>
              <w:p w14:paraId="76FA6CDE" w14:textId="4DE03E7B">
                <w:pPr>
                  <w:jc w:val="both"/>
                  <w:rPr>
                    <w:b/>
                    <w:bCs/>
                    <w:sz w:val="20"/>
                    <w:lang w:eastAsia="lt-LT"/>
                  </w:rPr>
                </w:pPr>
                <w:r>
                  <w:rPr>
                    <w:b/>
                    <w:bCs/>
                    <w:sz w:val="20"/>
                    <w:lang w:eastAsia="lt-LT"/>
                  </w:rPr>
                  <w:t>2. Lietuvos Respublikos Vyriausybė iki 2026 m. birželio 6 d. priima šio įstatymo įgyvendinamuosius teisės aktus.</w:t>
                </w:r>
              </w:p>
              <w:p w14:paraId="002F8952" w14:textId="77777777">
                <w:pPr>
                  <w:jc w:val="both"/>
                  <w:rPr>
                    <w:b/>
                    <w:bCs/>
                    <w:sz w:val="20"/>
                    <w:lang w:eastAsia="lt-LT"/>
                  </w:rPr>
                </w:pPr>
                <w:r>
                  <w:rPr>
                    <w:b/>
                    <w:bCs/>
                    <w:sz w:val="20"/>
                    <w:lang w:eastAsia="lt-LT"/>
                  </w:rPr>
                  <w:t>VĮVDDAĮ projektas</w:t>
                </w:r>
              </w:p>
              <w:p w14:paraId="1F25D2CD" w14:textId="77777777">
                <w:pPr>
                  <w:jc w:val="both"/>
                  <w:rPr>
                    <w:b/>
                    <w:bCs/>
                    <w:sz w:val="20"/>
                    <w:lang w:eastAsia="lt-LT"/>
                  </w:rPr>
                </w:pPr>
                <w:r>
                  <w:rPr>
                    <w:b/>
                    <w:bCs/>
                    <w:sz w:val="20"/>
                    <w:lang w:eastAsia="lt-LT"/>
                  </w:rPr>
                  <w:t>6 straipsnis. Įstatymo įsigaliojimas ir įgyvendinimas</w:t>
                </w:r>
              </w:p>
              <w:p w14:paraId="040EB1AC" w14:textId="530DA783">
                <w:pPr>
                  <w:jc w:val="both"/>
                  <w:rPr>
                    <w:lang w:eastAsia="lt-LT"/>
                  </w:rPr>
                </w:pPr>
                <w:r>
                  <w:rPr>
                    <w:b/>
                    <w:bCs/>
                    <w:sz w:val="20"/>
                    <w:lang w:eastAsia="lt-LT"/>
                  </w:rPr>
                  <w:t xml:space="preserve">1. Šis įstatymas, išskyrus šio įstatymo 2 straipsnio 2, 3 dalis, 3 ir 4 straipsnius bei šio straipsnio 2 ir 3 dalis, įsigalioja 2026 m. birželio 7 d. </w:t>
                </w:r>
              </w:p>
            </w:tc>
            <w:tc>
              <w:tcPr>
                <w:tcW w:w="1572" w:type="dxa"/>
                <w:shd w:val="clear" w:color="auto" w:fill="FFFFFF" w:themeFill="background1"/>
              </w:tcPr>
              <w:p w14:paraId="42C2CDA1" w14:textId="5A0D9681">
                <w:pPr>
                  <w:jc w:val="both"/>
                  <w:rPr>
                    <w:color w:val="000000"/>
                    <w:sz w:val="20"/>
                  </w:rPr>
                </w:pPr>
                <w:r>
                  <w:rPr>
                    <w:color w:val="000000"/>
                    <w:sz w:val="20"/>
                  </w:rPr>
                  <w:t>Visiškas</w:t>
                </w:r>
              </w:p>
            </w:tc>
          </w:tr>
          <w:tr w14:paraId="282290F0" w14:textId="77777777">
            <w:tc>
              <w:tcPr>
                <w:tcW w:w="8391" w:type="dxa"/>
                <w:shd w:val="clear" w:color="auto" w:fill="FFFFFF" w:themeFill="background1"/>
              </w:tcPr>
              <w:p w14:paraId="1DABD2B0" w14:textId="16DB7D05">
                <w:pPr>
                  <w:jc w:val="both"/>
                  <w:rPr>
                    <w:sz w:val="20"/>
                  </w:rPr>
                </w:pPr>
                <w:r>
                  <w:rPr>
                    <w:sz w:val="20"/>
                  </w:rPr>
                  <w:t>2.   Valstybės narės, priimdamos 1 dalyje nurodytas nuostatas, daro jose nuorodą į šią direktyvą arba tokia nuoroda daroma jas oficialiai skelbiant. Nuorodos darymo tvarką nustato valstybės narės.</w:t>
                </w:r>
              </w:p>
            </w:tc>
            <w:tc>
              <w:tcPr>
                <w:tcW w:w="5347" w:type="dxa"/>
                <w:shd w:val="clear" w:color="auto" w:fill="FFFFFF" w:themeFill="background1"/>
              </w:tcPr>
              <w:p w14:paraId="007C8522" w14:textId="2C9D8339">
                <w:pPr>
                  <w:jc w:val="both"/>
                  <w:rPr>
                    <w:b/>
                    <w:bCs/>
                    <w:color w:val="000000"/>
                    <w:sz w:val="20"/>
                    <w:lang w:eastAsia="lt-LT"/>
                  </w:rPr>
                </w:pPr>
                <w:r>
                  <w:rPr>
                    <w:b/>
                    <w:bCs/>
                    <w:color w:val="000000"/>
                    <w:sz w:val="20"/>
                    <w:lang w:eastAsia="lt-LT"/>
                  </w:rPr>
                  <w:t>DK projektas</w:t>
                </w:r>
              </w:p>
              <w:p w14:paraId="127BE9CD" w14:textId="7E26E41D">
                <w:pPr>
                  <w:jc w:val="both"/>
                  <w:rPr>
                    <w:b/>
                    <w:bCs/>
                    <w:sz w:val="20"/>
                    <w:lang w:eastAsia="lt-LT"/>
                  </w:rPr>
                </w:pPr>
                <w:r>
                  <w:rPr>
                    <w:b/>
                    <w:bCs/>
                    <w:sz w:val="20"/>
                    <w:lang w:eastAsia="lt-LT"/>
                  </w:rPr>
                  <w:t>21 straipsnis. Kodekso priedo pakeitimas</w:t>
                </w:r>
              </w:p>
              <w:p w14:paraId="713A7A18" w14:textId="77777777">
                <w:pPr>
                  <w:jc w:val="both"/>
                  <w:rPr>
                    <w:b/>
                    <w:bCs/>
                    <w:sz w:val="20"/>
                    <w:lang w:eastAsia="lt-LT"/>
                  </w:rPr>
                </w:pPr>
                <w:r>
                  <w:rPr>
                    <w:b/>
                    <w:bCs/>
                    <w:sz w:val="20"/>
                    <w:lang w:eastAsia="lt-LT"/>
                  </w:rPr>
                  <w:t>Papildyti Kodekso priedą 19 punktu:</w:t>
                </w:r>
              </w:p>
              <w:p w14:paraId="0A7C64B8" w14:textId="77777777">
                <w:pPr>
                  <w:jc w:val="both"/>
                  <w:rPr>
                    <w:b/>
                    <w:bCs/>
                    <w:sz w:val="20"/>
                    <w:lang w:eastAsia="lt-LT"/>
                  </w:rPr>
                </w:pPr>
                <w:r>
                  <w:rPr>
                    <w:b/>
                    <w:bCs/>
                    <w:sz w:val="20"/>
                    <w:lang w:eastAsia="lt-LT"/>
                  </w:rPr>
                  <w:t xml:space="preserve">„19. 2023 m. gegužės 10 d. Europos Parlamento ir Tarybos direktyva </w:t>
                </w:r>
                <w:fldSimple w:instr="HYPERLINK http://eur-lex.europa.eu/legal-content/LIT/TXT/?uri=CELEX:32023L0970&amp;locale=lt \t _blank">
                  <w:r>
                    <w:rPr>
                      <w:b/>
                      <w:bCs/>
                      <w:sz w:val="20"/>
                      <w:lang w:eastAsia="lt-LT"/>
                      <w:u w:val="single"/>
                      <w:color w:val="0000FF" w:themeColor="hyperlink"/>
                    </w:rPr>
                    <w:t>(ES) 2023/970</w:t>
                  </w:r>
                </w:fldSimple>
                <w:r>
                  <w:rPr>
                    <w:b/>
                    <w:bCs/>
                    <w:sz w:val="20"/>
                    <w:lang w:eastAsia="lt-LT"/>
                  </w:rPr>
                  <w:t>, kuria, nustatant darbo užmokesčio skaidrumo ir vykdymo užtikrinimo mechanizmus, griežčiau taikomas vienodo vyrų ir moterų darbo užmokesčio už vienodą arba vienodos vertės darbą principas.“</w:t>
                </w:r>
              </w:p>
              <w:p w14:paraId="01A8D266" w14:textId="305365FD">
                <w:pPr>
                  <w:jc w:val="both"/>
                  <w:rPr>
                    <w:b/>
                    <w:bCs/>
                    <w:sz w:val="20"/>
                    <w:lang w:eastAsia="lt-LT"/>
                  </w:rPr>
                </w:pPr>
                <w:r>
                  <w:rPr>
                    <w:b/>
                    <w:bCs/>
                    <w:sz w:val="20"/>
                    <w:lang w:eastAsia="lt-LT"/>
                  </w:rPr>
                  <w:t>ANK projektas</w:t>
                </w:r>
              </w:p>
              <w:p w14:paraId="0BFBF332" w14:textId="43D1F019">
                <w:pPr>
                  <w:jc w:val="both"/>
                  <w:rPr>
                    <w:b/>
                    <w:bCs/>
                    <w:sz w:val="20"/>
                  </w:rPr>
                </w:pPr>
                <w:r>
                  <w:rPr>
                    <w:b/>
                    <w:bCs/>
                    <w:sz w:val="20"/>
                  </w:rPr>
                  <w:t>3 straipsnis. Kodekso priedo pakeitimas</w:t>
                </w:r>
              </w:p>
              <w:p w14:paraId="13962012" w14:textId="77777777">
                <w:pPr>
                  <w:jc w:val="both"/>
                  <w:rPr>
                    <w:b/>
                    <w:bCs/>
                    <w:sz w:val="20"/>
                  </w:rPr>
                </w:pPr>
                <w:r>
                  <w:rPr>
                    <w:b/>
                    <w:bCs/>
                    <w:sz w:val="20"/>
                  </w:rPr>
                  <w:t>Papildyti Kodekso priedą 123 punktu:</w:t>
                </w:r>
              </w:p>
              <w:p w14:paraId="16B3175F" w14:textId="77777777">
                <w:pPr>
                  <w:jc w:val="both"/>
                  <w:rPr>
                    <w:b/>
                    <w:bCs/>
                    <w:sz w:val="20"/>
                  </w:rPr>
                </w:pPr>
                <w:r>
                  <w:rPr>
                    <w:b/>
                    <w:bCs/>
                    <w:sz w:val="20"/>
                  </w:rPr>
                  <w:t xml:space="preserve">„123. 2023 m. gegužės 10 d. Europos Parlamento ir Tarybos direktyva </w:t>
                </w:r>
                <w:fldSimple w:instr="HYPERLINK http://eur-lex.europa.eu/legal-content/LIT/TXT/?uri=CELEX:32023L0970&amp;locale=lt \t _blank">
                  <w:r>
                    <w:rPr>
                      <w:b/>
                      <w:bCs/>
                      <w:sz w:val="20"/>
                      <w:u w:val="single"/>
                      <w:color w:val="0000FF" w:themeColor="hyperlink"/>
                    </w:rPr>
                    <w:t>(ES) 2023/970</w:t>
                  </w:r>
                </w:fldSimple>
                <w:r>
                  <w:rPr>
                    <w:b/>
                    <w:bCs/>
                    <w:sz w:val="20"/>
                  </w:rPr>
                  <w:t>, kuria, nustatant darbo užmokesčio skaidrumo ir vykdymo užtikrinimo mechanizmus, griežčiau taikomas vienodo vyrų ir moterų darbo užmokesčio už vienodą arba vienodos vertės darbą principas.“</w:t>
                </w:r>
              </w:p>
              <w:p w14:paraId="0C6B1A86" w14:textId="6B14C414">
                <w:pPr>
                  <w:jc w:val="both"/>
                  <w:rPr>
                    <w:b/>
                    <w:bCs/>
                    <w:sz w:val="20"/>
                    <w:lang w:eastAsia="lt-LT"/>
                  </w:rPr>
                </w:pPr>
                <w:r>
                  <w:rPr>
                    <w:b/>
                    <w:bCs/>
                    <w:sz w:val="20"/>
                    <w:lang w:eastAsia="lt-LT"/>
                  </w:rPr>
                  <w:t>VTĮ projektas</w:t>
                </w:r>
              </w:p>
              <w:p w14:paraId="03E548C5" w14:textId="554EDD65">
                <w:pPr>
                  <w:jc w:val="both"/>
                  <w:rPr>
                    <w:b/>
                    <w:bCs/>
                    <w:sz w:val="20"/>
                    <w:lang w:eastAsia="lt-LT"/>
                  </w:rPr>
                </w:pPr>
                <w:r>
                  <w:rPr>
                    <w:b/>
                    <w:bCs/>
                    <w:sz w:val="20"/>
                    <w:lang w:eastAsia="lt-LT"/>
                  </w:rPr>
                  <w:t>4 straipsnis. Įstatymo papildymas 3 priedu</w:t>
                </w:r>
              </w:p>
              <w:p w14:paraId="245D22CB" w14:textId="022EDEF4">
                <w:pPr>
                  <w:jc w:val="both"/>
                  <w:rPr>
                    <w:b/>
                    <w:bCs/>
                    <w:sz w:val="20"/>
                    <w:lang w:eastAsia="lt-LT"/>
                  </w:rPr>
                </w:pPr>
                <w:r>
                  <w:rPr>
                    <w:b/>
                    <w:bCs/>
                    <w:sz w:val="20"/>
                    <w:lang w:eastAsia="lt-LT"/>
                  </w:rPr>
                  <w:t>Papildyti Įstatymą 3 priedu:</w:t>
                </w:r>
              </w:p>
              <w:p w14:paraId="240C9446" w14:textId="12457C77">
                <w:pPr>
                  <w:rPr>
                    <w:b/>
                    <w:bCs/>
                    <w:sz w:val="20"/>
                    <w:lang w:eastAsia="lt-LT"/>
                  </w:rPr>
                </w:pPr>
                <w:r>
                  <w:rPr>
                    <w:b/>
                    <w:bCs/>
                    <w:sz w:val="20"/>
                    <w:lang w:eastAsia="lt-LT"/>
                  </w:rPr>
                  <w:t>ĮGYVENDINAMASI EUROPOS SĄJUNGOS TEISĖS AKTAI</w:t>
                </w:r>
              </w:p>
              <w:p w14:paraId="612DC173" w14:textId="1CE5212A">
                <w:pPr>
                  <w:jc w:val="both"/>
                  <w:rPr>
                    <w:b/>
                    <w:bCs/>
                    <w:sz w:val="20"/>
                    <w:lang w:eastAsia="lt-LT"/>
                  </w:rPr>
                </w:pPr>
                <w:r>
                  <w:rPr>
                    <w:b/>
                    <w:bCs/>
                    <w:sz w:val="20"/>
                    <w:lang w:eastAsia="lt-LT"/>
                  </w:rPr>
                  <w:t xml:space="preserve">2023 m. gegužės 10 d. Europos Parlamento ir Tarybos direktyva </w:t>
                </w:r>
                <w:fldSimple w:instr="HYPERLINK http://eur-lex.europa.eu/legal-content/LIT/TXT/?uri=CELEX:32023L0970&amp;locale=lt \t _blank">
                  <w:r>
                    <w:rPr>
                      <w:b/>
                      <w:bCs/>
                      <w:sz w:val="20"/>
                      <w:lang w:eastAsia="lt-LT"/>
                      <w:u w:val="single"/>
                      <w:color w:val="0000FF" w:themeColor="hyperlink"/>
                    </w:rPr>
                    <w:t>(ES) 2023/970</w:t>
                  </w:r>
                </w:fldSimple>
                <w:r>
                  <w:rPr>
                    <w:b/>
                    <w:bCs/>
                    <w:sz w:val="20"/>
                    <w:lang w:eastAsia="lt-LT"/>
                  </w:rPr>
                  <w:t>, kuria, nustatant darbo užmokesčio skaidrumo ir vykdymo užtikrinimo mechanizmus, griežčiau taikomas vienodo vyrų ir moterų darbo užmokesčio už vienodą arba vienodos vertės darbą principas.</w:t>
                </w:r>
              </w:p>
              <w:p w14:paraId="41F47432" w14:textId="77777777">
                <w:pPr>
                  <w:jc w:val="both"/>
                  <w:rPr>
                    <w:b/>
                    <w:bCs/>
                    <w:sz w:val="20"/>
                    <w:lang w:eastAsia="lt-LT"/>
                  </w:rPr>
                </w:pPr>
                <w:r>
                  <w:rPr>
                    <w:b/>
                    <w:bCs/>
                    <w:sz w:val="20"/>
                    <w:lang w:eastAsia="lt-LT"/>
                  </w:rPr>
                  <w:t>BIDU projektas</w:t>
                </w:r>
              </w:p>
              <w:p w14:paraId="53439AD7" w14:textId="1E5BCDC6">
                <w:pPr>
                  <w:jc w:val="both"/>
                  <w:rPr>
                    <w:b/>
                    <w:bCs/>
                    <w:sz w:val="20"/>
                    <w:lang w:eastAsia="lt-LT"/>
                  </w:rPr>
                </w:pPr>
                <w:r>
                  <w:rPr>
                    <w:b/>
                    <w:bCs/>
                    <w:sz w:val="20"/>
                    <w:lang w:eastAsia="lt-LT"/>
                  </w:rPr>
                  <w:t>3 straipsnis. Įstatymo papildymas 3 priedu</w:t>
                </w:r>
              </w:p>
              <w:p w14:paraId="02034A3C" w14:textId="2241F998">
                <w:pPr>
                  <w:jc w:val="both"/>
                  <w:rPr>
                    <w:b/>
                    <w:bCs/>
                    <w:sz w:val="20"/>
                    <w:lang w:eastAsia="lt-LT"/>
                  </w:rPr>
                </w:pPr>
                <w:r>
                  <w:rPr>
                    <w:b/>
                    <w:bCs/>
                    <w:sz w:val="20"/>
                    <w:lang w:eastAsia="lt-LT"/>
                  </w:rPr>
                  <w:t>Papildyti Įstatymą 3 priedu:</w:t>
                </w:r>
              </w:p>
              <w:p w14:paraId="3D6E39DD" w14:textId="694D2645">
                <w:pPr>
                  <w:rPr>
                    <w:b/>
                    <w:bCs/>
                    <w:sz w:val="20"/>
                    <w:lang w:eastAsia="lt-LT"/>
                  </w:rPr>
                </w:pPr>
                <w:r>
                  <w:rPr>
                    <w:b/>
                    <w:bCs/>
                    <w:sz w:val="20"/>
                    <w:lang w:eastAsia="lt-LT"/>
                  </w:rPr>
                  <w:t>ĮGYVENDINAMASI EUROPOS SĄJUNGOS TEISĖS AKTAI</w:t>
                </w:r>
              </w:p>
              <w:p w14:paraId="7228CFFB" w14:textId="77777777">
                <w:pPr>
                  <w:jc w:val="both"/>
                  <w:rPr>
                    <w:b/>
                    <w:bCs/>
                    <w:sz w:val="20"/>
                    <w:lang w:eastAsia="lt-LT"/>
                  </w:rPr>
                </w:pPr>
                <w:r>
                  <w:rPr>
                    <w:b/>
                    <w:bCs/>
                    <w:sz w:val="20"/>
                    <w:lang w:eastAsia="lt-LT"/>
                  </w:rPr>
                  <w:t xml:space="preserve">2023 m. gegužės 10 d. Europos Parlamento ir Tarybos direktyva </w:t>
                </w:r>
                <w:fldSimple w:instr="HYPERLINK http://eur-lex.europa.eu/legal-content/LIT/TXT/?uri=CELEX:32023L0970&amp;locale=lt \t _blank">
                  <w:r>
                    <w:rPr>
                      <w:b/>
                      <w:bCs/>
                      <w:sz w:val="20"/>
                      <w:lang w:eastAsia="lt-LT"/>
                      <w:u w:val="single"/>
                      <w:color w:val="0000FF" w:themeColor="hyperlink"/>
                    </w:rPr>
                    <w:t>(ES) 2023/970</w:t>
                  </w:r>
                </w:fldSimple>
                <w:r>
                  <w:rPr>
                    <w:b/>
                    <w:bCs/>
                    <w:sz w:val="20"/>
                    <w:lang w:eastAsia="lt-LT"/>
                  </w:rPr>
                  <w:t>, kuria, nustatant darbo užmokesčio skaidrumo ir vykdymo užtikrinimo mechanizmus, griežčiau taikomas vienodo vyrų ir moterų darbo užmokesčio už vienodą arba vienodos vertės darbą principas.</w:t>
                </w:r>
              </w:p>
              <w:p w14:paraId="33653AD1" w14:textId="77777777">
                <w:pPr>
                  <w:jc w:val="both"/>
                  <w:rPr>
                    <w:b/>
                    <w:bCs/>
                    <w:sz w:val="20"/>
                    <w:lang w:eastAsia="lt-LT"/>
                  </w:rPr>
                </w:pPr>
                <w:r>
                  <w:rPr>
                    <w:b/>
                    <w:bCs/>
                    <w:sz w:val="20"/>
                    <w:lang w:eastAsia="lt-LT"/>
                  </w:rPr>
                  <w:t>VĮVDDAĮ projektas</w:t>
                </w:r>
              </w:p>
              <w:p w14:paraId="4EF2438A" w14:textId="77777777">
                <w:pPr>
                  <w:jc w:val="both"/>
                  <w:rPr>
                    <w:b/>
                    <w:bCs/>
                    <w:sz w:val="20"/>
                    <w:lang w:eastAsia="lt-LT"/>
                  </w:rPr>
                </w:pPr>
                <w:r>
                  <w:rPr>
                    <w:b/>
                    <w:bCs/>
                    <w:sz w:val="20"/>
                    <w:lang w:eastAsia="lt-LT"/>
                  </w:rPr>
                  <w:t>5 straipsnis. Įstatymo papildymas 2 priedu</w:t>
                </w:r>
              </w:p>
              <w:p w14:paraId="2995D0E4" w14:textId="77777777">
                <w:pPr>
                  <w:jc w:val="both"/>
                  <w:rPr>
                    <w:b/>
                    <w:bCs/>
                    <w:sz w:val="20"/>
                    <w:lang w:eastAsia="lt-LT"/>
                  </w:rPr>
                </w:pPr>
                <w:r>
                  <w:rPr>
                    <w:b/>
                    <w:bCs/>
                    <w:sz w:val="20"/>
                    <w:lang w:eastAsia="lt-LT"/>
                  </w:rPr>
                  <w:t>Papildyti Įstatymą 2 priedu:</w:t>
                </w:r>
              </w:p>
              <w:p w14:paraId="0D5BB239" w14:textId="431EF02C">
                <w:pPr>
                  <w:jc w:val="both"/>
                  <w:rPr>
                    <w:b/>
                    <w:bCs/>
                    <w:sz w:val="20"/>
                    <w:lang w:eastAsia="lt-LT"/>
                  </w:rPr>
                </w:pPr>
                <w:r>
                  <w:rPr>
                    <w:b/>
                    <w:bCs/>
                    <w:sz w:val="20"/>
                    <w:lang w:eastAsia="lt-LT"/>
                  </w:rPr>
                  <w:t>ĮGYVENDINAMI EUROPOS SĄJUNGOS TEISĖS AKTAI</w:t>
                </w:r>
              </w:p>
              <w:p w14:paraId="63BE6DF8" w14:textId="11D0F513">
                <w:pPr>
                  <w:jc w:val="both"/>
                  <w:rPr>
                    <w:lang w:eastAsia="lt-LT"/>
                  </w:rPr>
                </w:pPr>
                <w:r>
                  <w:rPr>
                    <w:b/>
                    <w:bCs/>
                    <w:sz w:val="20"/>
                    <w:lang w:eastAsia="lt-LT"/>
                  </w:rPr>
                  <w:t xml:space="preserve">2023 m. gegužės 10 d. Europos Parlamento ir Tarybos direktyva </w:t>
                </w:r>
                <w:fldSimple w:instr="HYPERLINK http://eur-lex.europa.eu/legal-content/LIT/TXT/?uri=CELEX:32023L0970&amp;locale=lt \t _blank">
                  <w:r>
                    <w:rPr>
                      <w:b/>
                      <w:bCs/>
                      <w:sz w:val="20"/>
                      <w:lang w:eastAsia="lt-LT"/>
                      <w:u w:val="single"/>
                      <w:color w:val="0000FF" w:themeColor="hyperlink"/>
                    </w:rPr>
                    <w:t>(ES) 2023/970</w:t>
                  </w:r>
                </w:fldSimple>
                <w:r>
                  <w:rPr>
                    <w:b/>
                    <w:bCs/>
                    <w:sz w:val="20"/>
                    <w:lang w:eastAsia="lt-LT"/>
                  </w:rPr>
                  <w:t>, kuria, nustatant darbo užmokesčio skaidrumo ir vykdymo užtikrinimo mechanizmus, griežčiau taikomas vienodo vyrų ir moterų darbo užmokesčio už vienodą arba vienodos vertės darbą principas.</w:t>
                </w:r>
              </w:p>
            </w:tc>
            <w:tc>
              <w:tcPr>
                <w:tcW w:w="1572" w:type="dxa"/>
                <w:shd w:val="clear" w:color="auto" w:fill="FFFFFF" w:themeFill="background1"/>
              </w:tcPr>
              <w:p w14:paraId="5A804143" w14:textId="390ACED7">
                <w:pPr>
                  <w:jc w:val="both"/>
                  <w:rPr>
                    <w:color w:val="000000"/>
                    <w:sz w:val="20"/>
                  </w:rPr>
                </w:pPr>
                <w:r>
                  <w:rPr>
                    <w:color w:val="000000"/>
                    <w:sz w:val="20"/>
                  </w:rPr>
                  <w:t>Visiškas</w:t>
                </w:r>
              </w:p>
              <w:p w14:paraId="1B8DC09A" w14:textId="488FB79B">
                <w:pPr>
                  <w:jc w:val="both"/>
                  <w:rPr>
                    <w:color w:val="000000"/>
                    <w:sz w:val="20"/>
                  </w:rPr>
                </w:pPr>
              </w:p>
            </w:tc>
          </w:tr>
          <w:tr w14:paraId="5AEB2B61" w14:textId="77777777">
            <w:tc>
              <w:tcPr>
                <w:tcW w:w="15310" w:type="dxa"/>
                <w:gridSpan w:val="3"/>
                <w:shd w:val="clear" w:color="auto" w:fill="D6E3BC" w:themeFill="accent3" w:themeFillTint="66"/>
              </w:tcPr>
              <w:p w14:paraId="7E068361" w14:textId="56DBAEA3">
                <w:pPr>
                  <w:jc w:val="both"/>
                  <w:rPr>
                    <w:b/>
                    <w:bCs/>
                    <w:sz w:val="20"/>
                  </w:rPr>
                </w:pPr>
                <w:r>
                  <w:rPr>
                    <w:b/>
                    <w:bCs/>
                    <w:sz w:val="20"/>
                  </w:rPr>
                  <w:t>35 straipsnis. Ataskaitų teikimas ir peržiūra</w:t>
                </w:r>
              </w:p>
            </w:tc>
          </w:tr>
          <w:tr w14:paraId="16CDBBAC" w14:textId="77777777">
            <w:tc>
              <w:tcPr>
                <w:tcW w:w="8391" w:type="dxa"/>
                <w:shd w:val="clear" w:color="auto" w:fill="FFFFFF" w:themeFill="background1"/>
              </w:tcPr>
              <w:p w14:paraId="10FD45C7" w14:textId="141B06E6">
                <w:pPr>
                  <w:jc w:val="both"/>
                  <w:rPr>
                    <w:sz w:val="20"/>
                  </w:rPr>
                </w:pPr>
                <w:r>
                  <w:rPr>
                    <w:sz w:val="20"/>
                  </w:rPr>
                  <w:t>1.   Valstybės narės ne vėliau kaip 2031 m. birželio 7 d. informuoja Komisiją apie šios direktyvos įgyvendinimą ir jos praktinį poveikį.</w:t>
                </w:r>
              </w:p>
            </w:tc>
            <w:tc>
              <w:tcPr>
                <w:tcW w:w="5347" w:type="dxa"/>
                <w:shd w:val="clear" w:color="auto" w:fill="FFFFFF" w:themeFill="background1"/>
              </w:tcPr>
              <w:p w14:paraId="5F6A8DC7" w14:textId="3E67F75C">
                <w:pPr>
                  <w:jc w:val="both"/>
                  <w:rPr>
                    <w:color w:val="000000"/>
                    <w:sz w:val="20"/>
                    <w:lang w:eastAsia="lt-LT"/>
                  </w:rPr>
                </w:pPr>
              </w:p>
            </w:tc>
            <w:tc>
              <w:tcPr>
                <w:tcW w:w="1572" w:type="dxa"/>
                <w:shd w:val="clear" w:color="auto" w:fill="FFFFFF" w:themeFill="background1"/>
              </w:tcPr>
              <w:p w14:paraId="15CDE4C3" w14:textId="46AB59E1">
                <w:pPr>
                  <w:jc w:val="both"/>
                  <w:rPr>
                    <w:color w:val="000000"/>
                    <w:sz w:val="20"/>
                  </w:rPr>
                </w:pPr>
              </w:p>
            </w:tc>
          </w:tr>
          <w:tr w14:paraId="049BDAB5" w14:textId="77777777">
            <w:tc>
              <w:tcPr>
                <w:tcW w:w="8391" w:type="dxa"/>
                <w:shd w:val="clear" w:color="auto" w:fill="FFFFFF" w:themeFill="background1"/>
              </w:tcPr>
              <w:p w14:paraId="16798DCD" w14:textId="1A52157A">
                <w:pPr>
                  <w:jc w:val="both"/>
                  <w:rPr>
                    <w:sz w:val="20"/>
                  </w:rPr>
                </w:pPr>
                <w:r>
                  <w:rPr>
                    <w:sz w:val="20"/>
                  </w:rPr>
                  <w:t>2.   Komisija ne vėliau kaip 2033 m. birželio 7 d. pateikia Europos Parlamentui ir Tarybai šios direktyvos įgyvendinimo ataskaitą. Ataskaitoje, </w:t>
                </w:r>
                <w:r>
                  <w:rPr>
                    <w:i/>
                    <w:iCs/>
                    <w:sz w:val="20"/>
                  </w:rPr>
                  <w:t>inter alia</w:t>
                </w:r>
                <w:r>
                  <w:rPr>
                    <w:sz w:val="20"/>
                  </w:rPr>
                  <w:t>, išnagrinėjamos 9 ir 10 straipsniuose numatytos darbdaviui taikomos ribos, taip pat 10 straipsnio 1 dalyje numatytas 5 % kriterijus bendram darbo užmokesčio vertinimui atlikti. Komisija prireikus pasiūlo bet kokius teisėkūros procedūra priimamus pakeitimus, kurie, jos nuomone, yra reikalingi atsižvelgiant į tą ataskaitą.</w:t>
                </w:r>
              </w:p>
            </w:tc>
            <w:tc>
              <w:tcPr>
                <w:tcW w:w="5347" w:type="dxa"/>
                <w:shd w:val="clear" w:color="auto" w:fill="FFFFFF" w:themeFill="background1"/>
              </w:tcPr>
              <w:p w14:paraId="5041AFE3" w14:textId="77777777">
                <w:pPr>
                  <w:jc w:val="both"/>
                  <w:rPr>
                    <w:color w:val="000000"/>
                    <w:sz w:val="20"/>
                    <w:lang w:eastAsia="lt-LT"/>
                  </w:rPr>
                </w:pPr>
              </w:p>
            </w:tc>
            <w:tc>
              <w:tcPr>
                <w:tcW w:w="1572" w:type="dxa"/>
                <w:shd w:val="clear" w:color="auto" w:fill="FFFFFF" w:themeFill="background1"/>
              </w:tcPr>
              <w:p w14:paraId="03057D12" w14:textId="77777777">
                <w:pPr>
                  <w:jc w:val="both"/>
                  <w:rPr>
                    <w:color w:val="000000"/>
                    <w:sz w:val="20"/>
                  </w:rPr>
                </w:pPr>
              </w:p>
            </w:tc>
          </w:tr>
          <w:tr w14:paraId="76E02F2E" w14:textId="77777777">
            <w:tc>
              <w:tcPr>
                <w:tcW w:w="15310" w:type="dxa"/>
                <w:gridSpan w:val="3"/>
                <w:shd w:val="clear" w:color="auto" w:fill="D6E3BC" w:themeFill="accent3" w:themeFillTint="66"/>
              </w:tcPr>
              <w:p w14:paraId="7A0397B7" w14:textId="1873B844">
                <w:pPr>
                  <w:jc w:val="both"/>
                  <w:rPr>
                    <w:b/>
                    <w:bCs/>
                    <w:color w:val="000000"/>
                    <w:sz w:val="20"/>
                  </w:rPr>
                </w:pPr>
                <w:r>
                  <w:rPr>
                    <w:b/>
                    <w:bCs/>
                    <w:color w:val="000000"/>
                    <w:sz w:val="20"/>
                  </w:rPr>
                  <w:t>36 straipsnis. Įsigaliojimas</w:t>
                </w:r>
              </w:p>
            </w:tc>
          </w:tr>
          <w:tr w14:paraId="2F0CA42E" w14:textId="77777777">
            <w:tc>
              <w:tcPr>
                <w:tcW w:w="8391" w:type="dxa"/>
                <w:shd w:val="clear" w:color="auto" w:fill="FFFFFF" w:themeFill="background1"/>
              </w:tcPr>
              <w:p w14:paraId="654D3A43" w14:textId="2B20B252">
                <w:pPr>
                  <w:jc w:val="both"/>
                  <w:rPr>
                    <w:sz w:val="20"/>
                  </w:rPr>
                </w:pPr>
                <w:r>
                  <w:rPr>
                    <w:sz w:val="20"/>
                  </w:rPr>
                  <w:t>Ši direktyva įsigalioja dvidešimtą dieną po jos paskelbimo </w:t>
                </w:r>
                <w:r>
                  <w:rPr>
                    <w:i/>
                    <w:iCs/>
                    <w:sz w:val="20"/>
                  </w:rPr>
                  <w:t>Europos Sąjungos oficialiajame leidinyje</w:t>
                </w:r>
                <w:r>
                  <w:rPr>
                    <w:sz w:val="20"/>
                  </w:rPr>
                  <w:t>.</w:t>
                </w:r>
              </w:p>
            </w:tc>
            <w:tc>
              <w:tcPr>
                <w:tcW w:w="5347" w:type="dxa"/>
                <w:shd w:val="clear" w:color="auto" w:fill="FFFFFF" w:themeFill="background1"/>
              </w:tcPr>
              <w:p w14:paraId="5EC110C7" w14:textId="77777777">
                <w:pPr>
                  <w:jc w:val="both"/>
                  <w:rPr>
                    <w:color w:val="000000"/>
                    <w:sz w:val="20"/>
                    <w:lang w:eastAsia="lt-LT"/>
                  </w:rPr>
                </w:pPr>
              </w:p>
            </w:tc>
            <w:tc>
              <w:tcPr>
                <w:tcW w:w="1572" w:type="dxa"/>
                <w:shd w:val="clear" w:color="auto" w:fill="FFFFFF" w:themeFill="background1"/>
              </w:tcPr>
              <w:p w14:paraId="2FAD8679" w14:textId="754D9A67">
                <w:pPr>
                  <w:jc w:val="both"/>
                  <w:rPr>
                    <w:color w:val="000000"/>
                    <w:sz w:val="20"/>
                  </w:rPr>
                </w:pPr>
              </w:p>
            </w:tc>
          </w:tr>
          <w:tr w14:paraId="4D96562E" w14:textId="77777777">
            <w:tc>
              <w:tcPr>
                <w:tcW w:w="15310" w:type="dxa"/>
                <w:gridSpan w:val="3"/>
                <w:shd w:val="clear" w:color="auto" w:fill="D6E3BC" w:themeFill="accent3" w:themeFillTint="66"/>
              </w:tcPr>
              <w:p w14:paraId="1C1ADCD3" w14:textId="15AB8833">
                <w:pPr>
                  <w:jc w:val="both"/>
                  <w:rPr>
                    <w:color w:val="000000"/>
                    <w:sz w:val="20"/>
                  </w:rPr>
                </w:pPr>
                <w:r>
                  <w:rPr>
                    <w:b/>
                    <w:bCs/>
                    <w:color w:val="000000"/>
                    <w:sz w:val="20"/>
                  </w:rPr>
                  <w:t>37 straipsnis. Adresatai</w:t>
                </w:r>
              </w:p>
            </w:tc>
          </w:tr>
          <w:tr w14:paraId="0FE399A3" w14:textId="77777777">
            <w:tc>
              <w:tcPr>
                <w:tcW w:w="8391" w:type="dxa"/>
                <w:shd w:val="clear" w:color="auto" w:fill="FFFFFF" w:themeFill="background1"/>
              </w:tcPr>
              <w:p w14:paraId="274A5C2A" w14:textId="0665E721">
                <w:pPr>
                  <w:jc w:val="both"/>
                  <w:rPr>
                    <w:sz w:val="20"/>
                  </w:rPr>
                </w:pPr>
                <w:r>
                  <w:rPr>
                    <w:sz w:val="20"/>
                  </w:rPr>
                  <w:t>Ši direktyva skirta valstybėms narėms.</w:t>
                </w:r>
              </w:p>
            </w:tc>
            <w:tc>
              <w:tcPr>
                <w:tcW w:w="5347" w:type="dxa"/>
                <w:shd w:val="clear" w:color="auto" w:fill="FFFFFF" w:themeFill="background1"/>
              </w:tcPr>
              <w:p w14:paraId="6ABE7A64" w14:textId="77777777">
                <w:pPr>
                  <w:jc w:val="both"/>
                  <w:rPr>
                    <w:color w:val="000000"/>
                    <w:sz w:val="20"/>
                    <w:lang w:eastAsia="lt-LT"/>
                  </w:rPr>
                </w:pPr>
              </w:p>
            </w:tc>
            <w:tc>
              <w:tcPr>
                <w:tcW w:w="1572" w:type="dxa"/>
                <w:shd w:val="clear" w:color="auto" w:fill="FFFFFF" w:themeFill="background1"/>
              </w:tcPr>
              <w:p w14:paraId="286A44F1" w14:textId="38985127">
                <w:pPr>
                  <w:jc w:val="both"/>
                  <w:rPr>
                    <w:color w:val="000000"/>
                    <w:sz w:val="20"/>
                  </w:rPr>
                </w:pPr>
              </w:p>
            </w:tc>
          </w:tr>
        </w:tbl>
        <w:p w14:paraId="61AB55CB" w14:textId="77777777">
          <w:pPr>
            <w:jc w:val="both"/>
            <w:rPr>
              <w:color w:val="000000"/>
              <w:sz w:val="20"/>
            </w:rPr>
          </w:pPr>
        </w:p>
      </w:sdtContent>
    </w:sdt>
    <w:sectPr>
      <w:footerReference w:type="even" r:id="rId68"/>
      <w:footerReference w:type="first" r:id="rId69"/>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B6A0CB" w14:textId="77777777">
      <w:pPr>
        <w:rPr>
          <w:sz w:val="22"/>
          <w:szCs w:val="22"/>
        </w:rPr>
      </w:pPr>
      <w:r>
        <w:rPr>
          <w:sz w:val="22"/>
          <w:szCs w:val="22"/>
        </w:rPr>
        <w:separator/>
      </w:r>
    </w:p>
  </w:endnote>
  <w:endnote w:type="continuationSeparator" w:id="0">
    <w:p w14:paraId="4462D1B6" w14:textId="77777777">
      <w:pPr>
        <w:rPr>
          <w:sz w:val="22"/>
          <w:szCs w:val="22"/>
        </w:rPr>
      </w:pPr>
      <w:r>
        <w:rPr>
          <w:sz w:val="22"/>
          <w:szCs w:val="22"/>
        </w:rPr>
        <w:continuationSeparator/>
      </w:r>
    </w:p>
  </w:endnote>
  <w:endnote w:type="continuationNotice" w:id="1">
    <w:p w14:paraId="01AC6B68"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FA026" w14:textId="522788AE">
    <w:pPr>
      <w:tabs>
        <w:tab w:val="center" w:pos="4819"/>
        <w:tab w:val="right" w:pos="9638"/>
      </w:tabs>
      <w:rPr>
        <w:sz w:val="22"/>
        <w:szCs w:val="22"/>
      </w:rPr>
    </w:pPr>
    <w:r>
      <w:rPr>
        <w:sz w:val="22"/>
        <w:szCs w:val="22"/>
        <w:lang w:val="en-US"/>
      </w:rPr>
      <mc:AlternateContent>
        <mc:Choice Requires="wps">
          <w:drawing>
            <wp:anchor distT="0" distB="0" distL="0" distR="0" simplePos="0" relativeHeight="251658240" behindDoc="0" locked="0" layoutInCell="1" allowOverlap="1" wp14:anchorId="51B367A2" wp14:editId="2C61A101">
              <wp:simplePos x="635" y="635"/>
              <wp:positionH relativeFrom="page">
                <wp:align>left</wp:align>
              </wp:positionH>
              <wp:positionV relativeFrom="page">
                <wp:align>bottom</wp:align>
              </wp:positionV>
              <wp:extent cx="4902200" cy="368935"/>
              <wp:effectExtent l="0" t="0" r="12700" b="0"/>
              <wp:wrapNone/>
              <wp:docPr id="1009700708"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902200" cy="368935"/>
                      </a:xfrm>
                      <a:prstGeom prst="rect">
                        <a:avLst/>
                      </a:prstGeom>
                      <a:noFill/>
                      <a:ln>
                        <a:noFill/>
                      </a:ln>
                    </wps:spPr>
                    <wps:txbx>
                      <w:txbxContent>
                        <w:p w14:paraId="70C4BF23" w14:textId="46E59CD2">
                          <w:pPr>
                            <w:spacing w:line="276" w:lineRule="auto"/>
                            <w:rPr>
                              <w:rFonts w:ascii="Aptos" w:eastAsia="Aptos" w:hAnsi="Aptos" w:cs="Aptos"/>
                              <w:color w:val="000000"/>
                              <w:sz w:val="20"/>
                            </w:rPr>
                          </w:pPr>
                          <w:r>
                            <w:rPr>
                              <w:rFonts w:ascii="Aptos" w:eastAsia="Aptos" w:hAnsi="Aptos" w:cs="Aptos"/>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1B367A2"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margin-left:0;margin-top:0;width:386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IrM/sgIAAAAFAAAOAAAAZHJzL2Uyb0RvYy54bWysVEtu2zAQ3RfoHQjuHdGKHcdG5ECxo6JA kARw2qwpirIZiB+QtK30c44eozfoKr1Xh5SctmlXRTfUcGY4nzdvdHbeygbtuHVCqwwPjwhGXDFd CbXO8Lu7YnCKkfNUVbTRimf4kTt8Pn/96mxvZjzVG91U3CIIotxsbzK88d7MksSxDZfUHWnDFRhr bSX1cLXrpLJ0D9Flk6SEnCR7bStjNePOgXbZGfE8xq9rzvxNXTvuUZNhqM3H08azDGcyP6OztaVm I1hfBv2HKiQVCpI+h1pST9HWij9CScGsdrr2R0zLRNe1YDz2AN0MyYtuVhtqeOwFwHHmGSb3/8Ky 692tRaKC2REynRAyITAxRSXM6o63Hl3oFqUYVdwxgG2lmaCNUE9fHKLG0e1aOyQsqqgtNZJCCee5 FQ8UlVwgQ3e0qb5/E+D09BVoIIL7J/ReAD8ElZBnW+kHIbciggf5rpwPMIbMEb6P4/xyNCzydLAg RTEYjSZkML1YjgbjIl8u8tPJ4uIy/RzGmMRX8X2yN24WOws8iOLKQJu+hW6g0+Ae9A6UIVtbWxm+ MA4EduDJ4zM3QiUMlKMpSYFwGDGwHZ+cTo/HfdbDa2Odf8O1REHIsAXuxa7oDorqCjy4hGRKF6Jp Iv8a9ZsCOgma2EVXYijWt2Xb113q6hHasbqjszOsEJDzijp/Sy3wF8qEnfQ3cNSN3mdY9xJGG20/ /E0f/IFWYMVoD/uQYQULi1HzVgHd0vGIhOZ9vIFgD0IZheGUjINdbeVCw6oNYesNi2Jw9s1BrK2W 97CyecgGJqoY5MxweRAXvttOWHnG8zw6waoY6q/UyrAQOoAVkLxr76k1PdweBnWtDxtDZy9Q73zD S2fyrQfs40gCsB2aPd6wZpFK/S8h7PGv9+j188c1/wEAAP//AwBQSwMEFAAGAAgAAAAhAP5aYJza AAAABAEAAA8AAABkcnMvZG93bnJldi54bWxMj8FOwzAQRO9I/IO1SNyo00hNqxCnqgpFXEmR4OjE 2zhqvE5jtw1/z8IFLiONZjXztlhPrhcXHEPnScF8loBAarzpqFXwvt89rECEqMno3hMq+MIA6/L2 ptC58Vd6w0sVW8ElFHKtwMY45FKGxqLTYeYHJM4OfnQ6sh1baUZ95XLXyzRJMul0R7xg9YBbi82x OjsF2dPLxg4f2efpkIbXUPtjrPyzUvd30+YRRMQp/h3DDz6jQ8lMtT+TCaJXwI/EX+VsuUzZ1goW qznIspD/4ctvAAAA//8DAFBLAQItABQABgAIAAAAIQC2gziS/gAAAOEBAAATAAAAAAAAAAAAAAAA AAAAAABbQ29udGVudF9UeXBlc10ueG1sUEsBAi0AFAAGAAgAAAAhADj9If/WAAAAlAEAAAsAAAAA AAAAAAAAAAAALwEAAF9yZWxzLy5yZWxzUEsBAi0AFAAGAAgAAAAhABUisz+yAgAAAAUAAA4AAAAA AAAAAAAAAAAALgIAAGRycy9lMm9Eb2MueG1sUEsBAi0AFAAGAAgAAAAhAP5aYJzaAAAABAEAAA8A AAAAAAAAAAAAAAAADAUAAGRycy9kb3ducmV2LnhtbFBLBQYAAAAABAAEAPMAAAATBgAAAAA= " filled="f" stroked="f">
              <v:textbox style="mso-fit-shape-to-text:t" inset="20pt,0,0,15pt">
                <w:txbxContent>
                  <w:p w14:paraId="70C4BF23" w14:textId="46E59CD2">
                    <w:pPr>
                      <w:spacing w:line="276"/>
                      <w:rPr>
                        <w:rFonts w:ascii="Aptos" w:hAnsi="Aptos" w:eastAsia="Aptos" w:cs="Aptos"/>
                        <w:color w:val="000000"/>
                        <w:sz w:val="20"/>
                      </w:rPr>
                    </w:pPr>
                    <w:r>
                      <w:rPr>
                        <w:rFonts w:ascii="Aptos" w:hAnsi="Aptos" w:eastAsia="Aptos" w:cs="Aptos"/>
                        <w:color w:val="000000"/>
                        <w:sz w:val="20"/>
                      </w:rPr>
                      <w:t>Socialinės apsaugos ir darbo ministerija bei pavaldžios įstaigos | Vidiniam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9938D6" w14:textId="652C2420">
    <w:pPr>
      <w:tabs>
        <w:tab w:val="center" w:pos="4819"/>
        <w:tab w:val="right" w:pos="9638"/>
      </w:tabs>
      <w:rPr>
        <w:sz w:val="22"/>
        <w:szCs w:val="22"/>
      </w:rPr>
    </w:pPr>
    <w:r>
      <w:rPr>
        <w:sz w:val="22"/>
        <w:szCs w:val="22"/>
        <w:lang w:val="en-US"/>
      </w:rPr>
      <mc:AlternateContent>
        <mc:Choice Requires="wps">
          <w:drawing>
            <wp:anchor distT="0" distB="0" distL="0" distR="0" simplePos="0" relativeHeight="251658242" behindDoc="0" locked="0" layoutInCell="1" allowOverlap="1" wp14:anchorId="6972DC44" wp14:editId="5CFE9D7F">
              <wp:simplePos x="635" y="635"/>
              <wp:positionH relativeFrom="page">
                <wp:align>left</wp:align>
              </wp:positionH>
              <wp:positionV relativeFrom="page">
                <wp:align>bottom</wp:align>
              </wp:positionV>
              <wp:extent cx="4902200" cy="368935"/>
              <wp:effectExtent l="0" t="0" r="12700" b="0"/>
              <wp:wrapNone/>
              <wp:docPr id="1049724275" name="Text Box 1"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902200" cy="368935"/>
                      </a:xfrm>
                      <a:prstGeom prst="rect">
                        <a:avLst/>
                      </a:prstGeom>
                      <a:noFill/>
                      <a:ln>
                        <a:noFill/>
                      </a:ln>
                    </wps:spPr>
                    <wps:txbx>
                      <w:txbxContent>
                        <w:p w14:paraId="7C39243C" w14:textId="37301885">
                          <w:pPr>
                            <w:spacing w:line="276" w:lineRule="auto"/>
                            <w:rPr>
                              <w:rFonts w:ascii="Aptos" w:eastAsia="Aptos" w:hAnsi="Aptos" w:cs="Aptos"/>
                              <w:color w:val="000000"/>
                              <w:sz w:val="20"/>
                            </w:rPr>
                          </w:pPr>
                          <w:r>
                            <w:rPr>
                              <w:rFonts w:ascii="Aptos" w:eastAsia="Aptos" w:hAnsi="Aptos" w:cs="Aptos"/>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972DC44" id="_x0000_t202" coordsize="21600,21600" o:spt="202" path="m,l,21600r21600,l21600,xe">
              <v:stroke joinstyle="miter"/>
              <v:path gradientshapeok="t" o:connecttype="rect"/>
            </v:shapetype>
            <v:shape id="Text Box 1" o:spid="_x0000_s1027" type="#_x0000_t202" alt="Socialinės apsaugos ir darbo ministerija bei pavaldžios įstaigos | Vidiniam naudojimui" style="position:absolute;margin-left:0;margin-top:0;width:386pt;height:29.0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zggHtQIAAAcFAAAOAAAAZHJzL2Uyb0RvYy54bWysVEtu2zAQ3RfoHQjuHcmKHMdG5ECxo6JA kARw2qwpirIZiB+QtKX0c44eozfoKr1Xh5SVtmlXRTfUcGY4nzdvdHbeiQbtmbFcyQyPj2KMmKSq 4nKT4Xd3xegUI+uIrEijJMvwI7P4fPH61Vmr5yxRW9VUzCAIIu281RneOqfnUWTplglij5RmEoy1 MoI4uJpNVBnSQnTRREkcn0StMpU2ijJrQbvqjXgR4tc1o+6mri1zqMkw1ObCacJZ+jNanJH5xhC9 5fRQBvmHKgThEpI+h1oRR9DO8D9CCU6Nsqp2R1SJSNU1pyz0AN2M4xfdrLdEs9ALgGP1M0z2/4Wl 1/tbg3gFs4vT2TRJk+kEI0kEzOqOdQ5dqA6NMaqYpQDbWlFOGi6fvlhEtCW7jbKIG1QRUyokuOTW McMfCCoZR5rsSVN9/8bB6ekr0IB790/oPQd+cCIgz65SD1zseAAP8l1Z52H0mQN8Hyf5ZTou8mS0 jItilKbTeDS7WKWjSZGvlvnpdHlxmXz2Y4zCq/A+arWdh848D4K41tCm66Ab6NS7e70Fpc/W1Ub4 L4wDgR148vjMDV8JBWU6ixMgHEYUbMcnp7PjySHr8Fob694wJZAXMmyAe6Ersoei+gIHF59MqoI3 TeBfI39TQCdeE7roS/TFuq7s+kEN5ZeqeoSujOpZbTUtOKS+ItbdEgM0hmphNd0NHHWj2gyrg4TR VpkPf9N7f2AXWDFqYS0yLGFvMWreSmBdMkljj4ELNxDMIJRBGM/iibfLnVgq2DggDlQVRO/smkGs jRL3sLm5zwYmIinkzHA5iEvXLylsPmV5HpxgYzRxV3KtqQ/tMfOA3nX3xOgD6g7mda2GxSHzF+D3 vv6l1fnOwQjCZDy+PZoH2GHbAqMOfwa/zr/eg9fP/9fiBwAAAP//AwBQSwMEFAAGAAgAAAAhAP5a YJzaAAAABAEAAA8AAABkcnMvZG93bnJldi54bWxMj8FOwzAQRO9I/IO1SNyo00hNqxCnqgpFXEmR 4OjE2zhqvE5jtw1/z8IFLiONZjXztlhPrhcXHEPnScF8loBAarzpqFXwvt89rECEqMno3hMq+MIA 6/L2ptC58Vd6w0sVW8ElFHKtwMY45FKGxqLTYeYHJM4OfnQ6sh1baUZ95XLXyzRJMul0R7xg9YBb i82xOjsF2dPLxg4f2efpkIbXUPtjrPyzUvd30+YRRMQp/h3DDz6jQ8lMtT+TCaJXwI/EX+VsuUzZ 1goWqznIspD/4ctvAAAA//8DAFBLAQItABQABgAIAAAAIQC2gziS/gAAAOEBAAATAAAAAAAAAAAA AAAAAAAAAABbQ29udGVudF9UeXBlc10ueG1sUEsBAi0AFAAGAAgAAAAhADj9If/WAAAAlAEAAAsA AAAAAAAAAAAAAAAALwEAAF9yZWxzLy5yZWxzUEsBAi0AFAAGAAgAAAAhAF7OCAe1AgAABwUAAA4A AAAAAAAAAAAAAAAALgIAAGRycy9lMm9Eb2MueG1sUEsBAi0AFAAGAAgAAAAhAP5aYJzaAAAABAEA AA8AAAAAAAAAAAAAAAAADwUAAGRycy9kb3ducmV2LnhtbFBLBQYAAAAABAAEAPMAAAAWBgAAAAA= " filled="f" stroked="f">
              <v:textbox style="mso-fit-shape-to-text:t" inset="20pt,0,0,15pt">
                <w:txbxContent>
                  <w:p w14:paraId="7C39243C" w14:textId="37301885">
                    <w:pPr>
                      <w:spacing w:line="276"/>
                      <w:rPr>
                        <w:rFonts w:ascii="Aptos" w:hAnsi="Aptos" w:eastAsia="Aptos" w:cs="Aptos"/>
                        <w:color w:val="000000"/>
                        <w:sz w:val="20"/>
                      </w:rPr>
                    </w:pPr>
                    <w:r>
                      <w:rPr>
                        <w:rFonts w:ascii="Aptos" w:hAnsi="Aptos" w:eastAsia="Aptos" w:cs="Aptos"/>
                        <w:color w:val="000000"/>
                        <w:sz w:val="20"/>
                      </w:rPr>
                      <w:t>Socialinės apsaugos ir darbo ministerija bei pavaldžios įstaigos | Vidiniam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ECFC81" w14:textId="77777777">
      <w:pPr>
        <w:rPr>
          <w:sz w:val="22"/>
          <w:szCs w:val="22"/>
        </w:rPr>
      </w:pPr>
      <w:r>
        <w:rPr>
          <w:sz w:val="22"/>
          <w:szCs w:val="22"/>
        </w:rPr>
        <w:separator/>
      </w:r>
    </w:p>
  </w:footnote>
  <w:footnote w:type="continuationSeparator" w:id="0">
    <w:p w14:paraId="1D9B2EB7" w14:textId="77777777">
      <w:pPr>
        <w:rPr>
          <w:sz w:val="22"/>
          <w:szCs w:val="22"/>
        </w:rPr>
      </w:pPr>
      <w:r>
        <w:rPr>
          <w:sz w:val="22"/>
          <w:szCs w:val="22"/>
        </w:rPr>
        <w:continuationSeparator/>
      </w:r>
    </w:p>
  </w:footnote>
  <w:footnote w:type="continuationNotice" w:id="1">
    <w:p w14:paraId="10065FDA" w14:textId="77777777">
      <w:pPr>
        <w:rPr>
          <w:sz w:val="22"/>
          <w:szCs w:val="22"/>
        </w:rPr>
      </w:pP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DB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32E0E7"/>
  <w15:docId w15:val="{0EBBE393-1FE8-4273-B7F5-702DF94EB38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785462">
      <w:bodyDiv w:val="1"/>
      <w:marLeft w:val="0"/>
      <w:marRight w:val="0"/>
      <w:marTop w:val="0"/>
      <w:marBottom w:val="0"/>
      <w:divBdr>
        <w:top w:val="none" w:sz="0" w:space="0" w:color="auto"/>
        <w:left w:val="none" w:sz="0" w:space="0" w:color="auto"/>
        <w:bottom w:val="none" w:sz="0" w:space="0" w:color="auto"/>
        <w:right w:val="none" w:sz="0" w:space="0" w:color="auto"/>
      </w:divBdr>
      <w:divsChild>
        <w:div w:id="1559050574">
          <w:marLeft w:val="0"/>
          <w:marRight w:val="0"/>
          <w:marTop w:val="0"/>
          <w:marBottom w:val="0"/>
          <w:divBdr>
            <w:top w:val="none" w:sz="0" w:space="0" w:color="auto"/>
            <w:left w:val="none" w:sz="0" w:space="0" w:color="auto"/>
            <w:bottom w:val="none" w:sz="0" w:space="0" w:color="auto"/>
            <w:right w:val="none" w:sz="0" w:space="0" w:color="auto"/>
          </w:divBdr>
        </w:div>
        <w:div w:id="2074497923">
          <w:marLeft w:val="0"/>
          <w:marRight w:val="0"/>
          <w:marTop w:val="0"/>
          <w:marBottom w:val="0"/>
          <w:divBdr>
            <w:top w:val="none" w:sz="0" w:space="0" w:color="auto"/>
            <w:left w:val="none" w:sz="0" w:space="0" w:color="auto"/>
            <w:bottom w:val="none" w:sz="0" w:space="0" w:color="auto"/>
            <w:right w:val="none" w:sz="0" w:space="0" w:color="auto"/>
          </w:divBdr>
        </w:div>
      </w:divsChild>
    </w:div>
    <w:div w:id="31345616">
      <w:bodyDiv w:val="1"/>
      <w:marLeft w:val="0"/>
      <w:marRight w:val="0"/>
      <w:marTop w:val="0"/>
      <w:marBottom w:val="0"/>
      <w:divBdr>
        <w:top w:val="none" w:sz="0" w:space="0" w:color="auto"/>
        <w:left w:val="none" w:sz="0" w:space="0" w:color="auto"/>
        <w:bottom w:val="none" w:sz="0" w:space="0" w:color="auto"/>
        <w:right w:val="none" w:sz="0" w:space="0" w:color="auto"/>
      </w:divBdr>
      <w:divsChild>
        <w:div w:id="490214496">
          <w:marLeft w:val="0"/>
          <w:marRight w:val="0"/>
          <w:marTop w:val="0"/>
          <w:marBottom w:val="0"/>
          <w:divBdr>
            <w:top w:val="none" w:sz="0" w:space="0" w:color="auto"/>
            <w:left w:val="none" w:sz="0" w:space="0" w:color="auto"/>
            <w:bottom w:val="none" w:sz="0" w:space="0" w:color="auto"/>
            <w:right w:val="none" w:sz="0" w:space="0" w:color="auto"/>
          </w:divBdr>
        </w:div>
        <w:div w:id="1103453922">
          <w:marLeft w:val="0"/>
          <w:marRight w:val="0"/>
          <w:marTop w:val="0"/>
          <w:marBottom w:val="0"/>
          <w:divBdr>
            <w:top w:val="none" w:sz="0" w:space="0" w:color="auto"/>
            <w:left w:val="none" w:sz="0" w:space="0" w:color="auto"/>
            <w:bottom w:val="none" w:sz="0" w:space="0" w:color="auto"/>
            <w:right w:val="none" w:sz="0" w:space="0" w:color="auto"/>
          </w:divBdr>
        </w:div>
        <w:div w:id="623073746">
          <w:marLeft w:val="0"/>
          <w:marRight w:val="0"/>
          <w:marTop w:val="0"/>
          <w:marBottom w:val="0"/>
          <w:divBdr>
            <w:top w:val="none" w:sz="0" w:space="0" w:color="auto"/>
            <w:left w:val="none" w:sz="0" w:space="0" w:color="auto"/>
            <w:bottom w:val="none" w:sz="0" w:space="0" w:color="auto"/>
            <w:right w:val="none" w:sz="0" w:space="0" w:color="auto"/>
          </w:divBdr>
        </w:div>
        <w:div w:id="2046978067">
          <w:marLeft w:val="0"/>
          <w:marRight w:val="0"/>
          <w:marTop w:val="0"/>
          <w:marBottom w:val="0"/>
          <w:divBdr>
            <w:top w:val="none" w:sz="0" w:space="0" w:color="auto"/>
            <w:left w:val="none" w:sz="0" w:space="0" w:color="auto"/>
            <w:bottom w:val="none" w:sz="0" w:space="0" w:color="auto"/>
            <w:right w:val="none" w:sz="0" w:space="0" w:color="auto"/>
          </w:divBdr>
        </w:div>
        <w:div w:id="1233076340">
          <w:marLeft w:val="0"/>
          <w:marRight w:val="0"/>
          <w:marTop w:val="0"/>
          <w:marBottom w:val="0"/>
          <w:divBdr>
            <w:top w:val="none" w:sz="0" w:space="0" w:color="auto"/>
            <w:left w:val="none" w:sz="0" w:space="0" w:color="auto"/>
            <w:bottom w:val="none" w:sz="0" w:space="0" w:color="auto"/>
            <w:right w:val="none" w:sz="0" w:space="0" w:color="auto"/>
          </w:divBdr>
        </w:div>
        <w:div w:id="1345328650">
          <w:marLeft w:val="0"/>
          <w:marRight w:val="0"/>
          <w:marTop w:val="0"/>
          <w:marBottom w:val="0"/>
          <w:divBdr>
            <w:top w:val="none" w:sz="0" w:space="0" w:color="auto"/>
            <w:left w:val="none" w:sz="0" w:space="0" w:color="auto"/>
            <w:bottom w:val="none" w:sz="0" w:space="0" w:color="auto"/>
            <w:right w:val="none" w:sz="0" w:space="0" w:color="auto"/>
          </w:divBdr>
        </w:div>
        <w:div w:id="2084327952">
          <w:marLeft w:val="0"/>
          <w:marRight w:val="0"/>
          <w:marTop w:val="0"/>
          <w:marBottom w:val="0"/>
          <w:divBdr>
            <w:top w:val="none" w:sz="0" w:space="0" w:color="auto"/>
            <w:left w:val="none" w:sz="0" w:space="0" w:color="auto"/>
            <w:bottom w:val="none" w:sz="0" w:space="0" w:color="auto"/>
            <w:right w:val="none" w:sz="0" w:space="0" w:color="auto"/>
          </w:divBdr>
        </w:div>
        <w:div w:id="1579291138">
          <w:marLeft w:val="0"/>
          <w:marRight w:val="0"/>
          <w:marTop w:val="0"/>
          <w:marBottom w:val="0"/>
          <w:divBdr>
            <w:top w:val="none" w:sz="0" w:space="0" w:color="auto"/>
            <w:left w:val="none" w:sz="0" w:space="0" w:color="auto"/>
            <w:bottom w:val="none" w:sz="0" w:space="0" w:color="auto"/>
            <w:right w:val="none" w:sz="0" w:space="0" w:color="auto"/>
          </w:divBdr>
        </w:div>
        <w:div w:id="1735855434">
          <w:marLeft w:val="0"/>
          <w:marRight w:val="0"/>
          <w:marTop w:val="0"/>
          <w:marBottom w:val="0"/>
          <w:divBdr>
            <w:top w:val="none" w:sz="0" w:space="0" w:color="auto"/>
            <w:left w:val="none" w:sz="0" w:space="0" w:color="auto"/>
            <w:bottom w:val="none" w:sz="0" w:space="0" w:color="auto"/>
            <w:right w:val="none" w:sz="0" w:space="0" w:color="auto"/>
          </w:divBdr>
        </w:div>
        <w:div w:id="1627080688">
          <w:marLeft w:val="0"/>
          <w:marRight w:val="0"/>
          <w:marTop w:val="0"/>
          <w:marBottom w:val="0"/>
          <w:divBdr>
            <w:top w:val="none" w:sz="0" w:space="0" w:color="auto"/>
            <w:left w:val="none" w:sz="0" w:space="0" w:color="auto"/>
            <w:bottom w:val="none" w:sz="0" w:space="0" w:color="auto"/>
            <w:right w:val="none" w:sz="0" w:space="0" w:color="auto"/>
          </w:divBdr>
        </w:div>
        <w:div w:id="1437289244">
          <w:marLeft w:val="0"/>
          <w:marRight w:val="0"/>
          <w:marTop w:val="0"/>
          <w:marBottom w:val="0"/>
          <w:divBdr>
            <w:top w:val="none" w:sz="0" w:space="0" w:color="auto"/>
            <w:left w:val="none" w:sz="0" w:space="0" w:color="auto"/>
            <w:bottom w:val="none" w:sz="0" w:space="0" w:color="auto"/>
            <w:right w:val="none" w:sz="0" w:space="0" w:color="auto"/>
          </w:divBdr>
        </w:div>
      </w:divsChild>
    </w:div>
    <w:div w:id="40715461">
      <w:bodyDiv w:val="1"/>
      <w:marLeft w:val="0"/>
      <w:marRight w:val="0"/>
      <w:marTop w:val="0"/>
      <w:marBottom w:val="0"/>
      <w:divBdr>
        <w:top w:val="none" w:sz="0" w:space="0" w:color="auto"/>
        <w:left w:val="none" w:sz="0" w:space="0" w:color="auto"/>
        <w:bottom w:val="none" w:sz="0" w:space="0" w:color="auto"/>
        <w:right w:val="none" w:sz="0" w:space="0" w:color="auto"/>
      </w:divBdr>
      <w:divsChild>
        <w:div w:id="562256342">
          <w:marLeft w:val="0"/>
          <w:marRight w:val="0"/>
          <w:marTop w:val="0"/>
          <w:marBottom w:val="0"/>
          <w:divBdr>
            <w:top w:val="none" w:sz="0" w:space="0" w:color="auto"/>
            <w:left w:val="none" w:sz="0" w:space="0" w:color="auto"/>
            <w:bottom w:val="none" w:sz="0" w:space="0" w:color="auto"/>
            <w:right w:val="none" w:sz="0" w:space="0" w:color="auto"/>
          </w:divBdr>
        </w:div>
        <w:div w:id="634723968">
          <w:marLeft w:val="0"/>
          <w:marRight w:val="0"/>
          <w:marTop w:val="0"/>
          <w:marBottom w:val="0"/>
          <w:divBdr>
            <w:top w:val="none" w:sz="0" w:space="0" w:color="auto"/>
            <w:left w:val="none" w:sz="0" w:space="0" w:color="auto"/>
            <w:bottom w:val="none" w:sz="0" w:space="0" w:color="auto"/>
            <w:right w:val="none" w:sz="0" w:space="0" w:color="auto"/>
          </w:divBdr>
        </w:div>
        <w:div w:id="1071075288">
          <w:marLeft w:val="0"/>
          <w:marRight w:val="0"/>
          <w:marTop w:val="0"/>
          <w:marBottom w:val="0"/>
          <w:divBdr>
            <w:top w:val="none" w:sz="0" w:space="0" w:color="auto"/>
            <w:left w:val="none" w:sz="0" w:space="0" w:color="auto"/>
            <w:bottom w:val="none" w:sz="0" w:space="0" w:color="auto"/>
            <w:right w:val="none" w:sz="0" w:space="0" w:color="auto"/>
          </w:divBdr>
        </w:div>
      </w:divsChild>
    </w:div>
    <w:div w:id="42484308">
      <w:bodyDiv w:val="1"/>
      <w:marLeft w:val="0"/>
      <w:marRight w:val="0"/>
      <w:marTop w:val="0"/>
      <w:marBottom w:val="0"/>
      <w:divBdr>
        <w:top w:val="none" w:sz="0" w:space="0" w:color="auto"/>
        <w:left w:val="none" w:sz="0" w:space="0" w:color="auto"/>
        <w:bottom w:val="none" w:sz="0" w:space="0" w:color="auto"/>
        <w:right w:val="none" w:sz="0" w:space="0" w:color="auto"/>
      </w:divBdr>
    </w:div>
    <w:div w:id="69696534">
      <w:bodyDiv w:val="1"/>
      <w:marLeft w:val="0"/>
      <w:marRight w:val="0"/>
      <w:marTop w:val="0"/>
      <w:marBottom w:val="0"/>
      <w:divBdr>
        <w:top w:val="none" w:sz="0" w:space="0" w:color="auto"/>
        <w:left w:val="none" w:sz="0" w:space="0" w:color="auto"/>
        <w:bottom w:val="none" w:sz="0" w:space="0" w:color="auto"/>
        <w:right w:val="none" w:sz="0" w:space="0" w:color="auto"/>
      </w:divBdr>
    </w:div>
    <w:div w:id="69742361">
      <w:bodyDiv w:val="1"/>
      <w:marLeft w:val="0"/>
      <w:marRight w:val="0"/>
      <w:marTop w:val="0"/>
      <w:marBottom w:val="0"/>
      <w:divBdr>
        <w:top w:val="none" w:sz="0" w:space="0" w:color="auto"/>
        <w:left w:val="none" w:sz="0" w:space="0" w:color="auto"/>
        <w:bottom w:val="none" w:sz="0" w:space="0" w:color="auto"/>
        <w:right w:val="none" w:sz="0" w:space="0" w:color="auto"/>
      </w:divBdr>
    </w:div>
    <w:div w:id="88047085">
      <w:bodyDiv w:val="1"/>
      <w:marLeft w:val="0"/>
      <w:marRight w:val="0"/>
      <w:marTop w:val="0"/>
      <w:marBottom w:val="0"/>
      <w:divBdr>
        <w:top w:val="none" w:sz="0" w:space="0" w:color="auto"/>
        <w:left w:val="none" w:sz="0" w:space="0" w:color="auto"/>
        <w:bottom w:val="none" w:sz="0" w:space="0" w:color="auto"/>
        <w:right w:val="none" w:sz="0" w:space="0" w:color="auto"/>
      </w:divBdr>
    </w:div>
    <w:div w:id="127941244">
      <w:bodyDiv w:val="1"/>
      <w:marLeft w:val="0"/>
      <w:marRight w:val="0"/>
      <w:marTop w:val="0"/>
      <w:marBottom w:val="0"/>
      <w:divBdr>
        <w:top w:val="none" w:sz="0" w:space="0" w:color="auto"/>
        <w:left w:val="none" w:sz="0" w:space="0" w:color="auto"/>
        <w:bottom w:val="none" w:sz="0" w:space="0" w:color="auto"/>
        <w:right w:val="none" w:sz="0" w:space="0" w:color="auto"/>
      </w:divBdr>
      <w:divsChild>
        <w:div w:id="565804610">
          <w:marLeft w:val="0"/>
          <w:marRight w:val="0"/>
          <w:marTop w:val="0"/>
          <w:marBottom w:val="0"/>
          <w:divBdr>
            <w:top w:val="none" w:sz="0" w:space="0" w:color="auto"/>
            <w:left w:val="none" w:sz="0" w:space="0" w:color="auto"/>
            <w:bottom w:val="none" w:sz="0" w:space="0" w:color="auto"/>
            <w:right w:val="none" w:sz="0" w:space="0" w:color="auto"/>
          </w:divBdr>
        </w:div>
        <w:div w:id="1700857800">
          <w:marLeft w:val="0"/>
          <w:marRight w:val="0"/>
          <w:marTop w:val="0"/>
          <w:marBottom w:val="0"/>
          <w:divBdr>
            <w:top w:val="none" w:sz="0" w:space="0" w:color="auto"/>
            <w:left w:val="none" w:sz="0" w:space="0" w:color="auto"/>
            <w:bottom w:val="none" w:sz="0" w:space="0" w:color="auto"/>
            <w:right w:val="none" w:sz="0" w:space="0" w:color="auto"/>
          </w:divBdr>
        </w:div>
      </w:divsChild>
    </w:div>
    <w:div w:id="135488987">
      <w:bodyDiv w:val="1"/>
      <w:marLeft w:val="0"/>
      <w:marRight w:val="0"/>
      <w:marTop w:val="0"/>
      <w:marBottom w:val="0"/>
      <w:divBdr>
        <w:top w:val="none" w:sz="0" w:space="0" w:color="auto"/>
        <w:left w:val="none" w:sz="0" w:space="0" w:color="auto"/>
        <w:bottom w:val="none" w:sz="0" w:space="0" w:color="auto"/>
        <w:right w:val="none" w:sz="0" w:space="0" w:color="auto"/>
      </w:divBdr>
      <w:divsChild>
        <w:div w:id="40370900">
          <w:marLeft w:val="0"/>
          <w:marRight w:val="0"/>
          <w:marTop w:val="0"/>
          <w:marBottom w:val="0"/>
          <w:divBdr>
            <w:top w:val="none" w:sz="0" w:space="0" w:color="auto"/>
            <w:left w:val="none" w:sz="0" w:space="0" w:color="auto"/>
            <w:bottom w:val="none" w:sz="0" w:space="0" w:color="auto"/>
            <w:right w:val="none" w:sz="0" w:space="0" w:color="auto"/>
          </w:divBdr>
        </w:div>
        <w:div w:id="95105213">
          <w:marLeft w:val="0"/>
          <w:marRight w:val="0"/>
          <w:marTop w:val="0"/>
          <w:marBottom w:val="0"/>
          <w:divBdr>
            <w:top w:val="none" w:sz="0" w:space="0" w:color="auto"/>
            <w:left w:val="none" w:sz="0" w:space="0" w:color="auto"/>
            <w:bottom w:val="none" w:sz="0" w:space="0" w:color="auto"/>
            <w:right w:val="none" w:sz="0" w:space="0" w:color="auto"/>
          </w:divBdr>
        </w:div>
        <w:div w:id="1430079877">
          <w:marLeft w:val="0"/>
          <w:marRight w:val="0"/>
          <w:marTop w:val="0"/>
          <w:marBottom w:val="0"/>
          <w:divBdr>
            <w:top w:val="none" w:sz="0" w:space="0" w:color="auto"/>
            <w:left w:val="none" w:sz="0" w:space="0" w:color="auto"/>
            <w:bottom w:val="none" w:sz="0" w:space="0" w:color="auto"/>
            <w:right w:val="none" w:sz="0" w:space="0" w:color="auto"/>
          </w:divBdr>
        </w:div>
        <w:div w:id="1940597706">
          <w:marLeft w:val="0"/>
          <w:marRight w:val="0"/>
          <w:marTop w:val="0"/>
          <w:marBottom w:val="0"/>
          <w:divBdr>
            <w:top w:val="none" w:sz="0" w:space="0" w:color="auto"/>
            <w:left w:val="none" w:sz="0" w:space="0" w:color="auto"/>
            <w:bottom w:val="none" w:sz="0" w:space="0" w:color="auto"/>
            <w:right w:val="none" w:sz="0" w:space="0" w:color="auto"/>
          </w:divBdr>
        </w:div>
      </w:divsChild>
    </w:div>
    <w:div w:id="137965776">
      <w:bodyDiv w:val="1"/>
      <w:marLeft w:val="0"/>
      <w:marRight w:val="0"/>
      <w:marTop w:val="0"/>
      <w:marBottom w:val="0"/>
      <w:divBdr>
        <w:top w:val="none" w:sz="0" w:space="0" w:color="auto"/>
        <w:left w:val="none" w:sz="0" w:space="0" w:color="auto"/>
        <w:bottom w:val="none" w:sz="0" w:space="0" w:color="auto"/>
        <w:right w:val="none" w:sz="0" w:space="0" w:color="auto"/>
      </w:divBdr>
    </w:div>
    <w:div w:id="143861565">
      <w:bodyDiv w:val="1"/>
      <w:marLeft w:val="0"/>
      <w:marRight w:val="0"/>
      <w:marTop w:val="0"/>
      <w:marBottom w:val="0"/>
      <w:divBdr>
        <w:top w:val="none" w:sz="0" w:space="0" w:color="auto"/>
        <w:left w:val="none" w:sz="0" w:space="0" w:color="auto"/>
        <w:bottom w:val="none" w:sz="0" w:space="0" w:color="auto"/>
        <w:right w:val="none" w:sz="0" w:space="0" w:color="auto"/>
      </w:divBdr>
      <w:divsChild>
        <w:div w:id="1859926895">
          <w:marLeft w:val="0"/>
          <w:marRight w:val="0"/>
          <w:marTop w:val="0"/>
          <w:marBottom w:val="0"/>
          <w:divBdr>
            <w:top w:val="none" w:sz="0" w:space="0" w:color="auto"/>
            <w:left w:val="none" w:sz="0" w:space="0" w:color="auto"/>
            <w:bottom w:val="none" w:sz="0" w:space="0" w:color="auto"/>
            <w:right w:val="none" w:sz="0" w:space="0" w:color="auto"/>
          </w:divBdr>
          <w:divsChild>
            <w:div w:id="644357909">
              <w:marLeft w:val="0"/>
              <w:marRight w:val="0"/>
              <w:marTop w:val="0"/>
              <w:marBottom w:val="0"/>
              <w:divBdr>
                <w:top w:val="none" w:sz="0" w:space="0" w:color="auto"/>
                <w:left w:val="none" w:sz="0" w:space="0" w:color="auto"/>
                <w:bottom w:val="none" w:sz="0" w:space="0" w:color="auto"/>
                <w:right w:val="none" w:sz="0" w:space="0" w:color="auto"/>
              </w:divBdr>
            </w:div>
            <w:div w:id="2120447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82915">
      <w:bodyDiv w:val="1"/>
      <w:marLeft w:val="0"/>
      <w:marRight w:val="0"/>
      <w:marTop w:val="0"/>
      <w:marBottom w:val="0"/>
      <w:divBdr>
        <w:top w:val="none" w:sz="0" w:space="0" w:color="auto"/>
        <w:left w:val="none" w:sz="0" w:space="0" w:color="auto"/>
        <w:bottom w:val="none" w:sz="0" w:space="0" w:color="auto"/>
        <w:right w:val="none" w:sz="0" w:space="0" w:color="auto"/>
      </w:divBdr>
      <w:divsChild>
        <w:div w:id="1272936567">
          <w:marLeft w:val="0"/>
          <w:marRight w:val="0"/>
          <w:marTop w:val="0"/>
          <w:marBottom w:val="0"/>
          <w:divBdr>
            <w:top w:val="none" w:sz="0" w:space="0" w:color="auto"/>
            <w:left w:val="none" w:sz="0" w:space="0" w:color="auto"/>
            <w:bottom w:val="none" w:sz="0" w:space="0" w:color="auto"/>
            <w:right w:val="none" w:sz="0" w:space="0" w:color="auto"/>
          </w:divBdr>
        </w:div>
      </w:divsChild>
    </w:div>
    <w:div w:id="155923387">
      <w:bodyDiv w:val="1"/>
      <w:marLeft w:val="0"/>
      <w:marRight w:val="0"/>
      <w:marTop w:val="0"/>
      <w:marBottom w:val="0"/>
      <w:divBdr>
        <w:top w:val="none" w:sz="0" w:space="0" w:color="auto"/>
        <w:left w:val="none" w:sz="0" w:space="0" w:color="auto"/>
        <w:bottom w:val="none" w:sz="0" w:space="0" w:color="auto"/>
        <w:right w:val="none" w:sz="0" w:space="0" w:color="auto"/>
      </w:divBdr>
      <w:divsChild>
        <w:div w:id="157045070">
          <w:marLeft w:val="0"/>
          <w:marRight w:val="0"/>
          <w:marTop w:val="0"/>
          <w:marBottom w:val="0"/>
          <w:divBdr>
            <w:top w:val="none" w:sz="0" w:space="0" w:color="auto"/>
            <w:left w:val="none" w:sz="0" w:space="0" w:color="auto"/>
            <w:bottom w:val="none" w:sz="0" w:space="0" w:color="auto"/>
            <w:right w:val="none" w:sz="0" w:space="0" w:color="auto"/>
          </w:divBdr>
        </w:div>
        <w:div w:id="1056929780">
          <w:marLeft w:val="0"/>
          <w:marRight w:val="0"/>
          <w:marTop w:val="0"/>
          <w:marBottom w:val="0"/>
          <w:divBdr>
            <w:top w:val="none" w:sz="0" w:space="0" w:color="auto"/>
            <w:left w:val="none" w:sz="0" w:space="0" w:color="auto"/>
            <w:bottom w:val="none" w:sz="0" w:space="0" w:color="auto"/>
            <w:right w:val="none" w:sz="0" w:space="0" w:color="auto"/>
          </w:divBdr>
        </w:div>
      </w:divsChild>
    </w:div>
    <w:div w:id="199826225">
      <w:bodyDiv w:val="1"/>
      <w:marLeft w:val="0"/>
      <w:marRight w:val="0"/>
      <w:marTop w:val="0"/>
      <w:marBottom w:val="0"/>
      <w:divBdr>
        <w:top w:val="none" w:sz="0" w:space="0" w:color="auto"/>
        <w:left w:val="none" w:sz="0" w:space="0" w:color="auto"/>
        <w:bottom w:val="none" w:sz="0" w:space="0" w:color="auto"/>
        <w:right w:val="none" w:sz="0" w:space="0" w:color="auto"/>
      </w:divBdr>
      <w:divsChild>
        <w:div w:id="1763985330">
          <w:marLeft w:val="0"/>
          <w:marRight w:val="0"/>
          <w:marTop w:val="0"/>
          <w:marBottom w:val="0"/>
          <w:divBdr>
            <w:top w:val="none" w:sz="0" w:space="0" w:color="auto"/>
            <w:left w:val="none" w:sz="0" w:space="0" w:color="auto"/>
            <w:bottom w:val="none" w:sz="0" w:space="0" w:color="auto"/>
            <w:right w:val="none" w:sz="0" w:space="0" w:color="auto"/>
          </w:divBdr>
        </w:div>
      </w:divsChild>
    </w:div>
    <w:div w:id="206338910">
      <w:bodyDiv w:val="1"/>
      <w:marLeft w:val="0"/>
      <w:marRight w:val="0"/>
      <w:marTop w:val="0"/>
      <w:marBottom w:val="0"/>
      <w:divBdr>
        <w:top w:val="none" w:sz="0" w:space="0" w:color="auto"/>
        <w:left w:val="none" w:sz="0" w:space="0" w:color="auto"/>
        <w:bottom w:val="none" w:sz="0" w:space="0" w:color="auto"/>
        <w:right w:val="none" w:sz="0" w:space="0" w:color="auto"/>
      </w:divBdr>
      <w:divsChild>
        <w:div w:id="947810341">
          <w:marLeft w:val="0"/>
          <w:marRight w:val="0"/>
          <w:marTop w:val="0"/>
          <w:marBottom w:val="0"/>
          <w:divBdr>
            <w:top w:val="none" w:sz="0" w:space="0" w:color="auto"/>
            <w:left w:val="none" w:sz="0" w:space="0" w:color="auto"/>
            <w:bottom w:val="none" w:sz="0" w:space="0" w:color="auto"/>
            <w:right w:val="none" w:sz="0" w:space="0" w:color="auto"/>
          </w:divBdr>
        </w:div>
        <w:div w:id="1356536201">
          <w:marLeft w:val="0"/>
          <w:marRight w:val="0"/>
          <w:marTop w:val="0"/>
          <w:marBottom w:val="0"/>
          <w:divBdr>
            <w:top w:val="none" w:sz="0" w:space="0" w:color="auto"/>
            <w:left w:val="none" w:sz="0" w:space="0" w:color="auto"/>
            <w:bottom w:val="none" w:sz="0" w:space="0" w:color="auto"/>
            <w:right w:val="none" w:sz="0" w:space="0" w:color="auto"/>
          </w:divBdr>
        </w:div>
        <w:div w:id="1941719609">
          <w:marLeft w:val="0"/>
          <w:marRight w:val="0"/>
          <w:marTop w:val="0"/>
          <w:marBottom w:val="0"/>
          <w:divBdr>
            <w:top w:val="none" w:sz="0" w:space="0" w:color="auto"/>
            <w:left w:val="none" w:sz="0" w:space="0" w:color="auto"/>
            <w:bottom w:val="none" w:sz="0" w:space="0" w:color="auto"/>
            <w:right w:val="none" w:sz="0" w:space="0" w:color="auto"/>
          </w:divBdr>
        </w:div>
      </w:divsChild>
    </w:div>
    <w:div w:id="206963672">
      <w:bodyDiv w:val="1"/>
      <w:marLeft w:val="0"/>
      <w:marRight w:val="0"/>
      <w:marTop w:val="0"/>
      <w:marBottom w:val="0"/>
      <w:divBdr>
        <w:top w:val="none" w:sz="0" w:space="0" w:color="auto"/>
        <w:left w:val="none" w:sz="0" w:space="0" w:color="auto"/>
        <w:bottom w:val="none" w:sz="0" w:space="0" w:color="auto"/>
        <w:right w:val="none" w:sz="0" w:space="0" w:color="auto"/>
      </w:divBdr>
      <w:divsChild>
        <w:div w:id="1833911424">
          <w:marLeft w:val="0"/>
          <w:marRight w:val="0"/>
          <w:marTop w:val="0"/>
          <w:marBottom w:val="0"/>
          <w:divBdr>
            <w:top w:val="none" w:sz="0" w:space="0" w:color="auto"/>
            <w:left w:val="none" w:sz="0" w:space="0" w:color="auto"/>
            <w:bottom w:val="none" w:sz="0" w:space="0" w:color="auto"/>
            <w:right w:val="none" w:sz="0" w:space="0" w:color="auto"/>
          </w:divBdr>
        </w:div>
      </w:divsChild>
    </w:div>
    <w:div w:id="222984093">
      <w:bodyDiv w:val="1"/>
      <w:marLeft w:val="0"/>
      <w:marRight w:val="0"/>
      <w:marTop w:val="0"/>
      <w:marBottom w:val="0"/>
      <w:divBdr>
        <w:top w:val="none" w:sz="0" w:space="0" w:color="auto"/>
        <w:left w:val="none" w:sz="0" w:space="0" w:color="auto"/>
        <w:bottom w:val="none" w:sz="0" w:space="0" w:color="auto"/>
        <w:right w:val="none" w:sz="0" w:space="0" w:color="auto"/>
      </w:divBdr>
      <w:divsChild>
        <w:div w:id="726730379">
          <w:marLeft w:val="0"/>
          <w:marRight w:val="0"/>
          <w:marTop w:val="0"/>
          <w:marBottom w:val="0"/>
          <w:divBdr>
            <w:top w:val="none" w:sz="0" w:space="0" w:color="auto"/>
            <w:left w:val="none" w:sz="0" w:space="0" w:color="auto"/>
            <w:bottom w:val="none" w:sz="0" w:space="0" w:color="auto"/>
            <w:right w:val="none" w:sz="0" w:space="0" w:color="auto"/>
          </w:divBdr>
        </w:div>
      </w:divsChild>
    </w:div>
    <w:div w:id="226889572">
      <w:bodyDiv w:val="1"/>
      <w:marLeft w:val="0"/>
      <w:marRight w:val="0"/>
      <w:marTop w:val="0"/>
      <w:marBottom w:val="0"/>
      <w:divBdr>
        <w:top w:val="none" w:sz="0" w:space="0" w:color="auto"/>
        <w:left w:val="none" w:sz="0" w:space="0" w:color="auto"/>
        <w:bottom w:val="none" w:sz="0" w:space="0" w:color="auto"/>
        <w:right w:val="none" w:sz="0" w:space="0" w:color="auto"/>
      </w:divBdr>
      <w:divsChild>
        <w:div w:id="936253184">
          <w:marLeft w:val="0"/>
          <w:marRight w:val="0"/>
          <w:marTop w:val="0"/>
          <w:marBottom w:val="0"/>
          <w:divBdr>
            <w:top w:val="none" w:sz="0" w:space="0" w:color="auto"/>
            <w:left w:val="none" w:sz="0" w:space="0" w:color="auto"/>
            <w:bottom w:val="none" w:sz="0" w:space="0" w:color="auto"/>
            <w:right w:val="none" w:sz="0" w:space="0" w:color="auto"/>
          </w:divBdr>
        </w:div>
        <w:div w:id="1095899042">
          <w:marLeft w:val="0"/>
          <w:marRight w:val="0"/>
          <w:marTop w:val="0"/>
          <w:marBottom w:val="0"/>
          <w:divBdr>
            <w:top w:val="none" w:sz="0" w:space="0" w:color="auto"/>
            <w:left w:val="none" w:sz="0" w:space="0" w:color="auto"/>
            <w:bottom w:val="none" w:sz="0" w:space="0" w:color="auto"/>
            <w:right w:val="none" w:sz="0" w:space="0" w:color="auto"/>
          </w:divBdr>
        </w:div>
        <w:div w:id="1352293536">
          <w:marLeft w:val="0"/>
          <w:marRight w:val="0"/>
          <w:marTop w:val="0"/>
          <w:marBottom w:val="0"/>
          <w:divBdr>
            <w:top w:val="none" w:sz="0" w:space="0" w:color="auto"/>
            <w:left w:val="none" w:sz="0" w:space="0" w:color="auto"/>
            <w:bottom w:val="none" w:sz="0" w:space="0" w:color="auto"/>
            <w:right w:val="none" w:sz="0" w:space="0" w:color="auto"/>
          </w:divBdr>
        </w:div>
        <w:div w:id="1981766748">
          <w:marLeft w:val="0"/>
          <w:marRight w:val="0"/>
          <w:marTop w:val="0"/>
          <w:marBottom w:val="0"/>
          <w:divBdr>
            <w:top w:val="none" w:sz="0" w:space="0" w:color="auto"/>
            <w:left w:val="none" w:sz="0" w:space="0" w:color="auto"/>
            <w:bottom w:val="none" w:sz="0" w:space="0" w:color="auto"/>
            <w:right w:val="none" w:sz="0" w:space="0" w:color="auto"/>
          </w:divBdr>
        </w:div>
      </w:divsChild>
    </w:div>
    <w:div w:id="228227701">
      <w:bodyDiv w:val="1"/>
      <w:marLeft w:val="0"/>
      <w:marRight w:val="0"/>
      <w:marTop w:val="0"/>
      <w:marBottom w:val="0"/>
      <w:divBdr>
        <w:top w:val="none" w:sz="0" w:space="0" w:color="auto"/>
        <w:left w:val="none" w:sz="0" w:space="0" w:color="auto"/>
        <w:bottom w:val="none" w:sz="0" w:space="0" w:color="auto"/>
        <w:right w:val="none" w:sz="0" w:space="0" w:color="auto"/>
      </w:divBdr>
      <w:divsChild>
        <w:div w:id="1108311516">
          <w:marLeft w:val="0"/>
          <w:marRight w:val="0"/>
          <w:marTop w:val="0"/>
          <w:marBottom w:val="0"/>
          <w:divBdr>
            <w:top w:val="none" w:sz="0" w:space="0" w:color="auto"/>
            <w:left w:val="none" w:sz="0" w:space="0" w:color="auto"/>
            <w:bottom w:val="none" w:sz="0" w:space="0" w:color="auto"/>
            <w:right w:val="none" w:sz="0" w:space="0" w:color="auto"/>
          </w:divBdr>
        </w:div>
      </w:divsChild>
    </w:div>
    <w:div w:id="235211913">
      <w:bodyDiv w:val="1"/>
      <w:marLeft w:val="0"/>
      <w:marRight w:val="0"/>
      <w:marTop w:val="0"/>
      <w:marBottom w:val="0"/>
      <w:divBdr>
        <w:top w:val="none" w:sz="0" w:space="0" w:color="auto"/>
        <w:left w:val="none" w:sz="0" w:space="0" w:color="auto"/>
        <w:bottom w:val="none" w:sz="0" w:space="0" w:color="auto"/>
        <w:right w:val="none" w:sz="0" w:space="0" w:color="auto"/>
      </w:divBdr>
      <w:divsChild>
        <w:div w:id="544486047">
          <w:marLeft w:val="0"/>
          <w:marRight w:val="0"/>
          <w:marTop w:val="0"/>
          <w:marBottom w:val="0"/>
          <w:divBdr>
            <w:top w:val="none" w:sz="0" w:space="0" w:color="auto"/>
            <w:left w:val="none" w:sz="0" w:space="0" w:color="auto"/>
            <w:bottom w:val="none" w:sz="0" w:space="0" w:color="auto"/>
            <w:right w:val="none" w:sz="0" w:space="0" w:color="auto"/>
          </w:divBdr>
        </w:div>
        <w:div w:id="1171217705">
          <w:marLeft w:val="0"/>
          <w:marRight w:val="0"/>
          <w:marTop w:val="0"/>
          <w:marBottom w:val="0"/>
          <w:divBdr>
            <w:top w:val="none" w:sz="0" w:space="0" w:color="auto"/>
            <w:left w:val="none" w:sz="0" w:space="0" w:color="auto"/>
            <w:bottom w:val="none" w:sz="0" w:space="0" w:color="auto"/>
            <w:right w:val="none" w:sz="0" w:space="0" w:color="auto"/>
          </w:divBdr>
        </w:div>
        <w:div w:id="1230924983">
          <w:marLeft w:val="0"/>
          <w:marRight w:val="0"/>
          <w:marTop w:val="0"/>
          <w:marBottom w:val="0"/>
          <w:divBdr>
            <w:top w:val="none" w:sz="0" w:space="0" w:color="auto"/>
            <w:left w:val="none" w:sz="0" w:space="0" w:color="auto"/>
            <w:bottom w:val="none" w:sz="0" w:space="0" w:color="auto"/>
            <w:right w:val="none" w:sz="0" w:space="0" w:color="auto"/>
          </w:divBdr>
          <w:divsChild>
            <w:div w:id="36897153">
              <w:marLeft w:val="0"/>
              <w:marRight w:val="0"/>
              <w:marTop w:val="0"/>
              <w:marBottom w:val="0"/>
              <w:divBdr>
                <w:top w:val="none" w:sz="0" w:space="0" w:color="auto"/>
                <w:left w:val="none" w:sz="0" w:space="0" w:color="auto"/>
                <w:bottom w:val="none" w:sz="0" w:space="0" w:color="auto"/>
                <w:right w:val="none" w:sz="0" w:space="0" w:color="auto"/>
              </w:divBdr>
            </w:div>
            <w:div w:id="62878467">
              <w:marLeft w:val="0"/>
              <w:marRight w:val="0"/>
              <w:marTop w:val="0"/>
              <w:marBottom w:val="0"/>
              <w:divBdr>
                <w:top w:val="none" w:sz="0" w:space="0" w:color="auto"/>
                <w:left w:val="none" w:sz="0" w:space="0" w:color="auto"/>
                <w:bottom w:val="none" w:sz="0" w:space="0" w:color="auto"/>
                <w:right w:val="none" w:sz="0" w:space="0" w:color="auto"/>
              </w:divBdr>
            </w:div>
            <w:div w:id="813646351">
              <w:marLeft w:val="0"/>
              <w:marRight w:val="0"/>
              <w:marTop w:val="0"/>
              <w:marBottom w:val="0"/>
              <w:divBdr>
                <w:top w:val="none" w:sz="0" w:space="0" w:color="auto"/>
                <w:left w:val="none" w:sz="0" w:space="0" w:color="auto"/>
                <w:bottom w:val="none" w:sz="0" w:space="0" w:color="auto"/>
                <w:right w:val="none" w:sz="0" w:space="0" w:color="auto"/>
              </w:divBdr>
            </w:div>
            <w:div w:id="1164197389">
              <w:marLeft w:val="0"/>
              <w:marRight w:val="0"/>
              <w:marTop w:val="0"/>
              <w:marBottom w:val="0"/>
              <w:divBdr>
                <w:top w:val="none" w:sz="0" w:space="0" w:color="auto"/>
                <w:left w:val="none" w:sz="0" w:space="0" w:color="auto"/>
                <w:bottom w:val="none" w:sz="0" w:space="0" w:color="auto"/>
                <w:right w:val="none" w:sz="0" w:space="0" w:color="auto"/>
              </w:divBdr>
            </w:div>
            <w:div w:id="184347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276107">
      <w:bodyDiv w:val="1"/>
      <w:marLeft w:val="0"/>
      <w:marRight w:val="0"/>
      <w:marTop w:val="0"/>
      <w:marBottom w:val="0"/>
      <w:divBdr>
        <w:top w:val="none" w:sz="0" w:space="0" w:color="auto"/>
        <w:left w:val="none" w:sz="0" w:space="0" w:color="auto"/>
        <w:bottom w:val="none" w:sz="0" w:space="0" w:color="auto"/>
        <w:right w:val="none" w:sz="0" w:space="0" w:color="auto"/>
      </w:divBdr>
      <w:divsChild>
        <w:div w:id="832797421">
          <w:marLeft w:val="0"/>
          <w:marRight w:val="0"/>
          <w:marTop w:val="0"/>
          <w:marBottom w:val="0"/>
          <w:divBdr>
            <w:top w:val="none" w:sz="0" w:space="0" w:color="auto"/>
            <w:left w:val="none" w:sz="0" w:space="0" w:color="auto"/>
            <w:bottom w:val="none" w:sz="0" w:space="0" w:color="auto"/>
            <w:right w:val="none" w:sz="0" w:space="0" w:color="auto"/>
          </w:divBdr>
        </w:div>
        <w:div w:id="1056440812">
          <w:marLeft w:val="0"/>
          <w:marRight w:val="0"/>
          <w:marTop w:val="0"/>
          <w:marBottom w:val="0"/>
          <w:divBdr>
            <w:top w:val="none" w:sz="0" w:space="0" w:color="auto"/>
            <w:left w:val="none" w:sz="0" w:space="0" w:color="auto"/>
            <w:bottom w:val="none" w:sz="0" w:space="0" w:color="auto"/>
            <w:right w:val="none" w:sz="0" w:space="0" w:color="auto"/>
          </w:divBdr>
        </w:div>
        <w:div w:id="1445811875">
          <w:marLeft w:val="0"/>
          <w:marRight w:val="0"/>
          <w:marTop w:val="0"/>
          <w:marBottom w:val="0"/>
          <w:divBdr>
            <w:top w:val="none" w:sz="0" w:space="0" w:color="auto"/>
            <w:left w:val="none" w:sz="0" w:space="0" w:color="auto"/>
            <w:bottom w:val="none" w:sz="0" w:space="0" w:color="auto"/>
            <w:right w:val="none" w:sz="0" w:space="0" w:color="auto"/>
          </w:divBdr>
        </w:div>
        <w:div w:id="1744912384">
          <w:marLeft w:val="0"/>
          <w:marRight w:val="0"/>
          <w:marTop w:val="0"/>
          <w:marBottom w:val="0"/>
          <w:divBdr>
            <w:top w:val="none" w:sz="0" w:space="0" w:color="auto"/>
            <w:left w:val="none" w:sz="0" w:space="0" w:color="auto"/>
            <w:bottom w:val="none" w:sz="0" w:space="0" w:color="auto"/>
            <w:right w:val="none" w:sz="0" w:space="0" w:color="auto"/>
          </w:divBdr>
        </w:div>
      </w:divsChild>
    </w:div>
    <w:div w:id="266424990">
      <w:bodyDiv w:val="1"/>
      <w:marLeft w:val="0"/>
      <w:marRight w:val="0"/>
      <w:marTop w:val="0"/>
      <w:marBottom w:val="0"/>
      <w:divBdr>
        <w:top w:val="none" w:sz="0" w:space="0" w:color="auto"/>
        <w:left w:val="none" w:sz="0" w:space="0" w:color="auto"/>
        <w:bottom w:val="none" w:sz="0" w:space="0" w:color="auto"/>
        <w:right w:val="none" w:sz="0" w:space="0" w:color="auto"/>
      </w:divBdr>
      <w:divsChild>
        <w:div w:id="477961276">
          <w:marLeft w:val="0"/>
          <w:marRight w:val="0"/>
          <w:marTop w:val="0"/>
          <w:marBottom w:val="0"/>
          <w:divBdr>
            <w:top w:val="none" w:sz="0" w:space="0" w:color="auto"/>
            <w:left w:val="none" w:sz="0" w:space="0" w:color="auto"/>
            <w:bottom w:val="none" w:sz="0" w:space="0" w:color="auto"/>
            <w:right w:val="none" w:sz="0" w:space="0" w:color="auto"/>
          </w:divBdr>
        </w:div>
        <w:div w:id="840193577">
          <w:marLeft w:val="0"/>
          <w:marRight w:val="0"/>
          <w:marTop w:val="0"/>
          <w:marBottom w:val="0"/>
          <w:divBdr>
            <w:top w:val="none" w:sz="0" w:space="0" w:color="auto"/>
            <w:left w:val="none" w:sz="0" w:space="0" w:color="auto"/>
            <w:bottom w:val="none" w:sz="0" w:space="0" w:color="auto"/>
            <w:right w:val="none" w:sz="0" w:space="0" w:color="auto"/>
          </w:divBdr>
        </w:div>
        <w:div w:id="1945184031">
          <w:marLeft w:val="0"/>
          <w:marRight w:val="0"/>
          <w:marTop w:val="0"/>
          <w:marBottom w:val="0"/>
          <w:divBdr>
            <w:top w:val="none" w:sz="0" w:space="0" w:color="auto"/>
            <w:left w:val="none" w:sz="0" w:space="0" w:color="auto"/>
            <w:bottom w:val="none" w:sz="0" w:space="0" w:color="auto"/>
            <w:right w:val="none" w:sz="0" w:space="0" w:color="auto"/>
          </w:divBdr>
        </w:div>
        <w:div w:id="1985695687">
          <w:marLeft w:val="0"/>
          <w:marRight w:val="0"/>
          <w:marTop w:val="0"/>
          <w:marBottom w:val="0"/>
          <w:divBdr>
            <w:top w:val="none" w:sz="0" w:space="0" w:color="auto"/>
            <w:left w:val="none" w:sz="0" w:space="0" w:color="auto"/>
            <w:bottom w:val="none" w:sz="0" w:space="0" w:color="auto"/>
            <w:right w:val="none" w:sz="0" w:space="0" w:color="auto"/>
          </w:divBdr>
        </w:div>
      </w:divsChild>
    </w:div>
    <w:div w:id="277687751">
      <w:bodyDiv w:val="1"/>
      <w:marLeft w:val="0"/>
      <w:marRight w:val="0"/>
      <w:marTop w:val="0"/>
      <w:marBottom w:val="0"/>
      <w:divBdr>
        <w:top w:val="none" w:sz="0" w:space="0" w:color="auto"/>
        <w:left w:val="none" w:sz="0" w:space="0" w:color="auto"/>
        <w:bottom w:val="none" w:sz="0" w:space="0" w:color="auto"/>
        <w:right w:val="none" w:sz="0" w:space="0" w:color="auto"/>
      </w:divBdr>
      <w:divsChild>
        <w:div w:id="747653446">
          <w:marLeft w:val="0"/>
          <w:marRight w:val="0"/>
          <w:marTop w:val="0"/>
          <w:marBottom w:val="0"/>
          <w:divBdr>
            <w:top w:val="none" w:sz="0" w:space="0" w:color="auto"/>
            <w:left w:val="none" w:sz="0" w:space="0" w:color="auto"/>
            <w:bottom w:val="none" w:sz="0" w:space="0" w:color="auto"/>
            <w:right w:val="none" w:sz="0" w:space="0" w:color="auto"/>
          </w:divBdr>
        </w:div>
        <w:div w:id="2011634177">
          <w:marLeft w:val="0"/>
          <w:marRight w:val="0"/>
          <w:marTop w:val="0"/>
          <w:marBottom w:val="0"/>
          <w:divBdr>
            <w:top w:val="none" w:sz="0" w:space="0" w:color="auto"/>
            <w:left w:val="none" w:sz="0" w:space="0" w:color="auto"/>
            <w:bottom w:val="none" w:sz="0" w:space="0" w:color="auto"/>
            <w:right w:val="none" w:sz="0" w:space="0" w:color="auto"/>
          </w:divBdr>
        </w:div>
      </w:divsChild>
    </w:div>
    <w:div w:id="281426399">
      <w:bodyDiv w:val="1"/>
      <w:marLeft w:val="0"/>
      <w:marRight w:val="0"/>
      <w:marTop w:val="0"/>
      <w:marBottom w:val="0"/>
      <w:divBdr>
        <w:top w:val="none" w:sz="0" w:space="0" w:color="auto"/>
        <w:left w:val="none" w:sz="0" w:space="0" w:color="auto"/>
        <w:bottom w:val="none" w:sz="0" w:space="0" w:color="auto"/>
        <w:right w:val="none" w:sz="0" w:space="0" w:color="auto"/>
      </w:divBdr>
      <w:divsChild>
        <w:div w:id="688261451">
          <w:marLeft w:val="0"/>
          <w:marRight w:val="0"/>
          <w:marTop w:val="0"/>
          <w:marBottom w:val="0"/>
          <w:divBdr>
            <w:top w:val="none" w:sz="0" w:space="0" w:color="auto"/>
            <w:left w:val="none" w:sz="0" w:space="0" w:color="auto"/>
            <w:bottom w:val="none" w:sz="0" w:space="0" w:color="auto"/>
            <w:right w:val="none" w:sz="0" w:space="0" w:color="auto"/>
          </w:divBdr>
        </w:div>
        <w:div w:id="1847938187">
          <w:marLeft w:val="0"/>
          <w:marRight w:val="0"/>
          <w:marTop w:val="0"/>
          <w:marBottom w:val="0"/>
          <w:divBdr>
            <w:top w:val="none" w:sz="0" w:space="0" w:color="auto"/>
            <w:left w:val="none" w:sz="0" w:space="0" w:color="auto"/>
            <w:bottom w:val="none" w:sz="0" w:space="0" w:color="auto"/>
            <w:right w:val="none" w:sz="0" w:space="0" w:color="auto"/>
          </w:divBdr>
        </w:div>
        <w:div w:id="2078506192">
          <w:marLeft w:val="0"/>
          <w:marRight w:val="0"/>
          <w:marTop w:val="0"/>
          <w:marBottom w:val="0"/>
          <w:divBdr>
            <w:top w:val="none" w:sz="0" w:space="0" w:color="auto"/>
            <w:left w:val="none" w:sz="0" w:space="0" w:color="auto"/>
            <w:bottom w:val="none" w:sz="0" w:space="0" w:color="auto"/>
            <w:right w:val="none" w:sz="0" w:space="0" w:color="auto"/>
          </w:divBdr>
        </w:div>
      </w:divsChild>
    </w:div>
    <w:div w:id="288709699">
      <w:bodyDiv w:val="1"/>
      <w:marLeft w:val="0"/>
      <w:marRight w:val="0"/>
      <w:marTop w:val="0"/>
      <w:marBottom w:val="0"/>
      <w:divBdr>
        <w:top w:val="none" w:sz="0" w:space="0" w:color="auto"/>
        <w:left w:val="none" w:sz="0" w:space="0" w:color="auto"/>
        <w:bottom w:val="none" w:sz="0" w:space="0" w:color="auto"/>
        <w:right w:val="none" w:sz="0" w:space="0" w:color="auto"/>
      </w:divBdr>
      <w:divsChild>
        <w:div w:id="467237918">
          <w:marLeft w:val="0"/>
          <w:marRight w:val="0"/>
          <w:marTop w:val="0"/>
          <w:marBottom w:val="0"/>
          <w:divBdr>
            <w:top w:val="none" w:sz="0" w:space="0" w:color="auto"/>
            <w:left w:val="none" w:sz="0" w:space="0" w:color="auto"/>
            <w:bottom w:val="none" w:sz="0" w:space="0" w:color="auto"/>
            <w:right w:val="none" w:sz="0" w:space="0" w:color="auto"/>
          </w:divBdr>
        </w:div>
        <w:div w:id="910309414">
          <w:marLeft w:val="0"/>
          <w:marRight w:val="0"/>
          <w:marTop w:val="0"/>
          <w:marBottom w:val="0"/>
          <w:divBdr>
            <w:top w:val="none" w:sz="0" w:space="0" w:color="auto"/>
            <w:left w:val="none" w:sz="0" w:space="0" w:color="auto"/>
            <w:bottom w:val="none" w:sz="0" w:space="0" w:color="auto"/>
            <w:right w:val="none" w:sz="0" w:space="0" w:color="auto"/>
          </w:divBdr>
        </w:div>
      </w:divsChild>
    </w:div>
    <w:div w:id="294022734">
      <w:bodyDiv w:val="1"/>
      <w:marLeft w:val="0"/>
      <w:marRight w:val="0"/>
      <w:marTop w:val="0"/>
      <w:marBottom w:val="0"/>
      <w:divBdr>
        <w:top w:val="none" w:sz="0" w:space="0" w:color="auto"/>
        <w:left w:val="none" w:sz="0" w:space="0" w:color="auto"/>
        <w:bottom w:val="none" w:sz="0" w:space="0" w:color="auto"/>
        <w:right w:val="none" w:sz="0" w:space="0" w:color="auto"/>
      </w:divBdr>
      <w:divsChild>
        <w:div w:id="1790125462">
          <w:marLeft w:val="0"/>
          <w:marRight w:val="0"/>
          <w:marTop w:val="0"/>
          <w:marBottom w:val="0"/>
          <w:divBdr>
            <w:top w:val="none" w:sz="0" w:space="0" w:color="auto"/>
            <w:left w:val="none" w:sz="0" w:space="0" w:color="auto"/>
            <w:bottom w:val="none" w:sz="0" w:space="0" w:color="auto"/>
            <w:right w:val="none" w:sz="0" w:space="0" w:color="auto"/>
          </w:divBdr>
          <w:divsChild>
            <w:div w:id="107624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898867">
      <w:bodyDiv w:val="1"/>
      <w:marLeft w:val="0"/>
      <w:marRight w:val="0"/>
      <w:marTop w:val="0"/>
      <w:marBottom w:val="0"/>
      <w:divBdr>
        <w:top w:val="none" w:sz="0" w:space="0" w:color="auto"/>
        <w:left w:val="none" w:sz="0" w:space="0" w:color="auto"/>
        <w:bottom w:val="none" w:sz="0" w:space="0" w:color="auto"/>
        <w:right w:val="none" w:sz="0" w:space="0" w:color="auto"/>
      </w:divBdr>
      <w:divsChild>
        <w:div w:id="474228219">
          <w:marLeft w:val="0"/>
          <w:marRight w:val="0"/>
          <w:marTop w:val="0"/>
          <w:marBottom w:val="0"/>
          <w:divBdr>
            <w:top w:val="none" w:sz="0" w:space="0" w:color="auto"/>
            <w:left w:val="none" w:sz="0" w:space="0" w:color="auto"/>
            <w:bottom w:val="none" w:sz="0" w:space="0" w:color="auto"/>
            <w:right w:val="none" w:sz="0" w:space="0" w:color="auto"/>
          </w:divBdr>
        </w:div>
      </w:divsChild>
    </w:div>
    <w:div w:id="319387484">
      <w:bodyDiv w:val="1"/>
      <w:marLeft w:val="0"/>
      <w:marRight w:val="0"/>
      <w:marTop w:val="0"/>
      <w:marBottom w:val="0"/>
      <w:divBdr>
        <w:top w:val="none" w:sz="0" w:space="0" w:color="auto"/>
        <w:left w:val="none" w:sz="0" w:space="0" w:color="auto"/>
        <w:bottom w:val="none" w:sz="0" w:space="0" w:color="auto"/>
        <w:right w:val="none" w:sz="0" w:space="0" w:color="auto"/>
      </w:divBdr>
      <w:divsChild>
        <w:div w:id="1590190504">
          <w:marLeft w:val="0"/>
          <w:marRight w:val="0"/>
          <w:marTop w:val="0"/>
          <w:marBottom w:val="0"/>
          <w:divBdr>
            <w:top w:val="none" w:sz="0" w:space="0" w:color="auto"/>
            <w:left w:val="none" w:sz="0" w:space="0" w:color="auto"/>
            <w:bottom w:val="none" w:sz="0" w:space="0" w:color="auto"/>
            <w:right w:val="none" w:sz="0" w:space="0" w:color="auto"/>
          </w:divBdr>
        </w:div>
      </w:divsChild>
    </w:div>
    <w:div w:id="368454788">
      <w:bodyDiv w:val="1"/>
      <w:marLeft w:val="0"/>
      <w:marRight w:val="0"/>
      <w:marTop w:val="0"/>
      <w:marBottom w:val="0"/>
      <w:divBdr>
        <w:top w:val="none" w:sz="0" w:space="0" w:color="auto"/>
        <w:left w:val="none" w:sz="0" w:space="0" w:color="auto"/>
        <w:bottom w:val="none" w:sz="0" w:space="0" w:color="auto"/>
        <w:right w:val="none" w:sz="0" w:space="0" w:color="auto"/>
      </w:divBdr>
      <w:divsChild>
        <w:div w:id="889726325">
          <w:marLeft w:val="0"/>
          <w:marRight w:val="0"/>
          <w:marTop w:val="0"/>
          <w:marBottom w:val="0"/>
          <w:divBdr>
            <w:top w:val="none" w:sz="0" w:space="0" w:color="auto"/>
            <w:left w:val="none" w:sz="0" w:space="0" w:color="auto"/>
            <w:bottom w:val="none" w:sz="0" w:space="0" w:color="auto"/>
            <w:right w:val="none" w:sz="0" w:space="0" w:color="auto"/>
          </w:divBdr>
        </w:div>
        <w:div w:id="907806590">
          <w:marLeft w:val="0"/>
          <w:marRight w:val="0"/>
          <w:marTop w:val="0"/>
          <w:marBottom w:val="0"/>
          <w:divBdr>
            <w:top w:val="none" w:sz="0" w:space="0" w:color="auto"/>
            <w:left w:val="none" w:sz="0" w:space="0" w:color="auto"/>
            <w:bottom w:val="none" w:sz="0" w:space="0" w:color="auto"/>
            <w:right w:val="none" w:sz="0" w:space="0" w:color="auto"/>
          </w:divBdr>
        </w:div>
        <w:div w:id="1875119412">
          <w:marLeft w:val="0"/>
          <w:marRight w:val="0"/>
          <w:marTop w:val="0"/>
          <w:marBottom w:val="0"/>
          <w:divBdr>
            <w:top w:val="none" w:sz="0" w:space="0" w:color="auto"/>
            <w:left w:val="none" w:sz="0" w:space="0" w:color="auto"/>
            <w:bottom w:val="none" w:sz="0" w:space="0" w:color="auto"/>
            <w:right w:val="none" w:sz="0" w:space="0" w:color="auto"/>
          </w:divBdr>
        </w:div>
        <w:div w:id="2048944964">
          <w:marLeft w:val="0"/>
          <w:marRight w:val="0"/>
          <w:marTop w:val="0"/>
          <w:marBottom w:val="0"/>
          <w:divBdr>
            <w:top w:val="none" w:sz="0" w:space="0" w:color="auto"/>
            <w:left w:val="none" w:sz="0" w:space="0" w:color="auto"/>
            <w:bottom w:val="none" w:sz="0" w:space="0" w:color="auto"/>
            <w:right w:val="none" w:sz="0" w:space="0" w:color="auto"/>
          </w:divBdr>
        </w:div>
      </w:divsChild>
    </w:div>
    <w:div w:id="377709740">
      <w:bodyDiv w:val="1"/>
      <w:marLeft w:val="0"/>
      <w:marRight w:val="0"/>
      <w:marTop w:val="0"/>
      <w:marBottom w:val="0"/>
      <w:divBdr>
        <w:top w:val="none" w:sz="0" w:space="0" w:color="auto"/>
        <w:left w:val="none" w:sz="0" w:space="0" w:color="auto"/>
        <w:bottom w:val="none" w:sz="0" w:space="0" w:color="auto"/>
        <w:right w:val="none" w:sz="0" w:space="0" w:color="auto"/>
      </w:divBdr>
      <w:divsChild>
        <w:div w:id="310595233">
          <w:marLeft w:val="0"/>
          <w:marRight w:val="0"/>
          <w:marTop w:val="0"/>
          <w:marBottom w:val="0"/>
          <w:divBdr>
            <w:top w:val="none" w:sz="0" w:space="0" w:color="auto"/>
            <w:left w:val="none" w:sz="0" w:space="0" w:color="auto"/>
            <w:bottom w:val="none" w:sz="0" w:space="0" w:color="auto"/>
            <w:right w:val="none" w:sz="0" w:space="0" w:color="auto"/>
          </w:divBdr>
        </w:div>
        <w:div w:id="351879099">
          <w:marLeft w:val="0"/>
          <w:marRight w:val="0"/>
          <w:marTop w:val="0"/>
          <w:marBottom w:val="0"/>
          <w:divBdr>
            <w:top w:val="none" w:sz="0" w:space="0" w:color="auto"/>
            <w:left w:val="none" w:sz="0" w:space="0" w:color="auto"/>
            <w:bottom w:val="none" w:sz="0" w:space="0" w:color="auto"/>
            <w:right w:val="none" w:sz="0" w:space="0" w:color="auto"/>
          </w:divBdr>
        </w:div>
      </w:divsChild>
    </w:div>
    <w:div w:id="381952081">
      <w:bodyDiv w:val="1"/>
      <w:marLeft w:val="0"/>
      <w:marRight w:val="0"/>
      <w:marTop w:val="0"/>
      <w:marBottom w:val="0"/>
      <w:divBdr>
        <w:top w:val="none" w:sz="0" w:space="0" w:color="auto"/>
        <w:left w:val="none" w:sz="0" w:space="0" w:color="auto"/>
        <w:bottom w:val="none" w:sz="0" w:space="0" w:color="auto"/>
        <w:right w:val="none" w:sz="0" w:space="0" w:color="auto"/>
      </w:divBdr>
    </w:div>
    <w:div w:id="396174667">
      <w:bodyDiv w:val="1"/>
      <w:marLeft w:val="0"/>
      <w:marRight w:val="0"/>
      <w:marTop w:val="0"/>
      <w:marBottom w:val="0"/>
      <w:divBdr>
        <w:top w:val="none" w:sz="0" w:space="0" w:color="auto"/>
        <w:left w:val="none" w:sz="0" w:space="0" w:color="auto"/>
        <w:bottom w:val="none" w:sz="0" w:space="0" w:color="auto"/>
        <w:right w:val="none" w:sz="0" w:space="0" w:color="auto"/>
      </w:divBdr>
      <w:divsChild>
        <w:div w:id="652369236">
          <w:marLeft w:val="0"/>
          <w:marRight w:val="0"/>
          <w:marTop w:val="0"/>
          <w:marBottom w:val="0"/>
          <w:divBdr>
            <w:top w:val="none" w:sz="0" w:space="0" w:color="auto"/>
            <w:left w:val="none" w:sz="0" w:space="0" w:color="auto"/>
            <w:bottom w:val="none" w:sz="0" w:space="0" w:color="auto"/>
            <w:right w:val="none" w:sz="0" w:space="0" w:color="auto"/>
          </w:divBdr>
        </w:div>
        <w:div w:id="1950819051">
          <w:marLeft w:val="0"/>
          <w:marRight w:val="0"/>
          <w:marTop w:val="0"/>
          <w:marBottom w:val="0"/>
          <w:divBdr>
            <w:top w:val="none" w:sz="0" w:space="0" w:color="auto"/>
            <w:left w:val="none" w:sz="0" w:space="0" w:color="auto"/>
            <w:bottom w:val="none" w:sz="0" w:space="0" w:color="auto"/>
            <w:right w:val="none" w:sz="0" w:space="0" w:color="auto"/>
          </w:divBdr>
        </w:div>
      </w:divsChild>
    </w:div>
    <w:div w:id="423038755">
      <w:bodyDiv w:val="1"/>
      <w:marLeft w:val="0"/>
      <w:marRight w:val="0"/>
      <w:marTop w:val="0"/>
      <w:marBottom w:val="0"/>
      <w:divBdr>
        <w:top w:val="none" w:sz="0" w:space="0" w:color="auto"/>
        <w:left w:val="none" w:sz="0" w:space="0" w:color="auto"/>
        <w:bottom w:val="none" w:sz="0" w:space="0" w:color="auto"/>
        <w:right w:val="none" w:sz="0" w:space="0" w:color="auto"/>
      </w:divBdr>
      <w:divsChild>
        <w:div w:id="369764565">
          <w:marLeft w:val="0"/>
          <w:marRight w:val="0"/>
          <w:marTop w:val="0"/>
          <w:marBottom w:val="0"/>
          <w:divBdr>
            <w:top w:val="none" w:sz="0" w:space="0" w:color="auto"/>
            <w:left w:val="none" w:sz="0" w:space="0" w:color="auto"/>
            <w:bottom w:val="none" w:sz="0" w:space="0" w:color="auto"/>
            <w:right w:val="none" w:sz="0" w:space="0" w:color="auto"/>
          </w:divBdr>
        </w:div>
        <w:div w:id="524293546">
          <w:marLeft w:val="0"/>
          <w:marRight w:val="0"/>
          <w:marTop w:val="0"/>
          <w:marBottom w:val="0"/>
          <w:divBdr>
            <w:top w:val="none" w:sz="0" w:space="0" w:color="auto"/>
            <w:left w:val="none" w:sz="0" w:space="0" w:color="auto"/>
            <w:bottom w:val="none" w:sz="0" w:space="0" w:color="auto"/>
            <w:right w:val="none" w:sz="0" w:space="0" w:color="auto"/>
          </w:divBdr>
        </w:div>
      </w:divsChild>
    </w:div>
    <w:div w:id="432017801">
      <w:bodyDiv w:val="1"/>
      <w:marLeft w:val="0"/>
      <w:marRight w:val="0"/>
      <w:marTop w:val="0"/>
      <w:marBottom w:val="0"/>
      <w:divBdr>
        <w:top w:val="none" w:sz="0" w:space="0" w:color="auto"/>
        <w:left w:val="none" w:sz="0" w:space="0" w:color="auto"/>
        <w:bottom w:val="none" w:sz="0" w:space="0" w:color="auto"/>
        <w:right w:val="none" w:sz="0" w:space="0" w:color="auto"/>
      </w:divBdr>
      <w:divsChild>
        <w:div w:id="212230872">
          <w:marLeft w:val="0"/>
          <w:marRight w:val="0"/>
          <w:marTop w:val="0"/>
          <w:marBottom w:val="0"/>
          <w:divBdr>
            <w:top w:val="none" w:sz="0" w:space="0" w:color="auto"/>
            <w:left w:val="none" w:sz="0" w:space="0" w:color="auto"/>
            <w:bottom w:val="none" w:sz="0" w:space="0" w:color="auto"/>
            <w:right w:val="none" w:sz="0" w:space="0" w:color="auto"/>
          </w:divBdr>
        </w:div>
        <w:div w:id="222720697">
          <w:marLeft w:val="0"/>
          <w:marRight w:val="0"/>
          <w:marTop w:val="0"/>
          <w:marBottom w:val="0"/>
          <w:divBdr>
            <w:top w:val="none" w:sz="0" w:space="0" w:color="auto"/>
            <w:left w:val="none" w:sz="0" w:space="0" w:color="auto"/>
            <w:bottom w:val="none" w:sz="0" w:space="0" w:color="auto"/>
            <w:right w:val="none" w:sz="0" w:space="0" w:color="auto"/>
          </w:divBdr>
        </w:div>
        <w:div w:id="1194922474">
          <w:marLeft w:val="0"/>
          <w:marRight w:val="0"/>
          <w:marTop w:val="0"/>
          <w:marBottom w:val="0"/>
          <w:divBdr>
            <w:top w:val="none" w:sz="0" w:space="0" w:color="auto"/>
            <w:left w:val="none" w:sz="0" w:space="0" w:color="auto"/>
            <w:bottom w:val="none" w:sz="0" w:space="0" w:color="auto"/>
            <w:right w:val="none" w:sz="0" w:space="0" w:color="auto"/>
          </w:divBdr>
        </w:div>
        <w:div w:id="1469781001">
          <w:marLeft w:val="0"/>
          <w:marRight w:val="0"/>
          <w:marTop w:val="0"/>
          <w:marBottom w:val="0"/>
          <w:divBdr>
            <w:top w:val="none" w:sz="0" w:space="0" w:color="auto"/>
            <w:left w:val="none" w:sz="0" w:space="0" w:color="auto"/>
            <w:bottom w:val="none" w:sz="0" w:space="0" w:color="auto"/>
            <w:right w:val="none" w:sz="0" w:space="0" w:color="auto"/>
          </w:divBdr>
        </w:div>
        <w:div w:id="1873687316">
          <w:marLeft w:val="0"/>
          <w:marRight w:val="0"/>
          <w:marTop w:val="0"/>
          <w:marBottom w:val="0"/>
          <w:divBdr>
            <w:top w:val="none" w:sz="0" w:space="0" w:color="auto"/>
            <w:left w:val="none" w:sz="0" w:space="0" w:color="auto"/>
            <w:bottom w:val="none" w:sz="0" w:space="0" w:color="auto"/>
            <w:right w:val="none" w:sz="0" w:space="0" w:color="auto"/>
          </w:divBdr>
        </w:div>
      </w:divsChild>
    </w:div>
    <w:div w:id="448817195">
      <w:bodyDiv w:val="1"/>
      <w:marLeft w:val="0"/>
      <w:marRight w:val="0"/>
      <w:marTop w:val="0"/>
      <w:marBottom w:val="0"/>
      <w:divBdr>
        <w:top w:val="none" w:sz="0" w:space="0" w:color="auto"/>
        <w:left w:val="none" w:sz="0" w:space="0" w:color="auto"/>
        <w:bottom w:val="none" w:sz="0" w:space="0" w:color="auto"/>
        <w:right w:val="none" w:sz="0" w:space="0" w:color="auto"/>
      </w:divBdr>
      <w:divsChild>
        <w:div w:id="127627055">
          <w:marLeft w:val="0"/>
          <w:marRight w:val="0"/>
          <w:marTop w:val="0"/>
          <w:marBottom w:val="0"/>
          <w:divBdr>
            <w:top w:val="none" w:sz="0" w:space="0" w:color="auto"/>
            <w:left w:val="none" w:sz="0" w:space="0" w:color="auto"/>
            <w:bottom w:val="none" w:sz="0" w:space="0" w:color="auto"/>
            <w:right w:val="none" w:sz="0" w:space="0" w:color="auto"/>
          </w:divBdr>
        </w:div>
        <w:div w:id="1340430252">
          <w:marLeft w:val="0"/>
          <w:marRight w:val="0"/>
          <w:marTop w:val="0"/>
          <w:marBottom w:val="0"/>
          <w:divBdr>
            <w:top w:val="none" w:sz="0" w:space="0" w:color="auto"/>
            <w:left w:val="none" w:sz="0" w:space="0" w:color="auto"/>
            <w:bottom w:val="none" w:sz="0" w:space="0" w:color="auto"/>
            <w:right w:val="none" w:sz="0" w:space="0" w:color="auto"/>
          </w:divBdr>
        </w:div>
        <w:div w:id="1534071514">
          <w:marLeft w:val="0"/>
          <w:marRight w:val="0"/>
          <w:marTop w:val="0"/>
          <w:marBottom w:val="0"/>
          <w:divBdr>
            <w:top w:val="none" w:sz="0" w:space="0" w:color="auto"/>
            <w:left w:val="none" w:sz="0" w:space="0" w:color="auto"/>
            <w:bottom w:val="none" w:sz="0" w:space="0" w:color="auto"/>
            <w:right w:val="none" w:sz="0" w:space="0" w:color="auto"/>
          </w:divBdr>
        </w:div>
        <w:div w:id="2096583319">
          <w:marLeft w:val="0"/>
          <w:marRight w:val="0"/>
          <w:marTop w:val="0"/>
          <w:marBottom w:val="0"/>
          <w:divBdr>
            <w:top w:val="none" w:sz="0" w:space="0" w:color="auto"/>
            <w:left w:val="none" w:sz="0" w:space="0" w:color="auto"/>
            <w:bottom w:val="none" w:sz="0" w:space="0" w:color="auto"/>
            <w:right w:val="none" w:sz="0" w:space="0" w:color="auto"/>
          </w:divBdr>
        </w:div>
      </w:divsChild>
    </w:div>
    <w:div w:id="465049894">
      <w:bodyDiv w:val="1"/>
      <w:marLeft w:val="0"/>
      <w:marRight w:val="0"/>
      <w:marTop w:val="0"/>
      <w:marBottom w:val="0"/>
      <w:divBdr>
        <w:top w:val="none" w:sz="0" w:space="0" w:color="auto"/>
        <w:left w:val="none" w:sz="0" w:space="0" w:color="auto"/>
        <w:bottom w:val="none" w:sz="0" w:space="0" w:color="auto"/>
        <w:right w:val="none" w:sz="0" w:space="0" w:color="auto"/>
      </w:divBdr>
      <w:divsChild>
        <w:div w:id="560017655">
          <w:marLeft w:val="0"/>
          <w:marRight w:val="0"/>
          <w:marTop w:val="0"/>
          <w:marBottom w:val="0"/>
          <w:divBdr>
            <w:top w:val="none" w:sz="0" w:space="0" w:color="auto"/>
            <w:left w:val="none" w:sz="0" w:space="0" w:color="auto"/>
            <w:bottom w:val="none" w:sz="0" w:space="0" w:color="auto"/>
            <w:right w:val="none" w:sz="0" w:space="0" w:color="auto"/>
          </w:divBdr>
        </w:div>
        <w:div w:id="1040400257">
          <w:marLeft w:val="0"/>
          <w:marRight w:val="0"/>
          <w:marTop w:val="0"/>
          <w:marBottom w:val="0"/>
          <w:divBdr>
            <w:top w:val="none" w:sz="0" w:space="0" w:color="auto"/>
            <w:left w:val="none" w:sz="0" w:space="0" w:color="auto"/>
            <w:bottom w:val="none" w:sz="0" w:space="0" w:color="auto"/>
            <w:right w:val="none" w:sz="0" w:space="0" w:color="auto"/>
          </w:divBdr>
        </w:div>
        <w:div w:id="1688868226">
          <w:marLeft w:val="0"/>
          <w:marRight w:val="0"/>
          <w:marTop w:val="0"/>
          <w:marBottom w:val="0"/>
          <w:divBdr>
            <w:top w:val="none" w:sz="0" w:space="0" w:color="auto"/>
            <w:left w:val="none" w:sz="0" w:space="0" w:color="auto"/>
            <w:bottom w:val="none" w:sz="0" w:space="0" w:color="auto"/>
            <w:right w:val="none" w:sz="0" w:space="0" w:color="auto"/>
          </w:divBdr>
        </w:div>
      </w:divsChild>
    </w:div>
    <w:div w:id="473447361">
      <w:bodyDiv w:val="1"/>
      <w:marLeft w:val="0"/>
      <w:marRight w:val="0"/>
      <w:marTop w:val="0"/>
      <w:marBottom w:val="0"/>
      <w:divBdr>
        <w:top w:val="none" w:sz="0" w:space="0" w:color="auto"/>
        <w:left w:val="none" w:sz="0" w:space="0" w:color="auto"/>
        <w:bottom w:val="none" w:sz="0" w:space="0" w:color="auto"/>
        <w:right w:val="none" w:sz="0" w:space="0" w:color="auto"/>
      </w:divBdr>
      <w:divsChild>
        <w:div w:id="190533027">
          <w:marLeft w:val="0"/>
          <w:marRight w:val="0"/>
          <w:marTop w:val="0"/>
          <w:marBottom w:val="0"/>
          <w:divBdr>
            <w:top w:val="none" w:sz="0" w:space="0" w:color="auto"/>
            <w:left w:val="none" w:sz="0" w:space="0" w:color="auto"/>
            <w:bottom w:val="none" w:sz="0" w:space="0" w:color="auto"/>
            <w:right w:val="none" w:sz="0" w:space="0" w:color="auto"/>
          </w:divBdr>
        </w:div>
        <w:div w:id="198975531">
          <w:marLeft w:val="0"/>
          <w:marRight w:val="0"/>
          <w:marTop w:val="0"/>
          <w:marBottom w:val="0"/>
          <w:divBdr>
            <w:top w:val="none" w:sz="0" w:space="0" w:color="auto"/>
            <w:left w:val="none" w:sz="0" w:space="0" w:color="auto"/>
            <w:bottom w:val="none" w:sz="0" w:space="0" w:color="auto"/>
            <w:right w:val="none" w:sz="0" w:space="0" w:color="auto"/>
          </w:divBdr>
        </w:div>
        <w:div w:id="355349762">
          <w:marLeft w:val="0"/>
          <w:marRight w:val="0"/>
          <w:marTop w:val="0"/>
          <w:marBottom w:val="0"/>
          <w:divBdr>
            <w:top w:val="none" w:sz="0" w:space="0" w:color="auto"/>
            <w:left w:val="none" w:sz="0" w:space="0" w:color="auto"/>
            <w:bottom w:val="none" w:sz="0" w:space="0" w:color="auto"/>
            <w:right w:val="none" w:sz="0" w:space="0" w:color="auto"/>
          </w:divBdr>
        </w:div>
        <w:div w:id="740636102">
          <w:marLeft w:val="0"/>
          <w:marRight w:val="0"/>
          <w:marTop w:val="0"/>
          <w:marBottom w:val="0"/>
          <w:divBdr>
            <w:top w:val="none" w:sz="0" w:space="0" w:color="auto"/>
            <w:left w:val="none" w:sz="0" w:space="0" w:color="auto"/>
            <w:bottom w:val="none" w:sz="0" w:space="0" w:color="auto"/>
            <w:right w:val="none" w:sz="0" w:space="0" w:color="auto"/>
          </w:divBdr>
        </w:div>
        <w:div w:id="93600197">
          <w:marLeft w:val="0"/>
          <w:marRight w:val="0"/>
          <w:marTop w:val="0"/>
          <w:marBottom w:val="0"/>
          <w:divBdr>
            <w:top w:val="none" w:sz="0" w:space="0" w:color="auto"/>
            <w:left w:val="none" w:sz="0" w:space="0" w:color="auto"/>
            <w:bottom w:val="none" w:sz="0" w:space="0" w:color="auto"/>
            <w:right w:val="none" w:sz="0" w:space="0" w:color="auto"/>
          </w:divBdr>
        </w:div>
        <w:div w:id="1701709496">
          <w:marLeft w:val="0"/>
          <w:marRight w:val="0"/>
          <w:marTop w:val="0"/>
          <w:marBottom w:val="0"/>
          <w:divBdr>
            <w:top w:val="none" w:sz="0" w:space="0" w:color="auto"/>
            <w:left w:val="none" w:sz="0" w:space="0" w:color="auto"/>
            <w:bottom w:val="none" w:sz="0" w:space="0" w:color="auto"/>
            <w:right w:val="none" w:sz="0" w:space="0" w:color="auto"/>
          </w:divBdr>
        </w:div>
        <w:div w:id="1195850311">
          <w:marLeft w:val="0"/>
          <w:marRight w:val="0"/>
          <w:marTop w:val="0"/>
          <w:marBottom w:val="0"/>
          <w:divBdr>
            <w:top w:val="none" w:sz="0" w:space="0" w:color="auto"/>
            <w:left w:val="none" w:sz="0" w:space="0" w:color="auto"/>
            <w:bottom w:val="none" w:sz="0" w:space="0" w:color="auto"/>
            <w:right w:val="none" w:sz="0" w:space="0" w:color="auto"/>
          </w:divBdr>
        </w:div>
        <w:div w:id="1026249399">
          <w:marLeft w:val="0"/>
          <w:marRight w:val="0"/>
          <w:marTop w:val="0"/>
          <w:marBottom w:val="0"/>
          <w:divBdr>
            <w:top w:val="none" w:sz="0" w:space="0" w:color="auto"/>
            <w:left w:val="none" w:sz="0" w:space="0" w:color="auto"/>
            <w:bottom w:val="none" w:sz="0" w:space="0" w:color="auto"/>
            <w:right w:val="none" w:sz="0" w:space="0" w:color="auto"/>
          </w:divBdr>
        </w:div>
        <w:div w:id="1460878718">
          <w:marLeft w:val="0"/>
          <w:marRight w:val="0"/>
          <w:marTop w:val="0"/>
          <w:marBottom w:val="0"/>
          <w:divBdr>
            <w:top w:val="none" w:sz="0" w:space="0" w:color="auto"/>
            <w:left w:val="none" w:sz="0" w:space="0" w:color="auto"/>
            <w:bottom w:val="none" w:sz="0" w:space="0" w:color="auto"/>
            <w:right w:val="none" w:sz="0" w:space="0" w:color="auto"/>
          </w:divBdr>
        </w:div>
        <w:div w:id="687171340">
          <w:marLeft w:val="0"/>
          <w:marRight w:val="0"/>
          <w:marTop w:val="0"/>
          <w:marBottom w:val="0"/>
          <w:divBdr>
            <w:top w:val="none" w:sz="0" w:space="0" w:color="auto"/>
            <w:left w:val="none" w:sz="0" w:space="0" w:color="auto"/>
            <w:bottom w:val="none" w:sz="0" w:space="0" w:color="auto"/>
            <w:right w:val="none" w:sz="0" w:space="0" w:color="auto"/>
          </w:divBdr>
        </w:div>
        <w:div w:id="1562792706">
          <w:marLeft w:val="0"/>
          <w:marRight w:val="0"/>
          <w:marTop w:val="0"/>
          <w:marBottom w:val="0"/>
          <w:divBdr>
            <w:top w:val="none" w:sz="0" w:space="0" w:color="auto"/>
            <w:left w:val="none" w:sz="0" w:space="0" w:color="auto"/>
            <w:bottom w:val="none" w:sz="0" w:space="0" w:color="auto"/>
            <w:right w:val="none" w:sz="0" w:space="0" w:color="auto"/>
          </w:divBdr>
        </w:div>
      </w:divsChild>
    </w:div>
    <w:div w:id="479927363">
      <w:bodyDiv w:val="1"/>
      <w:marLeft w:val="0"/>
      <w:marRight w:val="0"/>
      <w:marTop w:val="0"/>
      <w:marBottom w:val="0"/>
      <w:divBdr>
        <w:top w:val="none" w:sz="0" w:space="0" w:color="auto"/>
        <w:left w:val="none" w:sz="0" w:space="0" w:color="auto"/>
        <w:bottom w:val="none" w:sz="0" w:space="0" w:color="auto"/>
        <w:right w:val="none" w:sz="0" w:space="0" w:color="auto"/>
      </w:divBdr>
      <w:divsChild>
        <w:div w:id="1196623693">
          <w:marLeft w:val="0"/>
          <w:marRight w:val="0"/>
          <w:marTop w:val="0"/>
          <w:marBottom w:val="0"/>
          <w:divBdr>
            <w:top w:val="none" w:sz="0" w:space="0" w:color="auto"/>
            <w:left w:val="none" w:sz="0" w:space="0" w:color="auto"/>
            <w:bottom w:val="none" w:sz="0" w:space="0" w:color="auto"/>
            <w:right w:val="none" w:sz="0" w:space="0" w:color="auto"/>
          </w:divBdr>
        </w:div>
      </w:divsChild>
    </w:div>
    <w:div w:id="496923940">
      <w:bodyDiv w:val="1"/>
      <w:marLeft w:val="0"/>
      <w:marRight w:val="0"/>
      <w:marTop w:val="0"/>
      <w:marBottom w:val="0"/>
      <w:divBdr>
        <w:top w:val="none" w:sz="0" w:space="0" w:color="auto"/>
        <w:left w:val="none" w:sz="0" w:space="0" w:color="auto"/>
        <w:bottom w:val="none" w:sz="0" w:space="0" w:color="auto"/>
        <w:right w:val="none" w:sz="0" w:space="0" w:color="auto"/>
      </w:divBdr>
    </w:div>
    <w:div w:id="505826556">
      <w:bodyDiv w:val="1"/>
      <w:marLeft w:val="0"/>
      <w:marRight w:val="0"/>
      <w:marTop w:val="0"/>
      <w:marBottom w:val="0"/>
      <w:divBdr>
        <w:top w:val="none" w:sz="0" w:space="0" w:color="auto"/>
        <w:left w:val="none" w:sz="0" w:space="0" w:color="auto"/>
        <w:bottom w:val="none" w:sz="0" w:space="0" w:color="auto"/>
        <w:right w:val="none" w:sz="0" w:space="0" w:color="auto"/>
      </w:divBdr>
      <w:divsChild>
        <w:div w:id="18092815">
          <w:marLeft w:val="0"/>
          <w:marRight w:val="0"/>
          <w:marTop w:val="0"/>
          <w:marBottom w:val="0"/>
          <w:divBdr>
            <w:top w:val="none" w:sz="0" w:space="0" w:color="auto"/>
            <w:left w:val="none" w:sz="0" w:space="0" w:color="auto"/>
            <w:bottom w:val="none" w:sz="0" w:space="0" w:color="auto"/>
            <w:right w:val="none" w:sz="0" w:space="0" w:color="auto"/>
          </w:divBdr>
        </w:div>
        <w:div w:id="1014042008">
          <w:marLeft w:val="0"/>
          <w:marRight w:val="0"/>
          <w:marTop w:val="0"/>
          <w:marBottom w:val="0"/>
          <w:divBdr>
            <w:top w:val="none" w:sz="0" w:space="0" w:color="auto"/>
            <w:left w:val="none" w:sz="0" w:space="0" w:color="auto"/>
            <w:bottom w:val="none" w:sz="0" w:space="0" w:color="auto"/>
            <w:right w:val="none" w:sz="0" w:space="0" w:color="auto"/>
          </w:divBdr>
        </w:div>
        <w:div w:id="2025477546">
          <w:marLeft w:val="0"/>
          <w:marRight w:val="0"/>
          <w:marTop w:val="0"/>
          <w:marBottom w:val="0"/>
          <w:divBdr>
            <w:top w:val="none" w:sz="0" w:space="0" w:color="auto"/>
            <w:left w:val="none" w:sz="0" w:space="0" w:color="auto"/>
            <w:bottom w:val="none" w:sz="0" w:space="0" w:color="auto"/>
            <w:right w:val="none" w:sz="0" w:space="0" w:color="auto"/>
          </w:divBdr>
        </w:div>
      </w:divsChild>
    </w:div>
    <w:div w:id="511920162">
      <w:bodyDiv w:val="1"/>
      <w:marLeft w:val="0"/>
      <w:marRight w:val="0"/>
      <w:marTop w:val="0"/>
      <w:marBottom w:val="0"/>
      <w:divBdr>
        <w:top w:val="none" w:sz="0" w:space="0" w:color="auto"/>
        <w:left w:val="none" w:sz="0" w:space="0" w:color="auto"/>
        <w:bottom w:val="none" w:sz="0" w:space="0" w:color="auto"/>
        <w:right w:val="none" w:sz="0" w:space="0" w:color="auto"/>
      </w:divBdr>
    </w:div>
    <w:div w:id="515462978">
      <w:bodyDiv w:val="1"/>
      <w:marLeft w:val="0"/>
      <w:marRight w:val="0"/>
      <w:marTop w:val="0"/>
      <w:marBottom w:val="0"/>
      <w:divBdr>
        <w:top w:val="none" w:sz="0" w:space="0" w:color="auto"/>
        <w:left w:val="none" w:sz="0" w:space="0" w:color="auto"/>
        <w:bottom w:val="none" w:sz="0" w:space="0" w:color="auto"/>
        <w:right w:val="none" w:sz="0" w:space="0" w:color="auto"/>
      </w:divBdr>
      <w:divsChild>
        <w:div w:id="313072889">
          <w:marLeft w:val="0"/>
          <w:marRight w:val="0"/>
          <w:marTop w:val="0"/>
          <w:marBottom w:val="0"/>
          <w:divBdr>
            <w:top w:val="none" w:sz="0" w:space="0" w:color="auto"/>
            <w:left w:val="none" w:sz="0" w:space="0" w:color="auto"/>
            <w:bottom w:val="none" w:sz="0" w:space="0" w:color="auto"/>
            <w:right w:val="none" w:sz="0" w:space="0" w:color="auto"/>
          </w:divBdr>
        </w:div>
      </w:divsChild>
    </w:div>
    <w:div w:id="515774058">
      <w:bodyDiv w:val="1"/>
      <w:marLeft w:val="0"/>
      <w:marRight w:val="0"/>
      <w:marTop w:val="0"/>
      <w:marBottom w:val="0"/>
      <w:divBdr>
        <w:top w:val="none" w:sz="0" w:space="0" w:color="auto"/>
        <w:left w:val="none" w:sz="0" w:space="0" w:color="auto"/>
        <w:bottom w:val="none" w:sz="0" w:space="0" w:color="auto"/>
        <w:right w:val="none" w:sz="0" w:space="0" w:color="auto"/>
      </w:divBdr>
      <w:divsChild>
        <w:div w:id="486437572">
          <w:marLeft w:val="0"/>
          <w:marRight w:val="0"/>
          <w:marTop w:val="0"/>
          <w:marBottom w:val="0"/>
          <w:divBdr>
            <w:top w:val="none" w:sz="0" w:space="0" w:color="auto"/>
            <w:left w:val="none" w:sz="0" w:space="0" w:color="auto"/>
            <w:bottom w:val="none" w:sz="0" w:space="0" w:color="auto"/>
            <w:right w:val="none" w:sz="0" w:space="0" w:color="auto"/>
          </w:divBdr>
          <w:divsChild>
            <w:div w:id="2067796757">
              <w:marLeft w:val="0"/>
              <w:marRight w:val="0"/>
              <w:marTop w:val="0"/>
              <w:marBottom w:val="0"/>
              <w:divBdr>
                <w:top w:val="none" w:sz="0" w:space="0" w:color="auto"/>
                <w:left w:val="none" w:sz="0" w:space="0" w:color="auto"/>
                <w:bottom w:val="none" w:sz="0" w:space="0" w:color="auto"/>
                <w:right w:val="none" w:sz="0" w:space="0" w:color="auto"/>
              </w:divBdr>
            </w:div>
            <w:div w:id="321856315">
              <w:marLeft w:val="0"/>
              <w:marRight w:val="0"/>
              <w:marTop w:val="0"/>
              <w:marBottom w:val="0"/>
              <w:divBdr>
                <w:top w:val="none" w:sz="0" w:space="0" w:color="auto"/>
                <w:left w:val="none" w:sz="0" w:space="0" w:color="auto"/>
                <w:bottom w:val="none" w:sz="0" w:space="0" w:color="auto"/>
                <w:right w:val="none" w:sz="0" w:space="0" w:color="auto"/>
              </w:divBdr>
            </w:div>
            <w:div w:id="641738172">
              <w:marLeft w:val="0"/>
              <w:marRight w:val="0"/>
              <w:marTop w:val="0"/>
              <w:marBottom w:val="0"/>
              <w:divBdr>
                <w:top w:val="none" w:sz="0" w:space="0" w:color="auto"/>
                <w:left w:val="none" w:sz="0" w:space="0" w:color="auto"/>
                <w:bottom w:val="none" w:sz="0" w:space="0" w:color="auto"/>
                <w:right w:val="none" w:sz="0" w:space="0" w:color="auto"/>
              </w:divBdr>
            </w:div>
            <w:div w:id="818425468">
              <w:marLeft w:val="0"/>
              <w:marRight w:val="0"/>
              <w:marTop w:val="0"/>
              <w:marBottom w:val="0"/>
              <w:divBdr>
                <w:top w:val="none" w:sz="0" w:space="0" w:color="auto"/>
                <w:left w:val="none" w:sz="0" w:space="0" w:color="auto"/>
                <w:bottom w:val="none" w:sz="0" w:space="0" w:color="auto"/>
                <w:right w:val="none" w:sz="0" w:space="0" w:color="auto"/>
              </w:divBdr>
            </w:div>
            <w:div w:id="1353265503">
              <w:marLeft w:val="0"/>
              <w:marRight w:val="0"/>
              <w:marTop w:val="0"/>
              <w:marBottom w:val="0"/>
              <w:divBdr>
                <w:top w:val="none" w:sz="0" w:space="0" w:color="auto"/>
                <w:left w:val="none" w:sz="0" w:space="0" w:color="auto"/>
                <w:bottom w:val="none" w:sz="0" w:space="0" w:color="auto"/>
                <w:right w:val="none" w:sz="0" w:space="0" w:color="auto"/>
              </w:divBdr>
            </w:div>
            <w:div w:id="506560050">
              <w:marLeft w:val="0"/>
              <w:marRight w:val="0"/>
              <w:marTop w:val="0"/>
              <w:marBottom w:val="0"/>
              <w:divBdr>
                <w:top w:val="none" w:sz="0" w:space="0" w:color="auto"/>
                <w:left w:val="none" w:sz="0" w:space="0" w:color="auto"/>
                <w:bottom w:val="none" w:sz="0" w:space="0" w:color="auto"/>
                <w:right w:val="none" w:sz="0" w:space="0" w:color="auto"/>
              </w:divBdr>
            </w:div>
            <w:div w:id="1617373823">
              <w:marLeft w:val="0"/>
              <w:marRight w:val="0"/>
              <w:marTop w:val="0"/>
              <w:marBottom w:val="0"/>
              <w:divBdr>
                <w:top w:val="none" w:sz="0" w:space="0" w:color="auto"/>
                <w:left w:val="none" w:sz="0" w:space="0" w:color="auto"/>
                <w:bottom w:val="none" w:sz="0" w:space="0" w:color="auto"/>
                <w:right w:val="none" w:sz="0" w:space="0" w:color="auto"/>
              </w:divBdr>
            </w:div>
            <w:div w:id="1555970005">
              <w:marLeft w:val="0"/>
              <w:marRight w:val="0"/>
              <w:marTop w:val="0"/>
              <w:marBottom w:val="0"/>
              <w:divBdr>
                <w:top w:val="none" w:sz="0" w:space="0" w:color="auto"/>
                <w:left w:val="none" w:sz="0" w:space="0" w:color="auto"/>
                <w:bottom w:val="none" w:sz="0" w:space="0" w:color="auto"/>
                <w:right w:val="none" w:sz="0" w:space="0" w:color="auto"/>
              </w:divBdr>
            </w:div>
            <w:div w:id="1901865522">
              <w:marLeft w:val="0"/>
              <w:marRight w:val="0"/>
              <w:marTop w:val="0"/>
              <w:marBottom w:val="0"/>
              <w:divBdr>
                <w:top w:val="none" w:sz="0" w:space="0" w:color="auto"/>
                <w:left w:val="none" w:sz="0" w:space="0" w:color="auto"/>
                <w:bottom w:val="none" w:sz="0" w:space="0" w:color="auto"/>
                <w:right w:val="none" w:sz="0" w:space="0" w:color="auto"/>
              </w:divBdr>
            </w:div>
            <w:div w:id="1163859293">
              <w:marLeft w:val="0"/>
              <w:marRight w:val="0"/>
              <w:marTop w:val="0"/>
              <w:marBottom w:val="0"/>
              <w:divBdr>
                <w:top w:val="none" w:sz="0" w:space="0" w:color="auto"/>
                <w:left w:val="none" w:sz="0" w:space="0" w:color="auto"/>
                <w:bottom w:val="none" w:sz="0" w:space="0" w:color="auto"/>
                <w:right w:val="none" w:sz="0" w:space="0" w:color="auto"/>
              </w:divBdr>
            </w:div>
          </w:divsChild>
        </w:div>
        <w:div w:id="1785221940">
          <w:marLeft w:val="0"/>
          <w:marRight w:val="0"/>
          <w:marTop w:val="0"/>
          <w:marBottom w:val="0"/>
          <w:divBdr>
            <w:top w:val="none" w:sz="0" w:space="0" w:color="auto"/>
            <w:left w:val="none" w:sz="0" w:space="0" w:color="auto"/>
            <w:bottom w:val="none" w:sz="0" w:space="0" w:color="auto"/>
            <w:right w:val="none" w:sz="0" w:space="0" w:color="auto"/>
          </w:divBdr>
        </w:div>
      </w:divsChild>
    </w:div>
    <w:div w:id="518786257">
      <w:bodyDiv w:val="1"/>
      <w:marLeft w:val="0"/>
      <w:marRight w:val="0"/>
      <w:marTop w:val="0"/>
      <w:marBottom w:val="0"/>
      <w:divBdr>
        <w:top w:val="none" w:sz="0" w:space="0" w:color="auto"/>
        <w:left w:val="none" w:sz="0" w:space="0" w:color="auto"/>
        <w:bottom w:val="none" w:sz="0" w:space="0" w:color="auto"/>
        <w:right w:val="none" w:sz="0" w:space="0" w:color="auto"/>
      </w:divBdr>
    </w:div>
    <w:div w:id="537201520">
      <w:bodyDiv w:val="1"/>
      <w:marLeft w:val="0"/>
      <w:marRight w:val="0"/>
      <w:marTop w:val="0"/>
      <w:marBottom w:val="0"/>
      <w:divBdr>
        <w:top w:val="none" w:sz="0" w:space="0" w:color="auto"/>
        <w:left w:val="none" w:sz="0" w:space="0" w:color="auto"/>
        <w:bottom w:val="none" w:sz="0" w:space="0" w:color="auto"/>
        <w:right w:val="none" w:sz="0" w:space="0" w:color="auto"/>
      </w:divBdr>
      <w:divsChild>
        <w:div w:id="334383407">
          <w:marLeft w:val="0"/>
          <w:marRight w:val="0"/>
          <w:marTop w:val="0"/>
          <w:marBottom w:val="0"/>
          <w:divBdr>
            <w:top w:val="none" w:sz="0" w:space="0" w:color="auto"/>
            <w:left w:val="none" w:sz="0" w:space="0" w:color="auto"/>
            <w:bottom w:val="none" w:sz="0" w:space="0" w:color="auto"/>
            <w:right w:val="none" w:sz="0" w:space="0" w:color="auto"/>
          </w:divBdr>
          <w:divsChild>
            <w:div w:id="340085767">
              <w:marLeft w:val="0"/>
              <w:marRight w:val="0"/>
              <w:marTop w:val="0"/>
              <w:marBottom w:val="0"/>
              <w:divBdr>
                <w:top w:val="none" w:sz="0" w:space="0" w:color="auto"/>
                <w:left w:val="none" w:sz="0" w:space="0" w:color="auto"/>
                <w:bottom w:val="none" w:sz="0" w:space="0" w:color="auto"/>
                <w:right w:val="none" w:sz="0" w:space="0" w:color="auto"/>
              </w:divBdr>
            </w:div>
            <w:div w:id="538929827">
              <w:marLeft w:val="0"/>
              <w:marRight w:val="0"/>
              <w:marTop w:val="0"/>
              <w:marBottom w:val="0"/>
              <w:divBdr>
                <w:top w:val="none" w:sz="0" w:space="0" w:color="auto"/>
                <w:left w:val="none" w:sz="0" w:space="0" w:color="auto"/>
                <w:bottom w:val="none" w:sz="0" w:space="0" w:color="auto"/>
                <w:right w:val="none" w:sz="0" w:space="0" w:color="auto"/>
              </w:divBdr>
            </w:div>
            <w:div w:id="729038457">
              <w:marLeft w:val="0"/>
              <w:marRight w:val="0"/>
              <w:marTop w:val="0"/>
              <w:marBottom w:val="0"/>
              <w:divBdr>
                <w:top w:val="none" w:sz="0" w:space="0" w:color="auto"/>
                <w:left w:val="none" w:sz="0" w:space="0" w:color="auto"/>
                <w:bottom w:val="none" w:sz="0" w:space="0" w:color="auto"/>
                <w:right w:val="none" w:sz="0" w:space="0" w:color="auto"/>
              </w:divBdr>
            </w:div>
            <w:div w:id="1020740313">
              <w:marLeft w:val="0"/>
              <w:marRight w:val="0"/>
              <w:marTop w:val="0"/>
              <w:marBottom w:val="0"/>
              <w:divBdr>
                <w:top w:val="none" w:sz="0" w:space="0" w:color="auto"/>
                <w:left w:val="none" w:sz="0" w:space="0" w:color="auto"/>
                <w:bottom w:val="none" w:sz="0" w:space="0" w:color="auto"/>
                <w:right w:val="none" w:sz="0" w:space="0" w:color="auto"/>
              </w:divBdr>
            </w:div>
            <w:div w:id="1037698794">
              <w:marLeft w:val="0"/>
              <w:marRight w:val="0"/>
              <w:marTop w:val="0"/>
              <w:marBottom w:val="0"/>
              <w:divBdr>
                <w:top w:val="none" w:sz="0" w:space="0" w:color="auto"/>
                <w:left w:val="none" w:sz="0" w:space="0" w:color="auto"/>
                <w:bottom w:val="none" w:sz="0" w:space="0" w:color="auto"/>
                <w:right w:val="none" w:sz="0" w:space="0" w:color="auto"/>
              </w:divBdr>
            </w:div>
            <w:div w:id="1219170139">
              <w:marLeft w:val="0"/>
              <w:marRight w:val="0"/>
              <w:marTop w:val="0"/>
              <w:marBottom w:val="0"/>
              <w:divBdr>
                <w:top w:val="none" w:sz="0" w:space="0" w:color="auto"/>
                <w:left w:val="none" w:sz="0" w:space="0" w:color="auto"/>
                <w:bottom w:val="none" w:sz="0" w:space="0" w:color="auto"/>
                <w:right w:val="none" w:sz="0" w:space="0" w:color="auto"/>
              </w:divBdr>
            </w:div>
            <w:div w:id="1444224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226905">
      <w:bodyDiv w:val="1"/>
      <w:marLeft w:val="0"/>
      <w:marRight w:val="0"/>
      <w:marTop w:val="0"/>
      <w:marBottom w:val="0"/>
      <w:divBdr>
        <w:top w:val="none" w:sz="0" w:space="0" w:color="auto"/>
        <w:left w:val="none" w:sz="0" w:space="0" w:color="auto"/>
        <w:bottom w:val="none" w:sz="0" w:space="0" w:color="auto"/>
        <w:right w:val="none" w:sz="0" w:space="0" w:color="auto"/>
      </w:divBdr>
      <w:divsChild>
        <w:div w:id="1287546341">
          <w:marLeft w:val="0"/>
          <w:marRight w:val="0"/>
          <w:marTop w:val="0"/>
          <w:marBottom w:val="0"/>
          <w:divBdr>
            <w:top w:val="none" w:sz="0" w:space="0" w:color="auto"/>
            <w:left w:val="none" w:sz="0" w:space="0" w:color="auto"/>
            <w:bottom w:val="none" w:sz="0" w:space="0" w:color="auto"/>
            <w:right w:val="none" w:sz="0" w:space="0" w:color="auto"/>
          </w:divBdr>
        </w:div>
        <w:div w:id="2068872748">
          <w:marLeft w:val="0"/>
          <w:marRight w:val="0"/>
          <w:marTop w:val="0"/>
          <w:marBottom w:val="0"/>
          <w:divBdr>
            <w:top w:val="none" w:sz="0" w:space="0" w:color="auto"/>
            <w:left w:val="none" w:sz="0" w:space="0" w:color="auto"/>
            <w:bottom w:val="none" w:sz="0" w:space="0" w:color="auto"/>
            <w:right w:val="none" w:sz="0" w:space="0" w:color="auto"/>
          </w:divBdr>
        </w:div>
        <w:div w:id="2081173446">
          <w:marLeft w:val="0"/>
          <w:marRight w:val="0"/>
          <w:marTop w:val="0"/>
          <w:marBottom w:val="0"/>
          <w:divBdr>
            <w:top w:val="none" w:sz="0" w:space="0" w:color="auto"/>
            <w:left w:val="none" w:sz="0" w:space="0" w:color="auto"/>
            <w:bottom w:val="none" w:sz="0" w:space="0" w:color="auto"/>
            <w:right w:val="none" w:sz="0" w:space="0" w:color="auto"/>
          </w:divBdr>
        </w:div>
      </w:divsChild>
    </w:div>
    <w:div w:id="568732009">
      <w:bodyDiv w:val="1"/>
      <w:marLeft w:val="0"/>
      <w:marRight w:val="0"/>
      <w:marTop w:val="0"/>
      <w:marBottom w:val="0"/>
      <w:divBdr>
        <w:top w:val="none" w:sz="0" w:space="0" w:color="auto"/>
        <w:left w:val="none" w:sz="0" w:space="0" w:color="auto"/>
        <w:bottom w:val="none" w:sz="0" w:space="0" w:color="auto"/>
        <w:right w:val="none" w:sz="0" w:space="0" w:color="auto"/>
      </w:divBdr>
      <w:divsChild>
        <w:div w:id="1681354827">
          <w:marLeft w:val="0"/>
          <w:marRight w:val="0"/>
          <w:marTop w:val="0"/>
          <w:marBottom w:val="0"/>
          <w:divBdr>
            <w:top w:val="none" w:sz="0" w:space="0" w:color="auto"/>
            <w:left w:val="none" w:sz="0" w:space="0" w:color="auto"/>
            <w:bottom w:val="none" w:sz="0" w:space="0" w:color="auto"/>
            <w:right w:val="none" w:sz="0" w:space="0" w:color="auto"/>
          </w:divBdr>
          <w:divsChild>
            <w:div w:id="197702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862611">
      <w:bodyDiv w:val="1"/>
      <w:marLeft w:val="0"/>
      <w:marRight w:val="0"/>
      <w:marTop w:val="0"/>
      <w:marBottom w:val="0"/>
      <w:divBdr>
        <w:top w:val="none" w:sz="0" w:space="0" w:color="auto"/>
        <w:left w:val="none" w:sz="0" w:space="0" w:color="auto"/>
        <w:bottom w:val="none" w:sz="0" w:space="0" w:color="auto"/>
        <w:right w:val="none" w:sz="0" w:space="0" w:color="auto"/>
      </w:divBdr>
    </w:div>
    <w:div w:id="576979166">
      <w:bodyDiv w:val="1"/>
      <w:marLeft w:val="0"/>
      <w:marRight w:val="0"/>
      <w:marTop w:val="0"/>
      <w:marBottom w:val="0"/>
      <w:divBdr>
        <w:top w:val="none" w:sz="0" w:space="0" w:color="auto"/>
        <w:left w:val="none" w:sz="0" w:space="0" w:color="auto"/>
        <w:bottom w:val="none" w:sz="0" w:space="0" w:color="auto"/>
        <w:right w:val="none" w:sz="0" w:space="0" w:color="auto"/>
      </w:divBdr>
      <w:divsChild>
        <w:div w:id="279189620">
          <w:marLeft w:val="0"/>
          <w:marRight w:val="0"/>
          <w:marTop w:val="0"/>
          <w:marBottom w:val="0"/>
          <w:divBdr>
            <w:top w:val="none" w:sz="0" w:space="0" w:color="auto"/>
            <w:left w:val="none" w:sz="0" w:space="0" w:color="auto"/>
            <w:bottom w:val="none" w:sz="0" w:space="0" w:color="auto"/>
            <w:right w:val="none" w:sz="0" w:space="0" w:color="auto"/>
          </w:divBdr>
        </w:div>
      </w:divsChild>
    </w:div>
    <w:div w:id="617176980">
      <w:bodyDiv w:val="1"/>
      <w:marLeft w:val="0"/>
      <w:marRight w:val="0"/>
      <w:marTop w:val="0"/>
      <w:marBottom w:val="0"/>
      <w:divBdr>
        <w:top w:val="none" w:sz="0" w:space="0" w:color="auto"/>
        <w:left w:val="none" w:sz="0" w:space="0" w:color="auto"/>
        <w:bottom w:val="none" w:sz="0" w:space="0" w:color="auto"/>
        <w:right w:val="none" w:sz="0" w:space="0" w:color="auto"/>
      </w:divBdr>
      <w:divsChild>
        <w:div w:id="479931609">
          <w:marLeft w:val="0"/>
          <w:marRight w:val="0"/>
          <w:marTop w:val="0"/>
          <w:marBottom w:val="0"/>
          <w:divBdr>
            <w:top w:val="none" w:sz="0" w:space="0" w:color="auto"/>
            <w:left w:val="none" w:sz="0" w:space="0" w:color="auto"/>
            <w:bottom w:val="none" w:sz="0" w:space="0" w:color="auto"/>
            <w:right w:val="none" w:sz="0" w:space="0" w:color="auto"/>
          </w:divBdr>
        </w:div>
        <w:div w:id="1472867302">
          <w:marLeft w:val="0"/>
          <w:marRight w:val="0"/>
          <w:marTop w:val="0"/>
          <w:marBottom w:val="0"/>
          <w:divBdr>
            <w:top w:val="none" w:sz="0" w:space="0" w:color="auto"/>
            <w:left w:val="none" w:sz="0" w:space="0" w:color="auto"/>
            <w:bottom w:val="none" w:sz="0" w:space="0" w:color="auto"/>
            <w:right w:val="none" w:sz="0" w:space="0" w:color="auto"/>
          </w:divBdr>
        </w:div>
        <w:div w:id="2065137568">
          <w:marLeft w:val="0"/>
          <w:marRight w:val="0"/>
          <w:marTop w:val="0"/>
          <w:marBottom w:val="0"/>
          <w:divBdr>
            <w:top w:val="none" w:sz="0" w:space="0" w:color="auto"/>
            <w:left w:val="none" w:sz="0" w:space="0" w:color="auto"/>
            <w:bottom w:val="none" w:sz="0" w:space="0" w:color="auto"/>
            <w:right w:val="none" w:sz="0" w:space="0" w:color="auto"/>
          </w:divBdr>
        </w:div>
      </w:divsChild>
    </w:div>
    <w:div w:id="626664008">
      <w:bodyDiv w:val="1"/>
      <w:marLeft w:val="0"/>
      <w:marRight w:val="0"/>
      <w:marTop w:val="0"/>
      <w:marBottom w:val="0"/>
      <w:divBdr>
        <w:top w:val="none" w:sz="0" w:space="0" w:color="auto"/>
        <w:left w:val="none" w:sz="0" w:space="0" w:color="auto"/>
        <w:bottom w:val="none" w:sz="0" w:space="0" w:color="auto"/>
        <w:right w:val="none" w:sz="0" w:space="0" w:color="auto"/>
      </w:divBdr>
    </w:div>
    <w:div w:id="638606283">
      <w:bodyDiv w:val="1"/>
      <w:marLeft w:val="0"/>
      <w:marRight w:val="0"/>
      <w:marTop w:val="0"/>
      <w:marBottom w:val="0"/>
      <w:divBdr>
        <w:top w:val="none" w:sz="0" w:space="0" w:color="auto"/>
        <w:left w:val="none" w:sz="0" w:space="0" w:color="auto"/>
        <w:bottom w:val="none" w:sz="0" w:space="0" w:color="auto"/>
        <w:right w:val="none" w:sz="0" w:space="0" w:color="auto"/>
      </w:divBdr>
      <w:divsChild>
        <w:div w:id="241380852">
          <w:marLeft w:val="0"/>
          <w:marRight w:val="0"/>
          <w:marTop w:val="0"/>
          <w:marBottom w:val="0"/>
          <w:divBdr>
            <w:top w:val="none" w:sz="0" w:space="0" w:color="auto"/>
            <w:left w:val="none" w:sz="0" w:space="0" w:color="auto"/>
            <w:bottom w:val="none" w:sz="0" w:space="0" w:color="auto"/>
            <w:right w:val="none" w:sz="0" w:space="0" w:color="auto"/>
          </w:divBdr>
        </w:div>
        <w:div w:id="390427824">
          <w:marLeft w:val="0"/>
          <w:marRight w:val="0"/>
          <w:marTop w:val="0"/>
          <w:marBottom w:val="0"/>
          <w:divBdr>
            <w:top w:val="none" w:sz="0" w:space="0" w:color="auto"/>
            <w:left w:val="none" w:sz="0" w:space="0" w:color="auto"/>
            <w:bottom w:val="none" w:sz="0" w:space="0" w:color="auto"/>
            <w:right w:val="none" w:sz="0" w:space="0" w:color="auto"/>
          </w:divBdr>
        </w:div>
        <w:div w:id="1117795105">
          <w:marLeft w:val="0"/>
          <w:marRight w:val="0"/>
          <w:marTop w:val="0"/>
          <w:marBottom w:val="0"/>
          <w:divBdr>
            <w:top w:val="none" w:sz="0" w:space="0" w:color="auto"/>
            <w:left w:val="none" w:sz="0" w:space="0" w:color="auto"/>
            <w:bottom w:val="none" w:sz="0" w:space="0" w:color="auto"/>
            <w:right w:val="none" w:sz="0" w:space="0" w:color="auto"/>
          </w:divBdr>
        </w:div>
        <w:div w:id="1862015279">
          <w:marLeft w:val="0"/>
          <w:marRight w:val="0"/>
          <w:marTop w:val="0"/>
          <w:marBottom w:val="0"/>
          <w:divBdr>
            <w:top w:val="none" w:sz="0" w:space="0" w:color="auto"/>
            <w:left w:val="none" w:sz="0" w:space="0" w:color="auto"/>
            <w:bottom w:val="none" w:sz="0" w:space="0" w:color="auto"/>
            <w:right w:val="none" w:sz="0" w:space="0" w:color="auto"/>
          </w:divBdr>
        </w:div>
      </w:divsChild>
    </w:div>
    <w:div w:id="644894273">
      <w:bodyDiv w:val="1"/>
      <w:marLeft w:val="0"/>
      <w:marRight w:val="0"/>
      <w:marTop w:val="0"/>
      <w:marBottom w:val="0"/>
      <w:divBdr>
        <w:top w:val="none" w:sz="0" w:space="0" w:color="auto"/>
        <w:left w:val="none" w:sz="0" w:space="0" w:color="auto"/>
        <w:bottom w:val="none" w:sz="0" w:space="0" w:color="auto"/>
        <w:right w:val="none" w:sz="0" w:space="0" w:color="auto"/>
      </w:divBdr>
      <w:divsChild>
        <w:div w:id="578951522">
          <w:marLeft w:val="0"/>
          <w:marRight w:val="0"/>
          <w:marTop w:val="0"/>
          <w:marBottom w:val="0"/>
          <w:divBdr>
            <w:top w:val="none" w:sz="0" w:space="0" w:color="auto"/>
            <w:left w:val="none" w:sz="0" w:space="0" w:color="auto"/>
            <w:bottom w:val="none" w:sz="0" w:space="0" w:color="auto"/>
            <w:right w:val="none" w:sz="0" w:space="0" w:color="auto"/>
          </w:divBdr>
        </w:div>
        <w:div w:id="1289237659">
          <w:marLeft w:val="0"/>
          <w:marRight w:val="0"/>
          <w:marTop w:val="0"/>
          <w:marBottom w:val="0"/>
          <w:divBdr>
            <w:top w:val="none" w:sz="0" w:space="0" w:color="auto"/>
            <w:left w:val="none" w:sz="0" w:space="0" w:color="auto"/>
            <w:bottom w:val="none" w:sz="0" w:space="0" w:color="auto"/>
            <w:right w:val="none" w:sz="0" w:space="0" w:color="auto"/>
          </w:divBdr>
        </w:div>
      </w:divsChild>
    </w:div>
    <w:div w:id="650063529">
      <w:bodyDiv w:val="1"/>
      <w:marLeft w:val="0"/>
      <w:marRight w:val="0"/>
      <w:marTop w:val="0"/>
      <w:marBottom w:val="0"/>
      <w:divBdr>
        <w:top w:val="none" w:sz="0" w:space="0" w:color="auto"/>
        <w:left w:val="none" w:sz="0" w:space="0" w:color="auto"/>
        <w:bottom w:val="none" w:sz="0" w:space="0" w:color="auto"/>
        <w:right w:val="none" w:sz="0" w:space="0" w:color="auto"/>
      </w:divBdr>
      <w:divsChild>
        <w:div w:id="133182165">
          <w:marLeft w:val="0"/>
          <w:marRight w:val="0"/>
          <w:marTop w:val="0"/>
          <w:marBottom w:val="0"/>
          <w:divBdr>
            <w:top w:val="none" w:sz="0" w:space="0" w:color="auto"/>
            <w:left w:val="none" w:sz="0" w:space="0" w:color="auto"/>
            <w:bottom w:val="none" w:sz="0" w:space="0" w:color="auto"/>
            <w:right w:val="none" w:sz="0" w:space="0" w:color="auto"/>
          </w:divBdr>
          <w:divsChild>
            <w:div w:id="116414507">
              <w:marLeft w:val="0"/>
              <w:marRight w:val="0"/>
              <w:marTop w:val="0"/>
              <w:marBottom w:val="0"/>
              <w:divBdr>
                <w:top w:val="none" w:sz="0" w:space="0" w:color="auto"/>
                <w:left w:val="none" w:sz="0" w:space="0" w:color="auto"/>
                <w:bottom w:val="none" w:sz="0" w:space="0" w:color="auto"/>
                <w:right w:val="none" w:sz="0" w:space="0" w:color="auto"/>
              </w:divBdr>
            </w:div>
            <w:div w:id="177239015">
              <w:marLeft w:val="0"/>
              <w:marRight w:val="0"/>
              <w:marTop w:val="0"/>
              <w:marBottom w:val="0"/>
              <w:divBdr>
                <w:top w:val="none" w:sz="0" w:space="0" w:color="auto"/>
                <w:left w:val="none" w:sz="0" w:space="0" w:color="auto"/>
                <w:bottom w:val="none" w:sz="0" w:space="0" w:color="auto"/>
                <w:right w:val="none" w:sz="0" w:space="0" w:color="auto"/>
              </w:divBdr>
            </w:div>
            <w:div w:id="567689311">
              <w:marLeft w:val="0"/>
              <w:marRight w:val="0"/>
              <w:marTop w:val="0"/>
              <w:marBottom w:val="0"/>
              <w:divBdr>
                <w:top w:val="none" w:sz="0" w:space="0" w:color="auto"/>
                <w:left w:val="none" w:sz="0" w:space="0" w:color="auto"/>
                <w:bottom w:val="none" w:sz="0" w:space="0" w:color="auto"/>
                <w:right w:val="none" w:sz="0" w:space="0" w:color="auto"/>
              </w:divBdr>
            </w:div>
            <w:div w:id="203846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099985">
      <w:bodyDiv w:val="1"/>
      <w:marLeft w:val="0"/>
      <w:marRight w:val="0"/>
      <w:marTop w:val="0"/>
      <w:marBottom w:val="0"/>
      <w:divBdr>
        <w:top w:val="none" w:sz="0" w:space="0" w:color="auto"/>
        <w:left w:val="none" w:sz="0" w:space="0" w:color="auto"/>
        <w:bottom w:val="none" w:sz="0" w:space="0" w:color="auto"/>
        <w:right w:val="none" w:sz="0" w:space="0" w:color="auto"/>
      </w:divBdr>
    </w:div>
    <w:div w:id="657881975">
      <w:bodyDiv w:val="1"/>
      <w:marLeft w:val="0"/>
      <w:marRight w:val="0"/>
      <w:marTop w:val="0"/>
      <w:marBottom w:val="0"/>
      <w:divBdr>
        <w:top w:val="none" w:sz="0" w:space="0" w:color="auto"/>
        <w:left w:val="none" w:sz="0" w:space="0" w:color="auto"/>
        <w:bottom w:val="none" w:sz="0" w:space="0" w:color="auto"/>
        <w:right w:val="none" w:sz="0" w:space="0" w:color="auto"/>
      </w:divBdr>
      <w:divsChild>
        <w:div w:id="633830104">
          <w:marLeft w:val="0"/>
          <w:marRight w:val="0"/>
          <w:marTop w:val="0"/>
          <w:marBottom w:val="0"/>
          <w:divBdr>
            <w:top w:val="none" w:sz="0" w:space="0" w:color="auto"/>
            <w:left w:val="none" w:sz="0" w:space="0" w:color="auto"/>
            <w:bottom w:val="none" w:sz="0" w:space="0" w:color="auto"/>
            <w:right w:val="none" w:sz="0" w:space="0" w:color="auto"/>
          </w:divBdr>
        </w:div>
        <w:div w:id="940837312">
          <w:marLeft w:val="0"/>
          <w:marRight w:val="0"/>
          <w:marTop w:val="0"/>
          <w:marBottom w:val="0"/>
          <w:divBdr>
            <w:top w:val="none" w:sz="0" w:space="0" w:color="auto"/>
            <w:left w:val="none" w:sz="0" w:space="0" w:color="auto"/>
            <w:bottom w:val="none" w:sz="0" w:space="0" w:color="auto"/>
            <w:right w:val="none" w:sz="0" w:space="0" w:color="auto"/>
          </w:divBdr>
        </w:div>
        <w:div w:id="1387030311">
          <w:marLeft w:val="0"/>
          <w:marRight w:val="0"/>
          <w:marTop w:val="0"/>
          <w:marBottom w:val="0"/>
          <w:divBdr>
            <w:top w:val="none" w:sz="0" w:space="0" w:color="auto"/>
            <w:left w:val="none" w:sz="0" w:space="0" w:color="auto"/>
            <w:bottom w:val="none" w:sz="0" w:space="0" w:color="auto"/>
            <w:right w:val="none" w:sz="0" w:space="0" w:color="auto"/>
          </w:divBdr>
        </w:div>
        <w:div w:id="1505707531">
          <w:marLeft w:val="0"/>
          <w:marRight w:val="0"/>
          <w:marTop w:val="0"/>
          <w:marBottom w:val="0"/>
          <w:divBdr>
            <w:top w:val="none" w:sz="0" w:space="0" w:color="auto"/>
            <w:left w:val="none" w:sz="0" w:space="0" w:color="auto"/>
            <w:bottom w:val="none" w:sz="0" w:space="0" w:color="auto"/>
            <w:right w:val="none" w:sz="0" w:space="0" w:color="auto"/>
          </w:divBdr>
        </w:div>
      </w:divsChild>
    </w:div>
    <w:div w:id="669336971">
      <w:bodyDiv w:val="1"/>
      <w:marLeft w:val="0"/>
      <w:marRight w:val="0"/>
      <w:marTop w:val="0"/>
      <w:marBottom w:val="0"/>
      <w:divBdr>
        <w:top w:val="none" w:sz="0" w:space="0" w:color="auto"/>
        <w:left w:val="none" w:sz="0" w:space="0" w:color="auto"/>
        <w:bottom w:val="none" w:sz="0" w:space="0" w:color="auto"/>
        <w:right w:val="none" w:sz="0" w:space="0" w:color="auto"/>
      </w:divBdr>
      <w:divsChild>
        <w:div w:id="471095305">
          <w:marLeft w:val="0"/>
          <w:marRight w:val="0"/>
          <w:marTop w:val="0"/>
          <w:marBottom w:val="0"/>
          <w:divBdr>
            <w:top w:val="none" w:sz="0" w:space="0" w:color="auto"/>
            <w:left w:val="none" w:sz="0" w:space="0" w:color="auto"/>
            <w:bottom w:val="none" w:sz="0" w:space="0" w:color="auto"/>
            <w:right w:val="none" w:sz="0" w:space="0" w:color="auto"/>
          </w:divBdr>
          <w:divsChild>
            <w:div w:id="73355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723196">
      <w:bodyDiv w:val="1"/>
      <w:marLeft w:val="0"/>
      <w:marRight w:val="0"/>
      <w:marTop w:val="0"/>
      <w:marBottom w:val="0"/>
      <w:divBdr>
        <w:top w:val="none" w:sz="0" w:space="0" w:color="auto"/>
        <w:left w:val="none" w:sz="0" w:space="0" w:color="auto"/>
        <w:bottom w:val="none" w:sz="0" w:space="0" w:color="auto"/>
        <w:right w:val="none" w:sz="0" w:space="0" w:color="auto"/>
      </w:divBdr>
      <w:divsChild>
        <w:div w:id="588855945">
          <w:marLeft w:val="0"/>
          <w:marRight w:val="0"/>
          <w:marTop w:val="0"/>
          <w:marBottom w:val="0"/>
          <w:divBdr>
            <w:top w:val="none" w:sz="0" w:space="0" w:color="auto"/>
            <w:left w:val="none" w:sz="0" w:space="0" w:color="auto"/>
            <w:bottom w:val="none" w:sz="0" w:space="0" w:color="auto"/>
            <w:right w:val="none" w:sz="0" w:space="0" w:color="auto"/>
          </w:divBdr>
          <w:divsChild>
            <w:div w:id="90708331">
              <w:marLeft w:val="0"/>
              <w:marRight w:val="0"/>
              <w:marTop w:val="0"/>
              <w:marBottom w:val="0"/>
              <w:divBdr>
                <w:top w:val="none" w:sz="0" w:space="0" w:color="auto"/>
                <w:left w:val="none" w:sz="0" w:space="0" w:color="auto"/>
                <w:bottom w:val="none" w:sz="0" w:space="0" w:color="auto"/>
                <w:right w:val="none" w:sz="0" w:space="0" w:color="auto"/>
              </w:divBdr>
            </w:div>
            <w:div w:id="326831476">
              <w:marLeft w:val="0"/>
              <w:marRight w:val="0"/>
              <w:marTop w:val="0"/>
              <w:marBottom w:val="0"/>
              <w:divBdr>
                <w:top w:val="none" w:sz="0" w:space="0" w:color="auto"/>
                <w:left w:val="none" w:sz="0" w:space="0" w:color="auto"/>
                <w:bottom w:val="none" w:sz="0" w:space="0" w:color="auto"/>
                <w:right w:val="none" w:sz="0" w:space="0" w:color="auto"/>
              </w:divBdr>
            </w:div>
            <w:div w:id="817261781">
              <w:marLeft w:val="0"/>
              <w:marRight w:val="0"/>
              <w:marTop w:val="0"/>
              <w:marBottom w:val="0"/>
              <w:divBdr>
                <w:top w:val="none" w:sz="0" w:space="0" w:color="auto"/>
                <w:left w:val="none" w:sz="0" w:space="0" w:color="auto"/>
                <w:bottom w:val="none" w:sz="0" w:space="0" w:color="auto"/>
                <w:right w:val="none" w:sz="0" w:space="0" w:color="auto"/>
              </w:divBdr>
            </w:div>
            <w:div w:id="1003510021">
              <w:marLeft w:val="0"/>
              <w:marRight w:val="0"/>
              <w:marTop w:val="0"/>
              <w:marBottom w:val="0"/>
              <w:divBdr>
                <w:top w:val="none" w:sz="0" w:space="0" w:color="auto"/>
                <w:left w:val="none" w:sz="0" w:space="0" w:color="auto"/>
                <w:bottom w:val="none" w:sz="0" w:space="0" w:color="auto"/>
                <w:right w:val="none" w:sz="0" w:space="0" w:color="auto"/>
              </w:divBdr>
            </w:div>
            <w:div w:id="1065838728">
              <w:marLeft w:val="0"/>
              <w:marRight w:val="0"/>
              <w:marTop w:val="0"/>
              <w:marBottom w:val="0"/>
              <w:divBdr>
                <w:top w:val="none" w:sz="0" w:space="0" w:color="auto"/>
                <w:left w:val="none" w:sz="0" w:space="0" w:color="auto"/>
                <w:bottom w:val="none" w:sz="0" w:space="0" w:color="auto"/>
                <w:right w:val="none" w:sz="0" w:space="0" w:color="auto"/>
              </w:divBdr>
            </w:div>
            <w:div w:id="1366250071">
              <w:marLeft w:val="0"/>
              <w:marRight w:val="0"/>
              <w:marTop w:val="0"/>
              <w:marBottom w:val="0"/>
              <w:divBdr>
                <w:top w:val="none" w:sz="0" w:space="0" w:color="auto"/>
                <w:left w:val="none" w:sz="0" w:space="0" w:color="auto"/>
                <w:bottom w:val="none" w:sz="0" w:space="0" w:color="auto"/>
                <w:right w:val="none" w:sz="0" w:space="0" w:color="auto"/>
              </w:divBdr>
            </w:div>
            <w:div w:id="1485580915">
              <w:marLeft w:val="0"/>
              <w:marRight w:val="0"/>
              <w:marTop w:val="0"/>
              <w:marBottom w:val="0"/>
              <w:divBdr>
                <w:top w:val="none" w:sz="0" w:space="0" w:color="auto"/>
                <w:left w:val="none" w:sz="0" w:space="0" w:color="auto"/>
                <w:bottom w:val="none" w:sz="0" w:space="0" w:color="auto"/>
                <w:right w:val="none" w:sz="0" w:space="0" w:color="auto"/>
              </w:divBdr>
            </w:div>
            <w:div w:id="1956523820">
              <w:marLeft w:val="0"/>
              <w:marRight w:val="0"/>
              <w:marTop w:val="0"/>
              <w:marBottom w:val="0"/>
              <w:divBdr>
                <w:top w:val="none" w:sz="0" w:space="0" w:color="auto"/>
                <w:left w:val="none" w:sz="0" w:space="0" w:color="auto"/>
                <w:bottom w:val="none" w:sz="0" w:space="0" w:color="auto"/>
                <w:right w:val="none" w:sz="0" w:space="0" w:color="auto"/>
              </w:divBdr>
            </w:div>
            <w:div w:id="1974410769">
              <w:marLeft w:val="0"/>
              <w:marRight w:val="0"/>
              <w:marTop w:val="0"/>
              <w:marBottom w:val="0"/>
              <w:divBdr>
                <w:top w:val="none" w:sz="0" w:space="0" w:color="auto"/>
                <w:left w:val="none" w:sz="0" w:space="0" w:color="auto"/>
                <w:bottom w:val="none" w:sz="0" w:space="0" w:color="auto"/>
                <w:right w:val="none" w:sz="0" w:space="0" w:color="auto"/>
              </w:divBdr>
            </w:div>
          </w:divsChild>
        </w:div>
        <w:div w:id="2007975400">
          <w:marLeft w:val="0"/>
          <w:marRight w:val="0"/>
          <w:marTop w:val="0"/>
          <w:marBottom w:val="0"/>
          <w:divBdr>
            <w:top w:val="none" w:sz="0" w:space="0" w:color="auto"/>
            <w:left w:val="none" w:sz="0" w:space="0" w:color="auto"/>
            <w:bottom w:val="none" w:sz="0" w:space="0" w:color="auto"/>
            <w:right w:val="none" w:sz="0" w:space="0" w:color="auto"/>
          </w:divBdr>
          <w:divsChild>
            <w:div w:id="433522541">
              <w:marLeft w:val="0"/>
              <w:marRight w:val="0"/>
              <w:marTop w:val="0"/>
              <w:marBottom w:val="0"/>
              <w:divBdr>
                <w:top w:val="none" w:sz="0" w:space="0" w:color="auto"/>
                <w:left w:val="none" w:sz="0" w:space="0" w:color="auto"/>
                <w:bottom w:val="none" w:sz="0" w:space="0" w:color="auto"/>
                <w:right w:val="none" w:sz="0" w:space="0" w:color="auto"/>
              </w:divBdr>
            </w:div>
            <w:div w:id="557016214">
              <w:marLeft w:val="0"/>
              <w:marRight w:val="0"/>
              <w:marTop w:val="0"/>
              <w:marBottom w:val="0"/>
              <w:divBdr>
                <w:top w:val="none" w:sz="0" w:space="0" w:color="auto"/>
                <w:left w:val="none" w:sz="0" w:space="0" w:color="auto"/>
                <w:bottom w:val="none" w:sz="0" w:space="0" w:color="auto"/>
                <w:right w:val="none" w:sz="0" w:space="0" w:color="auto"/>
              </w:divBdr>
            </w:div>
            <w:div w:id="1395592214">
              <w:marLeft w:val="0"/>
              <w:marRight w:val="0"/>
              <w:marTop w:val="0"/>
              <w:marBottom w:val="0"/>
              <w:divBdr>
                <w:top w:val="none" w:sz="0" w:space="0" w:color="auto"/>
                <w:left w:val="none" w:sz="0" w:space="0" w:color="auto"/>
                <w:bottom w:val="none" w:sz="0" w:space="0" w:color="auto"/>
                <w:right w:val="none" w:sz="0" w:space="0" w:color="auto"/>
              </w:divBdr>
            </w:div>
            <w:div w:id="1745759605">
              <w:marLeft w:val="0"/>
              <w:marRight w:val="0"/>
              <w:marTop w:val="0"/>
              <w:marBottom w:val="0"/>
              <w:divBdr>
                <w:top w:val="none" w:sz="0" w:space="0" w:color="auto"/>
                <w:left w:val="none" w:sz="0" w:space="0" w:color="auto"/>
                <w:bottom w:val="none" w:sz="0" w:space="0" w:color="auto"/>
                <w:right w:val="none" w:sz="0" w:space="0" w:color="auto"/>
              </w:divBdr>
            </w:div>
            <w:div w:id="1998071644">
              <w:marLeft w:val="0"/>
              <w:marRight w:val="0"/>
              <w:marTop w:val="0"/>
              <w:marBottom w:val="0"/>
              <w:divBdr>
                <w:top w:val="none" w:sz="0" w:space="0" w:color="auto"/>
                <w:left w:val="none" w:sz="0" w:space="0" w:color="auto"/>
                <w:bottom w:val="none" w:sz="0" w:space="0" w:color="auto"/>
                <w:right w:val="none" w:sz="0" w:space="0" w:color="auto"/>
              </w:divBdr>
            </w:div>
            <w:div w:id="205464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708992">
      <w:bodyDiv w:val="1"/>
      <w:marLeft w:val="0"/>
      <w:marRight w:val="0"/>
      <w:marTop w:val="0"/>
      <w:marBottom w:val="0"/>
      <w:divBdr>
        <w:top w:val="none" w:sz="0" w:space="0" w:color="auto"/>
        <w:left w:val="none" w:sz="0" w:space="0" w:color="auto"/>
        <w:bottom w:val="none" w:sz="0" w:space="0" w:color="auto"/>
        <w:right w:val="none" w:sz="0" w:space="0" w:color="auto"/>
      </w:divBdr>
    </w:div>
    <w:div w:id="684525461">
      <w:bodyDiv w:val="1"/>
      <w:marLeft w:val="0"/>
      <w:marRight w:val="0"/>
      <w:marTop w:val="0"/>
      <w:marBottom w:val="0"/>
      <w:divBdr>
        <w:top w:val="none" w:sz="0" w:space="0" w:color="auto"/>
        <w:left w:val="none" w:sz="0" w:space="0" w:color="auto"/>
        <w:bottom w:val="none" w:sz="0" w:space="0" w:color="auto"/>
        <w:right w:val="none" w:sz="0" w:space="0" w:color="auto"/>
      </w:divBdr>
    </w:div>
    <w:div w:id="715541501">
      <w:bodyDiv w:val="1"/>
      <w:marLeft w:val="0"/>
      <w:marRight w:val="0"/>
      <w:marTop w:val="0"/>
      <w:marBottom w:val="0"/>
      <w:divBdr>
        <w:top w:val="none" w:sz="0" w:space="0" w:color="auto"/>
        <w:left w:val="none" w:sz="0" w:space="0" w:color="auto"/>
        <w:bottom w:val="none" w:sz="0" w:space="0" w:color="auto"/>
        <w:right w:val="none" w:sz="0" w:space="0" w:color="auto"/>
      </w:divBdr>
      <w:divsChild>
        <w:div w:id="142280999">
          <w:marLeft w:val="0"/>
          <w:marRight w:val="0"/>
          <w:marTop w:val="0"/>
          <w:marBottom w:val="0"/>
          <w:divBdr>
            <w:top w:val="none" w:sz="0" w:space="0" w:color="auto"/>
            <w:left w:val="none" w:sz="0" w:space="0" w:color="auto"/>
            <w:bottom w:val="none" w:sz="0" w:space="0" w:color="auto"/>
            <w:right w:val="none" w:sz="0" w:space="0" w:color="auto"/>
          </w:divBdr>
        </w:div>
      </w:divsChild>
    </w:div>
    <w:div w:id="764423309">
      <w:bodyDiv w:val="1"/>
      <w:marLeft w:val="0"/>
      <w:marRight w:val="0"/>
      <w:marTop w:val="0"/>
      <w:marBottom w:val="0"/>
      <w:divBdr>
        <w:top w:val="none" w:sz="0" w:space="0" w:color="auto"/>
        <w:left w:val="none" w:sz="0" w:space="0" w:color="auto"/>
        <w:bottom w:val="none" w:sz="0" w:space="0" w:color="auto"/>
        <w:right w:val="none" w:sz="0" w:space="0" w:color="auto"/>
      </w:divBdr>
      <w:divsChild>
        <w:div w:id="330377664">
          <w:marLeft w:val="0"/>
          <w:marRight w:val="0"/>
          <w:marTop w:val="0"/>
          <w:marBottom w:val="0"/>
          <w:divBdr>
            <w:top w:val="none" w:sz="0" w:space="0" w:color="auto"/>
            <w:left w:val="none" w:sz="0" w:space="0" w:color="auto"/>
            <w:bottom w:val="none" w:sz="0" w:space="0" w:color="auto"/>
            <w:right w:val="none" w:sz="0" w:space="0" w:color="auto"/>
          </w:divBdr>
        </w:div>
        <w:div w:id="1557543120">
          <w:marLeft w:val="0"/>
          <w:marRight w:val="0"/>
          <w:marTop w:val="0"/>
          <w:marBottom w:val="0"/>
          <w:divBdr>
            <w:top w:val="none" w:sz="0" w:space="0" w:color="auto"/>
            <w:left w:val="none" w:sz="0" w:space="0" w:color="auto"/>
            <w:bottom w:val="none" w:sz="0" w:space="0" w:color="auto"/>
            <w:right w:val="none" w:sz="0" w:space="0" w:color="auto"/>
          </w:divBdr>
        </w:div>
      </w:divsChild>
    </w:div>
    <w:div w:id="771439854">
      <w:bodyDiv w:val="1"/>
      <w:marLeft w:val="0"/>
      <w:marRight w:val="0"/>
      <w:marTop w:val="0"/>
      <w:marBottom w:val="0"/>
      <w:divBdr>
        <w:top w:val="none" w:sz="0" w:space="0" w:color="auto"/>
        <w:left w:val="none" w:sz="0" w:space="0" w:color="auto"/>
        <w:bottom w:val="none" w:sz="0" w:space="0" w:color="auto"/>
        <w:right w:val="none" w:sz="0" w:space="0" w:color="auto"/>
      </w:divBdr>
      <w:divsChild>
        <w:div w:id="396439596">
          <w:marLeft w:val="0"/>
          <w:marRight w:val="0"/>
          <w:marTop w:val="0"/>
          <w:marBottom w:val="0"/>
          <w:divBdr>
            <w:top w:val="none" w:sz="0" w:space="0" w:color="auto"/>
            <w:left w:val="none" w:sz="0" w:space="0" w:color="auto"/>
            <w:bottom w:val="none" w:sz="0" w:space="0" w:color="auto"/>
            <w:right w:val="none" w:sz="0" w:space="0" w:color="auto"/>
          </w:divBdr>
        </w:div>
      </w:divsChild>
    </w:div>
    <w:div w:id="772625993">
      <w:bodyDiv w:val="1"/>
      <w:marLeft w:val="0"/>
      <w:marRight w:val="0"/>
      <w:marTop w:val="0"/>
      <w:marBottom w:val="0"/>
      <w:divBdr>
        <w:top w:val="none" w:sz="0" w:space="0" w:color="auto"/>
        <w:left w:val="none" w:sz="0" w:space="0" w:color="auto"/>
        <w:bottom w:val="none" w:sz="0" w:space="0" w:color="auto"/>
        <w:right w:val="none" w:sz="0" w:space="0" w:color="auto"/>
      </w:divBdr>
      <w:divsChild>
        <w:div w:id="1754084020">
          <w:marLeft w:val="0"/>
          <w:marRight w:val="0"/>
          <w:marTop w:val="0"/>
          <w:marBottom w:val="0"/>
          <w:divBdr>
            <w:top w:val="none" w:sz="0" w:space="0" w:color="auto"/>
            <w:left w:val="none" w:sz="0" w:space="0" w:color="auto"/>
            <w:bottom w:val="none" w:sz="0" w:space="0" w:color="auto"/>
            <w:right w:val="none" w:sz="0" w:space="0" w:color="auto"/>
          </w:divBdr>
        </w:div>
      </w:divsChild>
    </w:div>
    <w:div w:id="793795911">
      <w:bodyDiv w:val="1"/>
      <w:marLeft w:val="0"/>
      <w:marRight w:val="0"/>
      <w:marTop w:val="0"/>
      <w:marBottom w:val="0"/>
      <w:divBdr>
        <w:top w:val="none" w:sz="0" w:space="0" w:color="auto"/>
        <w:left w:val="none" w:sz="0" w:space="0" w:color="auto"/>
        <w:bottom w:val="none" w:sz="0" w:space="0" w:color="auto"/>
        <w:right w:val="none" w:sz="0" w:space="0" w:color="auto"/>
      </w:divBdr>
      <w:divsChild>
        <w:div w:id="816527889">
          <w:marLeft w:val="0"/>
          <w:marRight w:val="0"/>
          <w:marTop w:val="0"/>
          <w:marBottom w:val="0"/>
          <w:divBdr>
            <w:top w:val="none" w:sz="0" w:space="0" w:color="auto"/>
            <w:left w:val="none" w:sz="0" w:space="0" w:color="auto"/>
            <w:bottom w:val="none" w:sz="0" w:space="0" w:color="auto"/>
            <w:right w:val="none" w:sz="0" w:space="0" w:color="auto"/>
          </w:divBdr>
        </w:div>
        <w:div w:id="1003699424">
          <w:marLeft w:val="0"/>
          <w:marRight w:val="0"/>
          <w:marTop w:val="0"/>
          <w:marBottom w:val="0"/>
          <w:divBdr>
            <w:top w:val="none" w:sz="0" w:space="0" w:color="auto"/>
            <w:left w:val="none" w:sz="0" w:space="0" w:color="auto"/>
            <w:bottom w:val="none" w:sz="0" w:space="0" w:color="auto"/>
            <w:right w:val="none" w:sz="0" w:space="0" w:color="auto"/>
          </w:divBdr>
        </w:div>
        <w:div w:id="1887444278">
          <w:marLeft w:val="0"/>
          <w:marRight w:val="0"/>
          <w:marTop w:val="0"/>
          <w:marBottom w:val="0"/>
          <w:divBdr>
            <w:top w:val="none" w:sz="0" w:space="0" w:color="auto"/>
            <w:left w:val="none" w:sz="0" w:space="0" w:color="auto"/>
            <w:bottom w:val="none" w:sz="0" w:space="0" w:color="auto"/>
            <w:right w:val="none" w:sz="0" w:space="0" w:color="auto"/>
          </w:divBdr>
        </w:div>
      </w:divsChild>
    </w:div>
    <w:div w:id="807675060">
      <w:bodyDiv w:val="1"/>
      <w:marLeft w:val="0"/>
      <w:marRight w:val="0"/>
      <w:marTop w:val="0"/>
      <w:marBottom w:val="0"/>
      <w:divBdr>
        <w:top w:val="none" w:sz="0" w:space="0" w:color="auto"/>
        <w:left w:val="none" w:sz="0" w:space="0" w:color="auto"/>
        <w:bottom w:val="none" w:sz="0" w:space="0" w:color="auto"/>
        <w:right w:val="none" w:sz="0" w:space="0" w:color="auto"/>
      </w:divBdr>
      <w:divsChild>
        <w:div w:id="704215960">
          <w:marLeft w:val="0"/>
          <w:marRight w:val="0"/>
          <w:marTop w:val="0"/>
          <w:marBottom w:val="0"/>
          <w:divBdr>
            <w:top w:val="none" w:sz="0" w:space="0" w:color="auto"/>
            <w:left w:val="none" w:sz="0" w:space="0" w:color="auto"/>
            <w:bottom w:val="none" w:sz="0" w:space="0" w:color="auto"/>
            <w:right w:val="none" w:sz="0" w:space="0" w:color="auto"/>
          </w:divBdr>
        </w:div>
        <w:div w:id="2101871654">
          <w:marLeft w:val="0"/>
          <w:marRight w:val="0"/>
          <w:marTop w:val="0"/>
          <w:marBottom w:val="0"/>
          <w:divBdr>
            <w:top w:val="none" w:sz="0" w:space="0" w:color="auto"/>
            <w:left w:val="none" w:sz="0" w:space="0" w:color="auto"/>
            <w:bottom w:val="none" w:sz="0" w:space="0" w:color="auto"/>
            <w:right w:val="none" w:sz="0" w:space="0" w:color="auto"/>
          </w:divBdr>
        </w:div>
      </w:divsChild>
    </w:div>
    <w:div w:id="825975750">
      <w:bodyDiv w:val="1"/>
      <w:marLeft w:val="0"/>
      <w:marRight w:val="0"/>
      <w:marTop w:val="0"/>
      <w:marBottom w:val="0"/>
      <w:divBdr>
        <w:top w:val="none" w:sz="0" w:space="0" w:color="auto"/>
        <w:left w:val="none" w:sz="0" w:space="0" w:color="auto"/>
        <w:bottom w:val="none" w:sz="0" w:space="0" w:color="auto"/>
        <w:right w:val="none" w:sz="0" w:space="0" w:color="auto"/>
      </w:divBdr>
      <w:divsChild>
        <w:div w:id="827481836">
          <w:marLeft w:val="0"/>
          <w:marRight w:val="0"/>
          <w:marTop w:val="0"/>
          <w:marBottom w:val="0"/>
          <w:divBdr>
            <w:top w:val="none" w:sz="0" w:space="0" w:color="auto"/>
            <w:left w:val="none" w:sz="0" w:space="0" w:color="auto"/>
            <w:bottom w:val="none" w:sz="0" w:space="0" w:color="auto"/>
            <w:right w:val="none" w:sz="0" w:space="0" w:color="auto"/>
          </w:divBdr>
        </w:div>
        <w:div w:id="1296372869">
          <w:marLeft w:val="0"/>
          <w:marRight w:val="0"/>
          <w:marTop w:val="0"/>
          <w:marBottom w:val="0"/>
          <w:divBdr>
            <w:top w:val="none" w:sz="0" w:space="0" w:color="auto"/>
            <w:left w:val="none" w:sz="0" w:space="0" w:color="auto"/>
            <w:bottom w:val="none" w:sz="0" w:space="0" w:color="auto"/>
            <w:right w:val="none" w:sz="0" w:space="0" w:color="auto"/>
          </w:divBdr>
        </w:div>
      </w:divsChild>
    </w:div>
    <w:div w:id="831718499">
      <w:bodyDiv w:val="1"/>
      <w:marLeft w:val="0"/>
      <w:marRight w:val="0"/>
      <w:marTop w:val="0"/>
      <w:marBottom w:val="0"/>
      <w:divBdr>
        <w:top w:val="none" w:sz="0" w:space="0" w:color="auto"/>
        <w:left w:val="none" w:sz="0" w:space="0" w:color="auto"/>
        <w:bottom w:val="none" w:sz="0" w:space="0" w:color="auto"/>
        <w:right w:val="none" w:sz="0" w:space="0" w:color="auto"/>
      </w:divBdr>
      <w:divsChild>
        <w:div w:id="610940861">
          <w:marLeft w:val="0"/>
          <w:marRight w:val="0"/>
          <w:marTop w:val="0"/>
          <w:marBottom w:val="0"/>
          <w:divBdr>
            <w:top w:val="none" w:sz="0" w:space="0" w:color="auto"/>
            <w:left w:val="none" w:sz="0" w:space="0" w:color="auto"/>
            <w:bottom w:val="none" w:sz="0" w:space="0" w:color="auto"/>
            <w:right w:val="none" w:sz="0" w:space="0" w:color="auto"/>
          </w:divBdr>
          <w:divsChild>
            <w:div w:id="34158214">
              <w:marLeft w:val="0"/>
              <w:marRight w:val="0"/>
              <w:marTop w:val="0"/>
              <w:marBottom w:val="0"/>
              <w:divBdr>
                <w:top w:val="none" w:sz="0" w:space="0" w:color="auto"/>
                <w:left w:val="none" w:sz="0" w:space="0" w:color="auto"/>
                <w:bottom w:val="none" w:sz="0" w:space="0" w:color="auto"/>
                <w:right w:val="none" w:sz="0" w:space="0" w:color="auto"/>
              </w:divBdr>
            </w:div>
            <w:div w:id="1001472904">
              <w:marLeft w:val="0"/>
              <w:marRight w:val="0"/>
              <w:marTop w:val="0"/>
              <w:marBottom w:val="0"/>
              <w:divBdr>
                <w:top w:val="none" w:sz="0" w:space="0" w:color="auto"/>
                <w:left w:val="none" w:sz="0" w:space="0" w:color="auto"/>
                <w:bottom w:val="none" w:sz="0" w:space="0" w:color="auto"/>
                <w:right w:val="none" w:sz="0" w:space="0" w:color="auto"/>
              </w:divBdr>
            </w:div>
            <w:div w:id="1510485515">
              <w:marLeft w:val="0"/>
              <w:marRight w:val="0"/>
              <w:marTop w:val="0"/>
              <w:marBottom w:val="0"/>
              <w:divBdr>
                <w:top w:val="none" w:sz="0" w:space="0" w:color="auto"/>
                <w:left w:val="none" w:sz="0" w:space="0" w:color="auto"/>
                <w:bottom w:val="none" w:sz="0" w:space="0" w:color="auto"/>
                <w:right w:val="none" w:sz="0" w:space="0" w:color="auto"/>
              </w:divBdr>
            </w:div>
            <w:div w:id="1797291648">
              <w:marLeft w:val="0"/>
              <w:marRight w:val="0"/>
              <w:marTop w:val="0"/>
              <w:marBottom w:val="0"/>
              <w:divBdr>
                <w:top w:val="none" w:sz="0" w:space="0" w:color="auto"/>
                <w:left w:val="none" w:sz="0" w:space="0" w:color="auto"/>
                <w:bottom w:val="none" w:sz="0" w:space="0" w:color="auto"/>
                <w:right w:val="none" w:sz="0" w:space="0" w:color="auto"/>
              </w:divBdr>
            </w:div>
          </w:divsChild>
        </w:div>
        <w:div w:id="789321787">
          <w:marLeft w:val="0"/>
          <w:marRight w:val="0"/>
          <w:marTop w:val="0"/>
          <w:marBottom w:val="0"/>
          <w:divBdr>
            <w:top w:val="none" w:sz="0" w:space="0" w:color="auto"/>
            <w:left w:val="none" w:sz="0" w:space="0" w:color="auto"/>
            <w:bottom w:val="none" w:sz="0" w:space="0" w:color="auto"/>
            <w:right w:val="none" w:sz="0" w:space="0" w:color="auto"/>
          </w:divBdr>
        </w:div>
        <w:div w:id="1663042431">
          <w:marLeft w:val="0"/>
          <w:marRight w:val="0"/>
          <w:marTop w:val="0"/>
          <w:marBottom w:val="0"/>
          <w:divBdr>
            <w:top w:val="none" w:sz="0" w:space="0" w:color="auto"/>
            <w:left w:val="none" w:sz="0" w:space="0" w:color="auto"/>
            <w:bottom w:val="none" w:sz="0" w:space="0" w:color="auto"/>
            <w:right w:val="none" w:sz="0" w:space="0" w:color="auto"/>
          </w:divBdr>
        </w:div>
      </w:divsChild>
    </w:div>
    <w:div w:id="836530481">
      <w:bodyDiv w:val="1"/>
      <w:marLeft w:val="0"/>
      <w:marRight w:val="0"/>
      <w:marTop w:val="0"/>
      <w:marBottom w:val="0"/>
      <w:divBdr>
        <w:top w:val="none" w:sz="0" w:space="0" w:color="auto"/>
        <w:left w:val="none" w:sz="0" w:space="0" w:color="auto"/>
        <w:bottom w:val="none" w:sz="0" w:space="0" w:color="auto"/>
        <w:right w:val="none" w:sz="0" w:space="0" w:color="auto"/>
      </w:divBdr>
      <w:divsChild>
        <w:div w:id="424888697">
          <w:marLeft w:val="0"/>
          <w:marRight w:val="0"/>
          <w:marTop w:val="0"/>
          <w:marBottom w:val="0"/>
          <w:divBdr>
            <w:top w:val="none" w:sz="0" w:space="0" w:color="auto"/>
            <w:left w:val="none" w:sz="0" w:space="0" w:color="auto"/>
            <w:bottom w:val="none" w:sz="0" w:space="0" w:color="auto"/>
            <w:right w:val="none" w:sz="0" w:space="0" w:color="auto"/>
          </w:divBdr>
        </w:div>
        <w:div w:id="663440555">
          <w:marLeft w:val="0"/>
          <w:marRight w:val="0"/>
          <w:marTop w:val="0"/>
          <w:marBottom w:val="0"/>
          <w:divBdr>
            <w:top w:val="none" w:sz="0" w:space="0" w:color="auto"/>
            <w:left w:val="none" w:sz="0" w:space="0" w:color="auto"/>
            <w:bottom w:val="none" w:sz="0" w:space="0" w:color="auto"/>
            <w:right w:val="none" w:sz="0" w:space="0" w:color="auto"/>
          </w:divBdr>
        </w:div>
        <w:div w:id="1468401118">
          <w:marLeft w:val="0"/>
          <w:marRight w:val="0"/>
          <w:marTop w:val="0"/>
          <w:marBottom w:val="0"/>
          <w:divBdr>
            <w:top w:val="none" w:sz="0" w:space="0" w:color="auto"/>
            <w:left w:val="none" w:sz="0" w:space="0" w:color="auto"/>
            <w:bottom w:val="none" w:sz="0" w:space="0" w:color="auto"/>
            <w:right w:val="none" w:sz="0" w:space="0" w:color="auto"/>
          </w:divBdr>
        </w:div>
        <w:div w:id="1681815811">
          <w:marLeft w:val="0"/>
          <w:marRight w:val="0"/>
          <w:marTop w:val="0"/>
          <w:marBottom w:val="0"/>
          <w:divBdr>
            <w:top w:val="none" w:sz="0" w:space="0" w:color="auto"/>
            <w:left w:val="none" w:sz="0" w:space="0" w:color="auto"/>
            <w:bottom w:val="none" w:sz="0" w:space="0" w:color="auto"/>
            <w:right w:val="none" w:sz="0" w:space="0" w:color="auto"/>
          </w:divBdr>
        </w:div>
        <w:div w:id="1818181115">
          <w:marLeft w:val="0"/>
          <w:marRight w:val="0"/>
          <w:marTop w:val="0"/>
          <w:marBottom w:val="0"/>
          <w:divBdr>
            <w:top w:val="none" w:sz="0" w:space="0" w:color="auto"/>
            <w:left w:val="none" w:sz="0" w:space="0" w:color="auto"/>
            <w:bottom w:val="none" w:sz="0" w:space="0" w:color="auto"/>
            <w:right w:val="none" w:sz="0" w:space="0" w:color="auto"/>
          </w:divBdr>
        </w:div>
        <w:div w:id="1915045371">
          <w:marLeft w:val="0"/>
          <w:marRight w:val="0"/>
          <w:marTop w:val="0"/>
          <w:marBottom w:val="0"/>
          <w:divBdr>
            <w:top w:val="none" w:sz="0" w:space="0" w:color="auto"/>
            <w:left w:val="none" w:sz="0" w:space="0" w:color="auto"/>
            <w:bottom w:val="none" w:sz="0" w:space="0" w:color="auto"/>
            <w:right w:val="none" w:sz="0" w:space="0" w:color="auto"/>
          </w:divBdr>
        </w:div>
      </w:divsChild>
    </w:div>
    <w:div w:id="840967698">
      <w:bodyDiv w:val="1"/>
      <w:marLeft w:val="0"/>
      <w:marRight w:val="0"/>
      <w:marTop w:val="0"/>
      <w:marBottom w:val="0"/>
      <w:divBdr>
        <w:top w:val="none" w:sz="0" w:space="0" w:color="auto"/>
        <w:left w:val="none" w:sz="0" w:space="0" w:color="auto"/>
        <w:bottom w:val="none" w:sz="0" w:space="0" w:color="auto"/>
        <w:right w:val="none" w:sz="0" w:space="0" w:color="auto"/>
      </w:divBdr>
      <w:divsChild>
        <w:div w:id="1497840952">
          <w:marLeft w:val="0"/>
          <w:marRight w:val="0"/>
          <w:marTop w:val="0"/>
          <w:marBottom w:val="0"/>
          <w:divBdr>
            <w:top w:val="none" w:sz="0" w:space="0" w:color="auto"/>
            <w:left w:val="none" w:sz="0" w:space="0" w:color="auto"/>
            <w:bottom w:val="none" w:sz="0" w:space="0" w:color="auto"/>
            <w:right w:val="none" w:sz="0" w:space="0" w:color="auto"/>
          </w:divBdr>
          <w:divsChild>
            <w:div w:id="481433074">
              <w:marLeft w:val="0"/>
              <w:marRight w:val="0"/>
              <w:marTop w:val="0"/>
              <w:marBottom w:val="0"/>
              <w:divBdr>
                <w:top w:val="none" w:sz="0" w:space="0" w:color="auto"/>
                <w:left w:val="none" w:sz="0" w:space="0" w:color="auto"/>
                <w:bottom w:val="none" w:sz="0" w:space="0" w:color="auto"/>
                <w:right w:val="none" w:sz="0" w:space="0" w:color="auto"/>
              </w:divBdr>
            </w:div>
            <w:div w:id="1251768181">
              <w:marLeft w:val="0"/>
              <w:marRight w:val="0"/>
              <w:marTop w:val="0"/>
              <w:marBottom w:val="0"/>
              <w:divBdr>
                <w:top w:val="none" w:sz="0" w:space="0" w:color="auto"/>
                <w:left w:val="none" w:sz="0" w:space="0" w:color="auto"/>
                <w:bottom w:val="none" w:sz="0" w:space="0" w:color="auto"/>
                <w:right w:val="none" w:sz="0" w:space="0" w:color="auto"/>
              </w:divBdr>
            </w:div>
            <w:div w:id="1649089179">
              <w:marLeft w:val="0"/>
              <w:marRight w:val="0"/>
              <w:marTop w:val="0"/>
              <w:marBottom w:val="0"/>
              <w:divBdr>
                <w:top w:val="none" w:sz="0" w:space="0" w:color="auto"/>
                <w:left w:val="none" w:sz="0" w:space="0" w:color="auto"/>
                <w:bottom w:val="none" w:sz="0" w:space="0" w:color="auto"/>
                <w:right w:val="none" w:sz="0" w:space="0" w:color="auto"/>
              </w:divBdr>
            </w:div>
            <w:div w:id="210233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684907">
      <w:bodyDiv w:val="1"/>
      <w:marLeft w:val="0"/>
      <w:marRight w:val="0"/>
      <w:marTop w:val="0"/>
      <w:marBottom w:val="0"/>
      <w:divBdr>
        <w:top w:val="none" w:sz="0" w:space="0" w:color="auto"/>
        <w:left w:val="none" w:sz="0" w:space="0" w:color="auto"/>
        <w:bottom w:val="none" w:sz="0" w:space="0" w:color="auto"/>
        <w:right w:val="none" w:sz="0" w:space="0" w:color="auto"/>
      </w:divBdr>
      <w:divsChild>
        <w:div w:id="897666960">
          <w:marLeft w:val="0"/>
          <w:marRight w:val="0"/>
          <w:marTop w:val="0"/>
          <w:marBottom w:val="0"/>
          <w:divBdr>
            <w:top w:val="none" w:sz="0" w:space="0" w:color="auto"/>
            <w:left w:val="none" w:sz="0" w:space="0" w:color="auto"/>
            <w:bottom w:val="none" w:sz="0" w:space="0" w:color="auto"/>
            <w:right w:val="none" w:sz="0" w:space="0" w:color="auto"/>
          </w:divBdr>
        </w:div>
        <w:div w:id="1426459303">
          <w:marLeft w:val="0"/>
          <w:marRight w:val="0"/>
          <w:marTop w:val="0"/>
          <w:marBottom w:val="0"/>
          <w:divBdr>
            <w:top w:val="none" w:sz="0" w:space="0" w:color="auto"/>
            <w:left w:val="none" w:sz="0" w:space="0" w:color="auto"/>
            <w:bottom w:val="none" w:sz="0" w:space="0" w:color="auto"/>
            <w:right w:val="none" w:sz="0" w:space="0" w:color="auto"/>
          </w:divBdr>
        </w:div>
      </w:divsChild>
    </w:div>
    <w:div w:id="959804361">
      <w:bodyDiv w:val="1"/>
      <w:marLeft w:val="0"/>
      <w:marRight w:val="0"/>
      <w:marTop w:val="0"/>
      <w:marBottom w:val="0"/>
      <w:divBdr>
        <w:top w:val="none" w:sz="0" w:space="0" w:color="auto"/>
        <w:left w:val="none" w:sz="0" w:space="0" w:color="auto"/>
        <w:bottom w:val="none" w:sz="0" w:space="0" w:color="auto"/>
        <w:right w:val="none" w:sz="0" w:space="0" w:color="auto"/>
      </w:divBdr>
    </w:div>
    <w:div w:id="959845918">
      <w:bodyDiv w:val="1"/>
      <w:marLeft w:val="0"/>
      <w:marRight w:val="0"/>
      <w:marTop w:val="0"/>
      <w:marBottom w:val="0"/>
      <w:divBdr>
        <w:top w:val="none" w:sz="0" w:space="0" w:color="auto"/>
        <w:left w:val="none" w:sz="0" w:space="0" w:color="auto"/>
        <w:bottom w:val="none" w:sz="0" w:space="0" w:color="auto"/>
        <w:right w:val="none" w:sz="0" w:space="0" w:color="auto"/>
      </w:divBdr>
      <w:divsChild>
        <w:div w:id="212086919">
          <w:marLeft w:val="0"/>
          <w:marRight w:val="0"/>
          <w:marTop w:val="0"/>
          <w:marBottom w:val="0"/>
          <w:divBdr>
            <w:top w:val="none" w:sz="0" w:space="0" w:color="auto"/>
            <w:left w:val="none" w:sz="0" w:space="0" w:color="auto"/>
            <w:bottom w:val="none" w:sz="0" w:space="0" w:color="auto"/>
            <w:right w:val="none" w:sz="0" w:space="0" w:color="auto"/>
          </w:divBdr>
        </w:div>
      </w:divsChild>
    </w:div>
    <w:div w:id="961230375">
      <w:bodyDiv w:val="1"/>
      <w:marLeft w:val="0"/>
      <w:marRight w:val="0"/>
      <w:marTop w:val="0"/>
      <w:marBottom w:val="0"/>
      <w:divBdr>
        <w:top w:val="none" w:sz="0" w:space="0" w:color="auto"/>
        <w:left w:val="none" w:sz="0" w:space="0" w:color="auto"/>
        <w:bottom w:val="none" w:sz="0" w:space="0" w:color="auto"/>
        <w:right w:val="none" w:sz="0" w:space="0" w:color="auto"/>
      </w:divBdr>
      <w:divsChild>
        <w:div w:id="143284450">
          <w:marLeft w:val="0"/>
          <w:marRight w:val="0"/>
          <w:marTop w:val="0"/>
          <w:marBottom w:val="0"/>
          <w:divBdr>
            <w:top w:val="none" w:sz="0" w:space="0" w:color="auto"/>
            <w:left w:val="none" w:sz="0" w:space="0" w:color="auto"/>
            <w:bottom w:val="none" w:sz="0" w:space="0" w:color="auto"/>
            <w:right w:val="none" w:sz="0" w:space="0" w:color="auto"/>
          </w:divBdr>
        </w:div>
        <w:div w:id="227423461">
          <w:marLeft w:val="0"/>
          <w:marRight w:val="0"/>
          <w:marTop w:val="0"/>
          <w:marBottom w:val="0"/>
          <w:divBdr>
            <w:top w:val="none" w:sz="0" w:space="0" w:color="auto"/>
            <w:left w:val="none" w:sz="0" w:space="0" w:color="auto"/>
            <w:bottom w:val="none" w:sz="0" w:space="0" w:color="auto"/>
            <w:right w:val="none" w:sz="0" w:space="0" w:color="auto"/>
          </w:divBdr>
          <w:divsChild>
            <w:div w:id="263614889">
              <w:marLeft w:val="0"/>
              <w:marRight w:val="0"/>
              <w:marTop w:val="0"/>
              <w:marBottom w:val="0"/>
              <w:divBdr>
                <w:top w:val="none" w:sz="0" w:space="0" w:color="auto"/>
                <w:left w:val="none" w:sz="0" w:space="0" w:color="auto"/>
                <w:bottom w:val="none" w:sz="0" w:space="0" w:color="auto"/>
                <w:right w:val="none" w:sz="0" w:space="0" w:color="auto"/>
              </w:divBdr>
            </w:div>
            <w:div w:id="461727471">
              <w:marLeft w:val="0"/>
              <w:marRight w:val="0"/>
              <w:marTop w:val="0"/>
              <w:marBottom w:val="0"/>
              <w:divBdr>
                <w:top w:val="none" w:sz="0" w:space="0" w:color="auto"/>
                <w:left w:val="none" w:sz="0" w:space="0" w:color="auto"/>
                <w:bottom w:val="none" w:sz="0" w:space="0" w:color="auto"/>
                <w:right w:val="none" w:sz="0" w:space="0" w:color="auto"/>
              </w:divBdr>
            </w:div>
            <w:div w:id="617295113">
              <w:marLeft w:val="0"/>
              <w:marRight w:val="0"/>
              <w:marTop w:val="0"/>
              <w:marBottom w:val="0"/>
              <w:divBdr>
                <w:top w:val="none" w:sz="0" w:space="0" w:color="auto"/>
                <w:left w:val="none" w:sz="0" w:space="0" w:color="auto"/>
                <w:bottom w:val="none" w:sz="0" w:space="0" w:color="auto"/>
                <w:right w:val="none" w:sz="0" w:space="0" w:color="auto"/>
              </w:divBdr>
            </w:div>
            <w:div w:id="1405445470">
              <w:marLeft w:val="0"/>
              <w:marRight w:val="0"/>
              <w:marTop w:val="0"/>
              <w:marBottom w:val="0"/>
              <w:divBdr>
                <w:top w:val="none" w:sz="0" w:space="0" w:color="auto"/>
                <w:left w:val="none" w:sz="0" w:space="0" w:color="auto"/>
                <w:bottom w:val="none" w:sz="0" w:space="0" w:color="auto"/>
                <w:right w:val="none" w:sz="0" w:space="0" w:color="auto"/>
              </w:divBdr>
            </w:div>
            <w:div w:id="1587036325">
              <w:marLeft w:val="0"/>
              <w:marRight w:val="0"/>
              <w:marTop w:val="0"/>
              <w:marBottom w:val="0"/>
              <w:divBdr>
                <w:top w:val="none" w:sz="0" w:space="0" w:color="auto"/>
                <w:left w:val="none" w:sz="0" w:space="0" w:color="auto"/>
                <w:bottom w:val="none" w:sz="0" w:space="0" w:color="auto"/>
                <w:right w:val="none" w:sz="0" w:space="0" w:color="auto"/>
              </w:divBdr>
            </w:div>
            <w:div w:id="1970352546">
              <w:marLeft w:val="0"/>
              <w:marRight w:val="0"/>
              <w:marTop w:val="0"/>
              <w:marBottom w:val="0"/>
              <w:divBdr>
                <w:top w:val="none" w:sz="0" w:space="0" w:color="auto"/>
                <w:left w:val="none" w:sz="0" w:space="0" w:color="auto"/>
                <w:bottom w:val="none" w:sz="0" w:space="0" w:color="auto"/>
                <w:right w:val="none" w:sz="0" w:space="0" w:color="auto"/>
              </w:divBdr>
            </w:div>
          </w:divsChild>
        </w:div>
        <w:div w:id="366176969">
          <w:marLeft w:val="0"/>
          <w:marRight w:val="0"/>
          <w:marTop w:val="0"/>
          <w:marBottom w:val="0"/>
          <w:divBdr>
            <w:top w:val="none" w:sz="0" w:space="0" w:color="auto"/>
            <w:left w:val="none" w:sz="0" w:space="0" w:color="auto"/>
            <w:bottom w:val="none" w:sz="0" w:space="0" w:color="auto"/>
            <w:right w:val="none" w:sz="0" w:space="0" w:color="auto"/>
          </w:divBdr>
        </w:div>
        <w:div w:id="1354262115">
          <w:marLeft w:val="0"/>
          <w:marRight w:val="0"/>
          <w:marTop w:val="0"/>
          <w:marBottom w:val="0"/>
          <w:divBdr>
            <w:top w:val="none" w:sz="0" w:space="0" w:color="auto"/>
            <w:left w:val="none" w:sz="0" w:space="0" w:color="auto"/>
            <w:bottom w:val="none" w:sz="0" w:space="0" w:color="auto"/>
            <w:right w:val="none" w:sz="0" w:space="0" w:color="auto"/>
          </w:divBdr>
        </w:div>
      </w:divsChild>
    </w:div>
    <w:div w:id="967668849">
      <w:bodyDiv w:val="1"/>
      <w:marLeft w:val="0"/>
      <w:marRight w:val="0"/>
      <w:marTop w:val="0"/>
      <w:marBottom w:val="0"/>
      <w:divBdr>
        <w:top w:val="none" w:sz="0" w:space="0" w:color="auto"/>
        <w:left w:val="none" w:sz="0" w:space="0" w:color="auto"/>
        <w:bottom w:val="none" w:sz="0" w:space="0" w:color="auto"/>
        <w:right w:val="none" w:sz="0" w:space="0" w:color="auto"/>
      </w:divBdr>
      <w:divsChild>
        <w:div w:id="1304198555">
          <w:marLeft w:val="0"/>
          <w:marRight w:val="0"/>
          <w:marTop w:val="0"/>
          <w:marBottom w:val="0"/>
          <w:divBdr>
            <w:top w:val="none" w:sz="0" w:space="0" w:color="auto"/>
            <w:left w:val="none" w:sz="0" w:space="0" w:color="auto"/>
            <w:bottom w:val="none" w:sz="0" w:space="0" w:color="auto"/>
            <w:right w:val="none" w:sz="0" w:space="0" w:color="auto"/>
          </w:divBdr>
        </w:div>
        <w:div w:id="1112092884">
          <w:marLeft w:val="0"/>
          <w:marRight w:val="0"/>
          <w:marTop w:val="0"/>
          <w:marBottom w:val="0"/>
          <w:divBdr>
            <w:top w:val="none" w:sz="0" w:space="0" w:color="auto"/>
            <w:left w:val="none" w:sz="0" w:space="0" w:color="auto"/>
            <w:bottom w:val="none" w:sz="0" w:space="0" w:color="auto"/>
            <w:right w:val="none" w:sz="0" w:space="0" w:color="auto"/>
          </w:divBdr>
        </w:div>
      </w:divsChild>
    </w:div>
    <w:div w:id="978681313">
      <w:bodyDiv w:val="1"/>
      <w:marLeft w:val="0"/>
      <w:marRight w:val="0"/>
      <w:marTop w:val="0"/>
      <w:marBottom w:val="0"/>
      <w:divBdr>
        <w:top w:val="none" w:sz="0" w:space="0" w:color="auto"/>
        <w:left w:val="none" w:sz="0" w:space="0" w:color="auto"/>
        <w:bottom w:val="none" w:sz="0" w:space="0" w:color="auto"/>
        <w:right w:val="none" w:sz="0" w:space="0" w:color="auto"/>
      </w:divBdr>
      <w:divsChild>
        <w:div w:id="1030187050">
          <w:marLeft w:val="0"/>
          <w:marRight w:val="0"/>
          <w:marTop w:val="0"/>
          <w:marBottom w:val="0"/>
          <w:divBdr>
            <w:top w:val="none" w:sz="0" w:space="0" w:color="auto"/>
            <w:left w:val="none" w:sz="0" w:space="0" w:color="auto"/>
            <w:bottom w:val="none" w:sz="0" w:space="0" w:color="auto"/>
            <w:right w:val="none" w:sz="0" w:space="0" w:color="auto"/>
          </w:divBdr>
          <w:divsChild>
            <w:div w:id="203935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0305220">
      <w:bodyDiv w:val="1"/>
      <w:marLeft w:val="0"/>
      <w:marRight w:val="0"/>
      <w:marTop w:val="0"/>
      <w:marBottom w:val="0"/>
      <w:divBdr>
        <w:top w:val="none" w:sz="0" w:space="0" w:color="auto"/>
        <w:left w:val="none" w:sz="0" w:space="0" w:color="auto"/>
        <w:bottom w:val="none" w:sz="0" w:space="0" w:color="auto"/>
        <w:right w:val="none" w:sz="0" w:space="0" w:color="auto"/>
      </w:divBdr>
      <w:divsChild>
        <w:div w:id="2134903508">
          <w:marLeft w:val="0"/>
          <w:marRight w:val="0"/>
          <w:marTop w:val="0"/>
          <w:marBottom w:val="0"/>
          <w:divBdr>
            <w:top w:val="none" w:sz="0" w:space="0" w:color="auto"/>
            <w:left w:val="none" w:sz="0" w:space="0" w:color="auto"/>
            <w:bottom w:val="none" w:sz="0" w:space="0" w:color="auto"/>
            <w:right w:val="none" w:sz="0" w:space="0" w:color="auto"/>
          </w:divBdr>
          <w:divsChild>
            <w:div w:id="2079135070">
              <w:marLeft w:val="0"/>
              <w:marRight w:val="0"/>
              <w:marTop w:val="0"/>
              <w:marBottom w:val="0"/>
              <w:divBdr>
                <w:top w:val="none" w:sz="0" w:space="0" w:color="auto"/>
                <w:left w:val="none" w:sz="0" w:space="0" w:color="auto"/>
                <w:bottom w:val="none" w:sz="0" w:space="0" w:color="auto"/>
                <w:right w:val="none" w:sz="0" w:space="0" w:color="auto"/>
              </w:divBdr>
            </w:div>
            <w:div w:id="993224013">
              <w:marLeft w:val="0"/>
              <w:marRight w:val="0"/>
              <w:marTop w:val="0"/>
              <w:marBottom w:val="0"/>
              <w:divBdr>
                <w:top w:val="none" w:sz="0" w:space="0" w:color="auto"/>
                <w:left w:val="none" w:sz="0" w:space="0" w:color="auto"/>
                <w:bottom w:val="none" w:sz="0" w:space="0" w:color="auto"/>
                <w:right w:val="none" w:sz="0" w:space="0" w:color="auto"/>
              </w:divBdr>
            </w:div>
            <w:div w:id="1321735097">
              <w:marLeft w:val="0"/>
              <w:marRight w:val="0"/>
              <w:marTop w:val="0"/>
              <w:marBottom w:val="0"/>
              <w:divBdr>
                <w:top w:val="none" w:sz="0" w:space="0" w:color="auto"/>
                <w:left w:val="none" w:sz="0" w:space="0" w:color="auto"/>
                <w:bottom w:val="none" w:sz="0" w:space="0" w:color="auto"/>
                <w:right w:val="none" w:sz="0" w:space="0" w:color="auto"/>
              </w:divBdr>
            </w:div>
            <w:div w:id="651719101">
              <w:marLeft w:val="0"/>
              <w:marRight w:val="0"/>
              <w:marTop w:val="0"/>
              <w:marBottom w:val="0"/>
              <w:divBdr>
                <w:top w:val="none" w:sz="0" w:space="0" w:color="auto"/>
                <w:left w:val="none" w:sz="0" w:space="0" w:color="auto"/>
                <w:bottom w:val="none" w:sz="0" w:space="0" w:color="auto"/>
                <w:right w:val="none" w:sz="0" w:space="0" w:color="auto"/>
              </w:divBdr>
            </w:div>
            <w:div w:id="81728976">
              <w:marLeft w:val="0"/>
              <w:marRight w:val="0"/>
              <w:marTop w:val="0"/>
              <w:marBottom w:val="0"/>
              <w:divBdr>
                <w:top w:val="none" w:sz="0" w:space="0" w:color="auto"/>
                <w:left w:val="none" w:sz="0" w:space="0" w:color="auto"/>
                <w:bottom w:val="none" w:sz="0" w:space="0" w:color="auto"/>
                <w:right w:val="none" w:sz="0" w:space="0" w:color="auto"/>
              </w:divBdr>
            </w:div>
            <w:div w:id="1288391922">
              <w:marLeft w:val="0"/>
              <w:marRight w:val="0"/>
              <w:marTop w:val="0"/>
              <w:marBottom w:val="0"/>
              <w:divBdr>
                <w:top w:val="none" w:sz="0" w:space="0" w:color="auto"/>
                <w:left w:val="none" w:sz="0" w:space="0" w:color="auto"/>
                <w:bottom w:val="none" w:sz="0" w:space="0" w:color="auto"/>
                <w:right w:val="none" w:sz="0" w:space="0" w:color="auto"/>
              </w:divBdr>
            </w:div>
            <w:div w:id="1918435883">
              <w:marLeft w:val="0"/>
              <w:marRight w:val="0"/>
              <w:marTop w:val="0"/>
              <w:marBottom w:val="0"/>
              <w:divBdr>
                <w:top w:val="none" w:sz="0" w:space="0" w:color="auto"/>
                <w:left w:val="none" w:sz="0" w:space="0" w:color="auto"/>
                <w:bottom w:val="none" w:sz="0" w:space="0" w:color="auto"/>
                <w:right w:val="none" w:sz="0" w:space="0" w:color="auto"/>
              </w:divBdr>
            </w:div>
            <w:div w:id="888690988">
              <w:marLeft w:val="0"/>
              <w:marRight w:val="0"/>
              <w:marTop w:val="0"/>
              <w:marBottom w:val="0"/>
              <w:divBdr>
                <w:top w:val="none" w:sz="0" w:space="0" w:color="auto"/>
                <w:left w:val="none" w:sz="0" w:space="0" w:color="auto"/>
                <w:bottom w:val="none" w:sz="0" w:space="0" w:color="auto"/>
                <w:right w:val="none" w:sz="0" w:space="0" w:color="auto"/>
              </w:divBdr>
            </w:div>
            <w:div w:id="400517827">
              <w:marLeft w:val="0"/>
              <w:marRight w:val="0"/>
              <w:marTop w:val="0"/>
              <w:marBottom w:val="0"/>
              <w:divBdr>
                <w:top w:val="none" w:sz="0" w:space="0" w:color="auto"/>
                <w:left w:val="none" w:sz="0" w:space="0" w:color="auto"/>
                <w:bottom w:val="none" w:sz="0" w:space="0" w:color="auto"/>
                <w:right w:val="none" w:sz="0" w:space="0" w:color="auto"/>
              </w:divBdr>
            </w:div>
            <w:div w:id="1515919121">
              <w:marLeft w:val="0"/>
              <w:marRight w:val="0"/>
              <w:marTop w:val="0"/>
              <w:marBottom w:val="0"/>
              <w:divBdr>
                <w:top w:val="none" w:sz="0" w:space="0" w:color="auto"/>
                <w:left w:val="none" w:sz="0" w:space="0" w:color="auto"/>
                <w:bottom w:val="none" w:sz="0" w:space="0" w:color="auto"/>
                <w:right w:val="none" w:sz="0" w:space="0" w:color="auto"/>
              </w:divBdr>
            </w:div>
          </w:divsChild>
        </w:div>
        <w:div w:id="59141239">
          <w:marLeft w:val="0"/>
          <w:marRight w:val="0"/>
          <w:marTop w:val="0"/>
          <w:marBottom w:val="0"/>
          <w:divBdr>
            <w:top w:val="none" w:sz="0" w:space="0" w:color="auto"/>
            <w:left w:val="none" w:sz="0" w:space="0" w:color="auto"/>
            <w:bottom w:val="none" w:sz="0" w:space="0" w:color="auto"/>
            <w:right w:val="none" w:sz="0" w:space="0" w:color="auto"/>
          </w:divBdr>
        </w:div>
      </w:divsChild>
    </w:div>
    <w:div w:id="996810801">
      <w:bodyDiv w:val="1"/>
      <w:marLeft w:val="0"/>
      <w:marRight w:val="0"/>
      <w:marTop w:val="0"/>
      <w:marBottom w:val="0"/>
      <w:divBdr>
        <w:top w:val="none" w:sz="0" w:space="0" w:color="auto"/>
        <w:left w:val="none" w:sz="0" w:space="0" w:color="auto"/>
        <w:bottom w:val="none" w:sz="0" w:space="0" w:color="auto"/>
        <w:right w:val="none" w:sz="0" w:space="0" w:color="auto"/>
      </w:divBdr>
      <w:divsChild>
        <w:div w:id="1153764554">
          <w:marLeft w:val="0"/>
          <w:marRight w:val="0"/>
          <w:marTop w:val="0"/>
          <w:marBottom w:val="0"/>
          <w:divBdr>
            <w:top w:val="none" w:sz="0" w:space="0" w:color="auto"/>
            <w:left w:val="none" w:sz="0" w:space="0" w:color="auto"/>
            <w:bottom w:val="none" w:sz="0" w:space="0" w:color="auto"/>
            <w:right w:val="none" w:sz="0" w:space="0" w:color="auto"/>
          </w:divBdr>
        </w:div>
        <w:div w:id="1285237081">
          <w:marLeft w:val="0"/>
          <w:marRight w:val="0"/>
          <w:marTop w:val="0"/>
          <w:marBottom w:val="0"/>
          <w:divBdr>
            <w:top w:val="none" w:sz="0" w:space="0" w:color="auto"/>
            <w:left w:val="none" w:sz="0" w:space="0" w:color="auto"/>
            <w:bottom w:val="none" w:sz="0" w:space="0" w:color="auto"/>
            <w:right w:val="none" w:sz="0" w:space="0" w:color="auto"/>
          </w:divBdr>
        </w:div>
      </w:divsChild>
    </w:div>
    <w:div w:id="1001544163">
      <w:bodyDiv w:val="1"/>
      <w:marLeft w:val="0"/>
      <w:marRight w:val="0"/>
      <w:marTop w:val="0"/>
      <w:marBottom w:val="0"/>
      <w:divBdr>
        <w:top w:val="none" w:sz="0" w:space="0" w:color="auto"/>
        <w:left w:val="none" w:sz="0" w:space="0" w:color="auto"/>
        <w:bottom w:val="none" w:sz="0" w:space="0" w:color="auto"/>
        <w:right w:val="none" w:sz="0" w:space="0" w:color="auto"/>
      </w:divBdr>
      <w:divsChild>
        <w:div w:id="68354333">
          <w:marLeft w:val="0"/>
          <w:marRight w:val="0"/>
          <w:marTop w:val="0"/>
          <w:marBottom w:val="0"/>
          <w:divBdr>
            <w:top w:val="none" w:sz="0" w:space="0" w:color="auto"/>
            <w:left w:val="none" w:sz="0" w:space="0" w:color="auto"/>
            <w:bottom w:val="none" w:sz="0" w:space="0" w:color="auto"/>
            <w:right w:val="none" w:sz="0" w:space="0" w:color="auto"/>
          </w:divBdr>
        </w:div>
        <w:div w:id="351956883">
          <w:marLeft w:val="0"/>
          <w:marRight w:val="0"/>
          <w:marTop w:val="0"/>
          <w:marBottom w:val="0"/>
          <w:divBdr>
            <w:top w:val="none" w:sz="0" w:space="0" w:color="auto"/>
            <w:left w:val="none" w:sz="0" w:space="0" w:color="auto"/>
            <w:bottom w:val="none" w:sz="0" w:space="0" w:color="auto"/>
            <w:right w:val="none" w:sz="0" w:space="0" w:color="auto"/>
          </w:divBdr>
        </w:div>
      </w:divsChild>
    </w:div>
    <w:div w:id="1016888025">
      <w:bodyDiv w:val="1"/>
      <w:marLeft w:val="0"/>
      <w:marRight w:val="0"/>
      <w:marTop w:val="0"/>
      <w:marBottom w:val="0"/>
      <w:divBdr>
        <w:top w:val="none" w:sz="0" w:space="0" w:color="auto"/>
        <w:left w:val="none" w:sz="0" w:space="0" w:color="auto"/>
        <w:bottom w:val="none" w:sz="0" w:space="0" w:color="auto"/>
        <w:right w:val="none" w:sz="0" w:space="0" w:color="auto"/>
      </w:divBdr>
      <w:divsChild>
        <w:div w:id="672956132">
          <w:marLeft w:val="0"/>
          <w:marRight w:val="0"/>
          <w:marTop w:val="0"/>
          <w:marBottom w:val="0"/>
          <w:divBdr>
            <w:top w:val="none" w:sz="0" w:space="0" w:color="auto"/>
            <w:left w:val="none" w:sz="0" w:space="0" w:color="auto"/>
            <w:bottom w:val="none" w:sz="0" w:space="0" w:color="auto"/>
            <w:right w:val="none" w:sz="0" w:space="0" w:color="auto"/>
          </w:divBdr>
          <w:divsChild>
            <w:div w:id="178737579">
              <w:marLeft w:val="0"/>
              <w:marRight w:val="0"/>
              <w:marTop w:val="0"/>
              <w:marBottom w:val="0"/>
              <w:divBdr>
                <w:top w:val="none" w:sz="0" w:space="0" w:color="auto"/>
                <w:left w:val="none" w:sz="0" w:space="0" w:color="auto"/>
                <w:bottom w:val="none" w:sz="0" w:space="0" w:color="auto"/>
                <w:right w:val="none" w:sz="0" w:space="0" w:color="auto"/>
              </w:divBdr>
            </w:div>
          </w:divsChild>
        </w:div>
        <w:div w:id="31467621">
          <w:marLeft w:val="0"/>
          <w:marRight w:val="0"/>
          <w:marTop w:val="0"/>
          <w:marBottom w:val="0"/>
          <w:divBdr>
            <w:top w:val="none" w:sz="0" w:space="0" w:color="auto"/>
            <w:left w:val="none" w:sz="0" w:space="0" w:color="auto"/>
            <w:bottom w:val="none" w:sz="0" w:space="0" w:color="auto"/>
            <w:right w:val="none" w:sz="0" w:space="0" w:color="auto"/>
          </w:divBdr>
          <w:divsChild>
            <w:div w:id="829365462">
              <w:marLeft w:val="0"/>
              <w:marRight w:val="0"/>
              <w:marTop w:val="0"/>
              <w:marBottom w:val="0"/>
              <w:divBdr>
                <w:top w:val="none" w:sz="0" w:space="0" w:color="auto"/>
                <w:left w:val="none" w:sz="0" w:space="0" w:color="auto"/>
                <w:bottom w:val="none" w:sz="0" w:space="0" w:color="auto"/>
                <w:right w:val="none" w:sz="0" w:space="0" w:color="auto"/>
              </w:divBdr>
            </w:div>
            <w:div w:id="112820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004465">
      <w:bodyDiv w:val="1"/>
      <w:marLeft w:val="0"/>
      <w:marRight w:val="0"/>
      <w:marTop w:val="0"/>
      <w:marBottom w:val="0"/>
      <w:divBdr>
        <w:top w:val="none" w:sz="0" w:space="0" w:color="auto"/>
        <w:left w:val="none" w:sz="0" w:space="0" w:color="auto"/>
        <w:bottom w:val="none" w:sz="0" w:space="0" w:color="auto"/>
        <w:right w:val="none" w:sz="0" w:space="0" w:color="auto"/>
      </w:divBdr>
      <w:divsChild>
        <w:div w:id="354583">
          <w:marLeft w:val="0"/>
          <w:marRight w:val="0"/>
          <w:marTop w:val="0"/>
          <w:marBottom w:val="0"/>
          <w:divBdr>
            <w:top w:val="none" w:sz="0" w:space="0" w:color="auto"/>
            <w:left w:val="none" w:sz="0" w:space="0" w:color="auto"/>
            <w:bottom w:val="none" w:sz="0" w:space="0" w:color="auto"/>
            <w:right w:val="none" w:sz="0" w:space="0" w:color="auto"/>
          </w:divBdr>
          <w:divsChild>
            <w:div w:id="14767984">
              <w:marLeft w:val="0"/>
              <w:marRight w:val="0"/>
              <w:marTop w:val="0"/>
              <w:marBottom w:val="0"/>
              <w:divBdr>
                <w:top w:val="none" w:sz="0" w:space="0" w:color="auto"/>
                <w:left w:val="none" w:sz="0" w:space="0" w:color="auto"/>
                <w:bottom w:val="none" w:sz="0" w:space="0" w:color="auto"/>
                <w:right w:val="none" w:sz="0" w:space="0" w:color="auto"/>
              </w:divBdr>
            </w:div>
            <w:div w:id="316300365">
              <w:marLeft w:val="0"/>
              <w:marRight w:val="0"/>
              <w:marTop w:val="0"/>
              <w:marBottom w:val="0"/>
              <w:divBdr>
                <w:top w:val="none" w:sz="0" w:space="0" w:color="auto"/>
                <w:left w:val="none" w:sz="0" w:space="0" w:color="auto"/>
                <w:bottom w:val="none" w:sz="0" w:space="0" w:color="auto"/>
                <w:right w:val="none" w:sz="0" w:space="0" w:color="auto"/>
              </w:divBdr>
            </w:div>
            <w:div w:id="347877709">
              <w:marLeft w:val="0"/>
              <w:marRight w:val="0"/>
              <w:marTop w:val="0"/>
              <w:marBottom w:val="0"/>
              <w:divBdr>
                <w:top w:val="none" w:sz="0" w:space="0" w:color="auto"/>
                <w:left w:val="none" w:sz="0" w:space="0" w:color="auto"/>
                <w:bottom w:val="none" w:sz="0" w:space="0" w:color="auto"/>
                <w:right w:val="none" w:sz="0" w:space="0" w:color="auto"/>
              </w:divBdr>
            </w:div>
            <w:div w:id="493569637">
              <w:marLeft w:val="0"/>
              <w:marRight w:val="0"/>
              <w:marTop w:val="0"/>
              <w:marBottom w:val="0"/>
              <w:divBdr>
                <w:top w:val="none" w:sz="0" w:space="0" w:color="auto"/>
                <w:left w:val="none" w:sz="0" w:space="0" w:color="auto"/>
                <w:bottom w:val="none" w:sz="0" w:space="0" w:color="auto"/>
                <w:right w:val="none" w:sz="0" w:space="0" w:color="auto"/>
              </w:divBdr>
            </w:div>
            <w:div w:id="580215338">
              <w:marLeft w:val="0"/>
              <w:marRight w:val="0"/>
              <w:marTop w:val="0"/>
              <w:marBottom w:val="0"/>
              <w:divBdr>
                <w:top w:val="none" w:sz="0" w:space="0" w:color="auto"/>
                <w:left w:val="none" w:sz="0" w:space="0" w:color="auto"/>
                <w:bottom w:val="none" w:sz="0" w:space="0" w:color="auto"/>
                <w:right w:val="none" w:sz="0" w:space="0" w:color="auto"/>
              </w:divBdr>
            </w:div>
            <w:div w:id="993342204">
              <w:marLeft w:val="0"/>
              <w:marRight w:val="0"/>
              <w:marTop w:val="0"/>
              <w:marBottom w:val="0"/>
              <w:divBdr>
                <w:top w:val="none" w:sz="0" w:space="0" w:color="auto"/>
                <w:left w:val="none" w:sz="0" w:space="0" w:color="auto"/>
                <w:bottom w:val="none" w:sz="0" w:space="0" w:color="auto"/>
                <w:right w:val="none" w:sz="0" w:space="0" w:color="auto"/>
              </w:divBdr>
            </w:div>
            <w:div w:id="1573808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967108">
      <w:bodyDiv w:val="1"/>
      <w:marLeft w:val="0"/>
      <w:marRight w:val="0"/>
      <w:marTop w:val="0"/>
      <w:marBottom w:val="0"/>
      <w:divBdr>
        <w:top w:val="none" w:sz="0" w:space="0" w:color="auto"/>
        <w:left w:val="none" w:sz="0" w:space="0" w:color="auto"/>
        <w:bottom w:val="none" w:sz="0" w:space="0" w:color="auto"/>
        <w:right w:val="none" w:sz="0" w:space="0" w:color="auto"/>
      </w:divBdr>
      <w:divsChild>
        <w:div w:id="70078556">
          <w:marLeft w:val="0"/>
          <w:marRight w:val="0"/>
          <w:marTop w:val="0"/>
          <w:marBottom w:val="0"/>
          <w:divBdr>
            <w:top w:val="none" w:sz="0" w:space="0" w:color="auto"/>
            <w:left w:val="none" w:sz="0" w:space="0" w:color="auto"/>
            <w:bottom w:val="none" w:sz="0" w:space="0" w:color="auto"/>
            <w:right w:val="none" w:sz="0" w:space="0" w:color="auto"/>
          </w:divBdr>
        </w:div>
        <w:div w:id="780343336">
          <w:marLeft w:val="0"/>
          <w:marRight w:val="0"/>
          <w:marTop w:val="0"/>
          <w:marBottom w:val="0"/>
          <w:divBdr>
            <w:top w:val="none" w:sz="0" w:space="0" w:color="auto"/>
            <w:left w:val="none" w:sz="0" w:space="0" w:color="auto"/>
            <w:bottom w:val="none" w:sz="0" w:space="0" w:color="auto"/>
            <w:right w:val="none" w:sz="0" w:space="0" w:color="auto"/>
          </w:divBdr>
        </w:div>
        <w:div w:id="1217935272">
          <w:marLeft w:val="0"/>
          <w:marRight w:val="0"/>
          <w:marTop w:val="0"/>
          <w:marBottom w:val="0"/>
          <w:divBdr>
            <w:top w:val="none" w:sz="0" w:space="0" w:color="auto"/>
            <w:left w:val="none" w:sz="0" w:space="0" w:color="auto"/>
            <w:bottom w:val="none" w:sz="0" w:space="0" w:color="auto"/>
            <w:right w:val="none" w:sz="0" w:space="0" w:color="auto"/>
          </w:divBdr>
        </w:div>
        <w:div w:id="2010794591">
          <w:marLeft w:val="0"/>
          <w:marRight w:val="0"/>
          <w:marTop w:val="0"/>
          <w:marBottom w:val="0"/>
          <w:divBdr>
            <w:top w:val="none" w:sz="0" w:space="0" w:color="auto"/>
            <w:left w:val="none" w:sz="0" w:space="0" w:color="auto"/>
            <w:bottom w:val="none" w:sz="0" w:space="0" w:color="auto"/>
            <w:right w:val="none" w:sz="0" w:space="0" w:color="auto"/>
          </w:divBdr>
        </w:div>
      </w:divsChild>
    </w:div>
    <w:div w:id="1039552205">
      <w:bodyDiv w:val="1"/>
      <w:marLeft w:val="0"/>
      <w:marRight w:val="0"/>
      <w:marTop w:val="0"/>
      <w:marBottom w:val="0"/>
      <w:divBdr>
        <w:top w:val="none" w:sz="0" w:space="0" w:color="auto"/>
        <w:left w:val="none" w:sz="0" w:space="0" w:color="auto"/>
        <w:bottom w:val="none" w:sz="0" w:space="0" w:color="auto"/>
        <w:right w:val="none" w:sz="0" w:space="0" w:color="auto"/>
      </w:divBdr>
      <w:divsChild>
        <w:div w:id="708651703">
          <w:marLeft w:val="0"/>
          <w:marRight w:val="0"/>
          <w:marTop w:val="0"/>
          <w:marBottom w:val="0"/>
          <w:divBdr>
            <w:top w:val="none" w:sz="0" w:space="0" w:color="auto"/>
            <w:left w:val="none" w:sz="0" w:space="0" w:color="auto"/>
            <w:bottom w:val="none" w:sz="0" w:space="0" w:color="auto"/>
            <w:right w:val="none" w:sz="0" w:space="0" w:color="auto"/>
          </w:divBdr>
        </w:div>
      </w:divsChild>
    </w:div>
    <w:div w:id="1071541339">
      <w:bodyDiv w:val="1"/>
      <w:marLeft w:val="0"/>
      <w:marRight w:val="0"/>
      <w:marTop w:val="0"/>
      <w:marBottom w:val="0"/>
      <w:divBdr>
        <w:top w:val="none" w:sz="0" w:space="0" w:color="auto"/>
        <w:left w:val="none" w:sz="0" w:space="0" w:color="auto"/>
        <w:bottom w:val="none" w:sz="0" w:space="0" w:color="auto"/>
        <w:right w:val="none" w:sz="0" w:space="0" w:color="auto"/>
      </w:divBdr>
      <w:divsChild>
        <w:div w:id="247814629">
          <w:marLeft w:val="0"/>
          <w:marRight w:val="0"/>
          <w:marTop w:val="0"/>
          <w:marBottom w:val="0"/>
          <w:divBdr>
            <w:top w:val="none" w:sz="0" w:space="0" w:color="auto"/>
            <w:left w:val="none" w:sz="0" w:space="0" w:color="auto"/>
            <w:bottom w:val="none" w:sz="0" w:space="0" w:color="auto"/>
            <w:right w:val="none" w:sz="0" w:space="0" w:color="auto"/>
          </w:divBdr>
        </w:div>
      </w:divsChild>
    </w:div>
    <w:div w:id="1091001902">
      <w:bodyDiv w:val="1"/>
      <w:marLeft w:val="0"/>
      <w:marRight w:val="0"/>
      <w:marTop w:val="0"/>
      <w:marBottom w:val="0"/>
      <w:divBdr>
        <w:top w:val="none" w:sz="0" w:space="0" w:color="auto"/>
        <w:left w:val="none" w:sz="0" w:space="0" w:color="auto"/>
        <w:bottom w:val="none" w:sz="0" w:space="0" w:color="auto"/>
        <w:right w:val="none" w:sz="0" w:space="0" w:color="auto"/>
      </w:divBdr>
      <w:divsChild>
        <w:div w:id="300428377">
          <w:marLeft w:val="0"/>
          <w:marRight w:val="0"/>
          <w:marTop w:val="0"/>
          <w:marBottom w:val="0"/>
          <w:divBdr>
            <w:top w:val="none" w:sz="0" w:space="0" w:color="auto"/>
            <w:left w:val="none" w:sz="0" w:space="0" w:color="auto"/>
            <w:bottom w:val="none" w:sz="0" w:space="0" w:color="auto"/>
            <w:right w:val="none" w:sz="0" w:space="0" w:color="auto"/>
          </w:divBdr>
          <w:divsChild>
            <w:div w:id="267932595">
              <w:marLeft w:val="0"/>
              <w:marRight w:val="0"/>
              <w:marTop w:val="0"/>
              <w:marBottom w:val="0"/>
              <w:divBdr>
                <w:top w:val="none" w:sz="0" w:space="0" w:color="auto"/>
                <w:left w:val="none" w:sz="0" w:space="0" w:color="auto"/>
                <w:bottom w:val="none" w:sz="0" w:space="0" w:color="auto"/>
                <w:right w:val="none" w:sz="0" w:space="0" w:color="auto"/>
              </w:divBdr>
            </w:div>
          </w:divsChild>
        </w:div>
        <w:div w:id="83041387">
          <w:marLeft w:val="0"/>
          <w:marRight w:val="0"/>
          <w:marTop w:val="0"/>
          <w:marBottom w:val="0"/>
          <w:divBdr>
            <w:top w:val="none" w:sz="0" w:space="0" w:color="auto"/>
            <w:left w:val="none" w:sz="0" w:space="0" w:color="auto"/>
            <w:bottom w:val="none" w:sz="0" w:space="0" w:color="auto"/>
            <w:right w:val="none" w:sz="0" w:space="0" w:color="auto"/>
          </w:divBdr>
          <w:divsChild>
            <w:div w:id="1549145431">
              <w:marLeft w:val="0"/>
              <w:marRight w:val="0"/>
              <w:marTop w:val="0"/>
              <w:marBottom w:val="0"/>
              <w:divBdr>
                <w:top w:val="none" w:sz="0" w:space="0" w:color="auto"/>
                <w:left w:val="none" w:sz="0" w:space="0" w:color="auto"/>
                <w:bottom w:val="none" w:sz="0" w:space="0" w:color="auto"/>
                <w:right w:val="none" w:sz="0" w:space="0" w:color="auto"/>
              </w:divBdr>
            </w:div>
            <w:div w:id="87565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728816">
      <w:bodyDiv w:val="1"/>
      <w:marLeft w:val="0"/>
      <w:marRight w:val="0"/>
      <w:marTop w:val="0"/>
      <w:marBottom w:val="0"/>
      <w:divBdr>
        <w:top w:val="none" w:sz="0" w:space="0" w:color="auto"/>
        <w:left w:val="none" w:sz="0" w:space="0" w:color="auto"/>
        <w:bottom w:val="none" w:sz="0" w:space="0" w:color="auto"/>
        <w:right w:val="none" w:sz="0" w:space="0" w:color="auto"/>
      </w:divBdr>
      <w:divsChild>
        <w:div w:id="1647976622">
          <w:marLeft w:val="0"/>
          <w:marRight w:val="0"/>
          <w:marTop w:val="0"/>
          <w:marBottom w:val="0"/>
          <w:divBdr>
            <w:top w:val="none" w:sz="0" w:space="0" w:color="auto"/>
            <w:left w:val="none" w:sz="0" w:space="0" w:color="auto"/>
            <w:bottom w:val="none" w:sz="0" w:space="0" w:color="auto"/>
            <w:right w:val="none" w:sz="0" w:space="0" w:color="auto"/>
          </w:divBdr>
          <w:divsChild>
            <w:div w:id="424691445">
              <w:marLeft w:val="0"/>
              <w:marRight w:val="0"/>
              <w:marTop w:val="0"/>
              <w:marBottom w:val="0"/>
              <w:divBdr>
                <w:top w:val="none" w:sz="0" w:space="0" w:color="auto"/>
                <w:left w:val="none" w:sz="0" w:space="0" w:color="auto"/>
                <w:bottom w:val="none" w:sz="0" w:space="0" w:color="auto"/>
                <w:right w:val="none" w:sz="0" w:space="0" w:color="auto"/>
              </w:divBdr>
            </w:div>
            <w:div w:id="824780974">
              <w:marLeft w:val="0"/>
              <w:marRight w:val="0"/>
              <w:marTop w:val="0"/>
              <w:marBottom w:val="0"/>
              <w:divBdr>
                <w:top w:val="none" w:sz="0" w:space="0" w:color="auto"/>
                <w:left w:val="none" w:sz="0" w:space="0" w:color="auto"/>
                <w:bottom w:val="none" w:sz="0" w:space="0" w:color="auto"/>
                <w:right w:val="none" w:sz="0" w:space="0" w:color="auto"/>
              </w:divBdr>
            </w:div>
            <w:div w:id="482547122">
              <w:marLeft w:val="0"/>
              <w:marRight w:val="0"/>
              <w:marTop w:val="0"/>
              <w:marBottom w:val="0"/>
              <w:divBdr>
                <w:top w:val="none" w:sz="0" w:space="0" w:color="auto"/>
                <w:left w:val="none" w:sz="0" w:space="0" w:color="auto"/>
                <w:bottom w:val="none" w:sz="0" w:space="0" w:color="auto"/>
                <w:right w:val="none" w:sz="0" w:space="0" w:color="auto"/>
              </w:divBdr>
            </w:div>
            <w:div w:id="1389497350">
              <w:marLeft w:val="0"/>
              <w:marRight w:val="0"/>
              <w:marTop w:val="0"/>
              <w:marBottom w:val="0"/>
              <w:divBdr>
                <w:top w:val="none" w:sz="0" w:space="0" w:color="auto"/>
                <w:left w:val="none" w:sz="0" w:space="0" w:color="auto"/>
                <w:bottom w:val="none" w:sz="0" w:space="0" w:color="auto"/>
                <w:right w:val="none" w:sz="0" w:space="0" w:color="auto"/>
              </w:divBdr>
            </w:div>
            <w:div w:id="1542399998">
              <w:marLeft w:val="0"/>
              <w:marRight w:val="0"/>
              <w:marTop w:val="0"/>
              <w:marBottom w:val="0"/>
              <w:divBdr>
                <w:top w:val="none" w:sz="0" w:space="0" w:color="auto"/>
                <w:left w:val="none" w:sz="0" w:space="0" w:color="auto"/>
                <w:bottom w:val="none" w:sz="0" w:space="0" w:color="auto"/>
                <w:right w:val="none" w:sz="0" w:space="0" w:color="auto"/>
              </w:divBdr>
            </w:div>
            <w:div w:id="1199507321">
              <w:marLeft w:val="0"/>
              <w:marRight w:val="0"/>
              <w:marTop w:val="0"/>
              <w:marBottom w:val="0"/>
              <w:divBdr>
                <w:top w:val="none" w:sz="0" w:space="0" w:color="auto"/>
                <w:left w:val="none" w:sz="0" w:space="0" w:color="auto"/>
                <w:bottom w:val="none" w:sz="0" w:space="0" w:color="auto"/>
                <w:right w:val="none" w:sz="0" w:space="0" w:color="auto"/>
              </w:divBdr>
            </w:div>
            <w:div w:id="631137850">
              <w:marLeft w:val="0"/>
              <w:marRight w:val="0"/>
              <w:marTop w:val="0"/>
              <w:marBottom w:val="0"/>
              <w:divBdr>
                <w:top w:val="none" w:sz="0" w:space="0" w:color="auto"/>
                <w:left w:val="none" w:sz="0" w:space="0" w:color="auto"/>
                <w:bottom w:val="none" w:sz="0" w:space="0" w:color="auto"/>
                <w:right w:val="none" w:sz="0" w:space="0" w:color="auto"/>
              </w:divBdr>
            </w:div>
            <w:div w:id="2001690666">
              <w:marLeft w:val="0"/>
              <w:marRight w:val="0"/>
              <w:marTop w:val="0"/>
              <w:marBottom w:val="0"/>
              <w:divBdr>
                <w:top w:val="none" w:sz="0" w:space="0" w:color="auto"/>
                <w:left w:val="none" w:sz="0" w:space="0" w:color="auto"/>
                <w:bottom w:val="none" w:sz="0" w:space="0" w:color="auto"/>
                <w:right w:val="none" w:sz="0" w:space="0" w:color="auto"/>
              </w:divBdr>
            </w:div>
            <w:div w:id="1123382732">
              <w:marLeft w:val="0"/>
              <w:marRight w:val="0"/>
              <w:marTop w:val="0"/>
              <w:marBottom w:val="0"/>
              <w:divBdr>
                <w:top w:val="none" w:sz="0" w:space="0" w:color="auto"/>
                <w:left w:val="none" w:sz="0" w:space="0" w:color="auto"/>
                <w:bottom w:val="none" w:sz="0" w:space="0" w:color="auto"/>
                <w:right w:val="none" w:sz="0" w:space="0" w:color="auto"/>
              </w:divBdr>
            </w:div>
            <w:div w:id="1185482891">
              <w:marLeft w:val="0"/>
              <w:marRight w:val="0"/>
              <w:marTop w:val="0"/>
              <w:marBottom w:val="0"/>
              <w:divBdr>
                <w:top w:val="none" w:sz="0" w:space="0" w:color="auto"/>
                <w:left w:val="none" w:sz="0" w:space="0" w:color="auto"/>
                <w:bottom w:val="none" w:sz="0" w:space="0" w:color="auto"/>
                <w:right w:val="none" w:sz="0" w:space="0" w:color="auto"/>
              </w:divBdr>
            </w:div>
            <w:div w:id="1427922096">
              <w:marLeft w:val="0"/>
              <w:marRight w:val="0"/>
              <w:marTop w:val="0"/>
              <w:marBottom w:val="0"/>
              <w:divBdr>
                <w:top w:val="none" w:sz="0" w:space="0" w:color="auto"/>
                <w:left w:val="none" w:sz="0" w:space="0" w:color="auto"/>
                <w:bottom w:val="none" w:sz="0" w:space="0" w:color="auto"/>
                <w:right w:val="none" w:sz="0" w:space="0" w:color="auto"/>
              </w:divBdr>
            </w:div>
            <w:div w:id="199710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826055">
      <w:bodyDiv w:val="1"/>
      <w:marLeft w:val="0"/>
      <w:marRight w:val="0"/>
      <w:marTop w:val="0"/>
      <w:marBottom w:val="0"/>
      <w:divBdr>
        <w:top w:val="none" w:sz="0" w:space="0" w:color="auto"/>
        <w:left w:val="none" w:sz="0" w:space="0" w:color="auto"/>
        <w:bottom w:val="none" w:sz="0" w:space="0" w:color="auto"/>
        <w:right w:val="none" w:sz="0" w:space="0" w:color="auto"/>
      </w:divBdr>
      <w:divsChild>
        <w:div w:id="316232338">
          <w:marLeft w:val="0"/>
          <w:marRight w:val="0"/>
          <w:marTop w:val="0"/>
          <w:marBottom w:val="0"/>
          <w:divBdr>
            <w:top w:val="none" w:sz="0" w:space="0" w:color="auto"/>
            <w:left w:val="none" w:sz="0" w:space="0" w:color="auto"/>
            <w:bottom w:val="none" w:sz="0" w:space="0" w:color="auto"/>
            <w:right w:val="none" w:sz="0" w:space="0" w:color="auto"/>
          </w:divBdr>
        </w:div>
      </w:divsChild>
    </w:div>
    <w:div w:id="1132595872">
      <w:bodyDiv w:val="1"/>
      <w:marLeft w:val="0"/>
      <w:marRight w:val="0"/>
      <w:marTop w:val="0"/>
      <w:marBottom w:val="0"/>
      <w:divBdr>
        <w:top w:val="none" w:sz="0" w:space="0" w:color="auto"/>
        <w:left w:val="none" w:sz="0" w:space="0" w:color="auto"/>
        <w:bottom w:val="none" w:sz="0" w:space="0" w:color="auto"/>
        <w:right w:val="none" w:sz="0" w:space="0" w:color="auto"/>
      </w:divBdr>
      <w:divsChild>
        <w:div w:id="1074737694">
          <w:marLeft w:val="0"/>
          <w:marRight w:val="0"/>
          <w:marTop w:val="0"/>
          <w:marBottom w:val="0"/>
          <w:divBdr>
            <w:top w:val="none" w:sz="0" w:space="0" w:color="auto"/>
            <w:left w:val="none" w:sz="0" w:space="0" w:color="auto"/>
            <w:bottom w:val="none" w:sz="0" w:space="0" w:color="auto"/>
            <w:right w:val="none" w:sz="0" w:space="0" w:color="auto"/>
          </w:divBdr>
        </w:div>
      </w:divsChild>
    </w:div>
    <w:div w:id="1139886590">
      <w:bodyDiv w:val="1"/>
      <w:marLeft w:val="0"/>
      <w:marRight w:val="0"/>
      <w:marTop w:val="0"/>
      <w:marBottom w:val="0"/>
      <w:divBdr>
        <w:top w:val="none" w:sz="0" w:space="0" w:color="auto"/>
        <w:left w:val="none" w:sz="0" w:space="0" w:color="auto"/>
        <w:bottom w:val="none" w:sz="0" w:space="0" w:color="auto"/>
        <w:right w:val="none" w:sz="0" w:space="0" w:color="auto"/>
      </w:divBdr>
      <w:divsChild>
        <w:div w:id="669454192">
          <w:marLeft w:val="0"/>
          <w:marRight w:val="0"/>
          <w:marTop w:val="0"/>
          <w:marBottom w:val="0"/>
          <w:divBdr>
            <w:top w:val="none" w:sz="0" w:space="0" w:color="auto"/>
            <w:left w:val="none" w:sz="0" w:space="0" w:color="auto"/>
            <w:bottom w:val="none" w:sz="0" w:space="0" w:color="auto"/>
            <w:right w:val="none" w:sz="0" w:space="0" w:color="auto"/>
          </w:divBdr>
        </w:div>
        <w:div w:id="1089699228">
          <w:marLeft w:val="0"/>
          <w:marRight w:val="0"/>
          <w:marTop w:val="0"/>
          <w:marBottom w:val="0"/>
          <w:divBdr>
            <w:top w:val="none" w:sz="0" w:space="0" w:color="auto"/>
            <w:left w:val="none" w:sz="0" w:space="0" w:color="auto"/>
            <w:bottom w:val="none" w:sz="0" w:space="0" w:color="auto"/>
            <w:right w:val="none" w:sz="0" w:space="0" w:color="auto"/>
          </w:divBdr>
        </w:div>
        <w:div w:id="1726903552">
          <w:marLeft w:val="0"/>
          <w:marRight w:val="0"/>
          <w:marTop w:val="0"/>
          <w:marBottom w:val="0"/>
          <w:divBdr>
            <w:top w:val="none" w:sz="0" w:space="0" w:color="auto"/>
            <w:left w:val="none" w:sz="0" w:space="0" w:color="auto"/>
            <w:bottom w:val="none" w:sz="0" w:space="0" w:color="auto"/>
            <w:right w:val="none" w:sz="0" w:space="0" w:color="auto"/>
          </w:divBdr>
        </w:div>
        <w:div w:id="499197530">
          <w:marLeft w:val="0"/>
          <w:marRight w:val="0"/>
          <w:marTop w:val="0"/>
          <w:marBottom w:val="0"/>
          <w:divBdr>
            <w:top w:val="none" w:sz="0" w:space="0" w:color="auto"/>
            <w:left w:val="none" w:sz="0" w:space="0" w:color="auto"/>
            <w:bottom w:val="none" w:sz="0" w:space="0" w:color="auto"/>
            <w:right w:val="none" w:sz="0" w:space="0" w:color="auto"/>
          </w:divBdr>
        </w:div>
        <w:div w:id="1517959794">
          <w:marLeft w:val="0"/>
          <w:marRight w:val="0"/>
          <w:marTop w:val="0"/>
          <w:marBottom w:val="0"/>
          <w:divBdr>
            <w:top w:val="none" w:sz="0" w:space="0" w:color="auto"/>
            <w:left w:val="none" w:sz="0" w:space="0" w:color="auto"/>
            <w:bottom w:val="none" w:sz="0" w:space="0" w:color="auto"/>
            <w:right w:val="none" w:sz="0" w:space="0" w:color="auto"/>
          </w:divBdr>
        </w:div>
        <w:div w:id="836000436">
          <w:marLeft w:val="0"/>
          <w:marRight w:val="0"/>
          <w:marTop w:val="0"/>
          <w:marBottom w:val="0"/>
          <w:divBdr>
            <w:top w:val="none" w:sz="0" w:space="0" w:color="auto"/>
            <w:left w:val="none" w:sz="0" w:space="0" w:color="auto"/>
            <w:bottom w:val="none" w:sz="0" w:space="0" w:color="auto"/>
            <w:right w:val="none" w:sz="0" w:space="0" w:color="auto"/>
          </w:divBdr>
        </w:div>
        <w:div w:id="1470512658">
          <w:marLeft w:val="0"/>
          <w:marRight w:val="0"/>
          <w:marTop w:val="0"/>
          <w:marBottom w:val="0"/>
          <w:divBdr>
            <w:top w:val="none" w:sz="0" w:space="0" w:color="auto"/>
            <w:left w:val="none" w:sz="0" w:space="0" w:color="auto"/>
            <w:bottom w:val="none" w:sz="0" w:space="0" w:color="auto"/>
            <w:right w:val="none" w:sz="0" w:space="0" w:color="auto"/>
          </w:divBdr>
        </w:div>
        <w:div w:id="1686593546">
          <w:marLeft w:val="0"/>
          <w:marRight w:val="0"/>
          <w:marTop w:val="0"/>
          <w:marBottom w:val="0"/>
          <w:divBdr>
            <w:top w:val="none" w:sz="0" w:space="0" w:color="auto"/>
            <w:left w:val="none" w:sz="0" w:space="0" w:color="auto"/>
            <w:bottom w:val="none" w:sz="0" w:space="0" w:color="auto"/>
            <w:right w:val="none" w:sz="0" w:space="0" w:color="auto"/>
          </w:divBdr>
        </w:div>
        <w:div w:id="325942828">
          <w:marLeft w:val="0"/>
          <w:marRight w:val="0"/>
          <w:marTop w:val="0"/>
          <w:marBottom w:val="0"/>
          <w:divBdr>
            <w:top w:val="none" w:sz="0" w:space="0" w:color="auto"/>
            <w:left w:val="none" w:sz="0" w:space="0" w:color="auto"/>
            <w:bottom w:val="none" w:sz="0" w:space="0" w:color="auto"/>
            <w:right w:val="none" w:sz="0" w:space="0" w:color="auto"/>
          </w:divBdr>
        </w:div>
        <w:div w:id="237322789">
          <w:marLeft w:val="0"/>
          <w:marRight w:val="0"/>
          <w:marTop w:val="0"/>
          <w:marBottom w:val="0"/>
          <w:divBdr>
            <w:top w:val="none" w:sz="0" w:space="0" w:color="auto"/>
            <w:left w:val="none" w:sz="0" w:space="0" w:color="auto"/>
            <w:bottom w:val="none" w:sz="0" w:space="0" w:color="auto"/>
            <w:right w:val="none" w:sz="0" w:space="0" w:color="auto"/>
          </w:divBdr>
        </w:div>
        <w:div w:id="516047008">
          <w:marLeft w:val="0"/>
          <w:marRight w:val="0"/>
          <w:marTop w:val="0"/>
          <w:marBottom w:val="0"/>
          <w:divBdr>
            <w:top w:val="none" w:sz="0" w:space="0" w:color="auto"/>
            <w:left w:val="none" w:sz="0" w:space="0" w:color="auto"/>
            <w:bottom w:val="none" w:sz="0" w:space="0" w:color="auto"/>
            <w:right w:val="none" w:sz="0" w:space="0" w:color="auto"/>
          </w:divBdr>
        </w:div>
      </w:divsChild>
    </w:div>
    <w:div w:id="1141116803">
      <w:bodyDiv w:val="1"/>
      <w:marLeft w:val="0"/>
      <w:marRight w:val="0"/>
      <w:marTop w:val="0"/>
      <w:marBottom w:val="0"/>
      <w:divBdr>
        <w:top w:val="none" w:sz="0" w:space="0" w:color="auto"/>
        <w:left w:val="none" w:sz="0" w:space="0" w:color="auto"/>
        <w:bottom w:val="none" w:sz="0" w:space="0" w:color="auto"/>
        <w:right w:val="none" w:sz="0" w:space="0" w:color="auto"/>
      </w:divBdr>
      <w:divsChild>
        <w:div w:id="250044691">
          <w:marLeft w:val="0"/>
          <w:marRight w:val="0"/>
          <w:marTop w:val="0"/>
          <w:marBottom w:val="0"/>
          <w:divBdr>
            <w:top w:val="none" w:sz="0" w:space="0" w:color="auto"/>
            <w:left w:val="none" w:sz="0" w:space="0" w:color="auto"/>
            <w:bottom w:val="none" w:sz="0" w:space="0" w:color="auto"/>
            <w:right w:val="none" w:sz="0" w:space="0" w:color="auto"/>
          </w:divBdr>
        </w:div>
        <w:div w:id="1512835063">
          <w:marLeft w:val="0"/>
          <w:marRight w:val="0"/>
          <w:marTop w:val="0"/>
          <w:marBottom w:val="0"/>
          <w:divBdr>
            <w:top w:val="none" w:sz="0" w:space="0" w:color="auto"/>
            <w:left w:val="none" w:sz="0" w:space="0" w:color="auto"/>
            <w:bottom w:val="none" w:sz="0" w:space="0" w:color="auto"/>
            <w:right w:val="none" w:sz="0" w:space="0" w:color="auto"/>
          </w:divBdr>
        </w:div>
      </w:divsChild>
    </w:div>
    <w:div w:id="1153839244">
      <w:bodyDiv w:val="1"/>
      <w:marLeft w:val="0"/>
      <w:marRight w:val="0"/>
      <w:marTop w:val="0"/>
      <w:marBottom w:val="0"/>
      <w:divBdr>
        <w:top w:val="none" w:sz="0" w:space="0" w:color="auto"/>
        <w:left w:val="none" w:sz="0" w:space="0" w:color="auto"/>
        <w:bottom w:val="none" w:sz="0" w:space="0" w:color="auto"/>
        <w:right w:val="none" w:sz="0" w:space="0" w:color="auto"/>
      </w:divBdr>
      <w:divsChild>
        <w:div w:id="1607151672">
          <w:marLeft w:val="0"/>
          <w:marRight w:val="0"/>
          <w:marTop w:val="0"/>
          <w:marBottom w:val="0"/>
          <w:divBdr>
            <w:top w:val="none" w:sz="0" w:space="0" w:color="auto"/>
            <w:left w:val="none" w:sz="0" w:space="0" w:color="auto"/>
            <w:bottom w:val="none" w:sz="0" w:space="0" w:color="auto"/>
            <w:right w:val="none" w:sz="0" w:space="0" w:color="auto"/>
          </w:divBdr>
        </w:div>
        <w:div w:id="2030914603">
          <w:marLeft w:val="0"/>
          <w:marRight w:val="0"/>
          <w:marTop w:val="0"/>
          <w:marBottom w:val="0"/>
          <w:divBdr>
            <w:top w:val="none" w:sz="0" w:space="0" w:color="auto"/>
            <w:left w:val="none" w:sz="0" w:space="0" w:color="auto"/>
            <w:bottom w:val="none" w:sz="0" w:space="0" w:color="auto"/>
            <w:right w:val="none" w:sz="0" w:space="0" w:color="auto"/>
          </w:divBdr>
        </w:div>
        <w:div w:id="939988352">
          <w:marLeft w:val="0"/>
          <w:marRight w:val="0"/>
          <w:marTop w:val="0"/>
          <w:marBottom w:val="0"/>
          <w:divBdr>
            <w:top w:val="none" w:sz="0" w:space="0" w:color="auto"/>
            <w:left w:val="none" w:sz="0" w:space="0" w:color="auto"/>
            <w:bottom w:val="none" w:sz="0" w:space="0" w:color="auto"/>
            <w:right w:val="none" w:sz="0" w:space="0" w:color="auto"/>
          </w:divBdr>
        </w:div>
        <w:div w:id="1298334630">
          <w:marLeft w:val="0"/>
          <w:marRight w:val="0"/>
          <w:marTop w:val="0"/>
          <w:marBottom w:val="0"/>
          <w:divBdr>
            <w:top w:val="none" w:sz="0" w:space="0" w:color="auto"/>
            <w:left w:val="none" w:sz="0" w:space="0" w:color="auto"/>
            <w:bottom w:val="none" w:sz="0" w:space="0" w:color="auto"/>
            <w:right w:val="none" w:sz="0" w:space="0" w:color="auto"/>
          </w:divBdr>
        </w:div>
        <w:div w:id="301929150">
          <w:marLeft w:val="0"/>
          <w:marRight w:val="0"/>
          <w:marTop w:val="0"/>
          <w:marBottom w:val="0"/>
          <w:divBdr>
            <w:top w:val="none" w:sz="0" w:space="0" w:color="auto"/>
            <w:left w:val="none" w:sz="0" w:space="0" w:color="auto"/>
            <w:bottom w:val="none" w:sz="0" w:space="0" w:color="auto"/>
            <w:right w:val="none" w:sz="0" w:space="0" w:color="auto"/>
          </w:divBdr>
        </w:div>
        <w:div w:id="184177659">
          <w:marLeft w:val="0"/>
          <w:marRight w:val="0"/>
          <w:marTop w:val="0"/>
          <w:marBottom w:val="0"/>
          <w:divBdr>
            <w:top w:val="none" w:sz="0" w:space="0" w:color="auto"/>
            <w:left w:val="none" w:sz="0" w:space="0" w:color="auto"/>
            <w:bottom w:val="none" w:sz="0" w:space="0" w:color="auto"/>
            <w:right w:val="none" w:sz="0" w:space="0" w:color="auto"/>
          </w:divBdr>
        </w:div>
        <w:div w:id="1796757189">
          <w:marLeft w:val="0"/>
          <w:marRight w:val="0"/>
          <w:marTop w:val="0"/>
          <w:marBottom w:val="0"/>
          <w:divBdr>
            <w:top w:val="none" w:sz="0" w:space="0" w:color="auto"/>
            <w:left w:val="none" w:sz="0" w:space="0" w:color="auto"/>
            <w:bottom w:val="none" w:sz="0" w:space="0" w:color="auto"/>
            <w:right w:val="none" w:sz="0" w:space="0" w:color="auto"/>
          </w:divBdr>
        </w:div>
        <w:div w:id="1543470255">
          <w:marLeft w:val="0"/>
          <w:marRight w:val="0"/>
          <w:marTop w:val="0"/>
          <w:marBottom w:val="0"/>
          <w:divBdr>
            <w:top w:val="none" w:sz="0" w:space="0" w:color="auto"/>
            <w:left w:val="none" w:sz="0" w:space="0" w:color="auto"/>
            <w:bottom w:val="none" w:sz="0" w:space="0" w:color="auto"/>
            <w:right w:val="none" w:sz="0" w:space="0" w:color="auto"/>
          </w:divBdr>
        </w:div>
        <w:div w:id="1940329914">
          <w:marLeft w:val="0"/>
          <w:marRight w:val="0"/>
          <w:marTop w:val="0"/>
          <w:marBottom w:val="0"/>
          <w:divBdr>
            <w:top w:val="none" w:sz="0" w:space="0" w:color="auto"/>
            <w:left w:val="none" w:sz="0" w:space="0" w:color="auto"/>
            <w:bottom w:val="none" w:sz="0" w:space="0" w:color="auto"/>
            <w:right w:val="none" w:sz="0" w:space="0" w:color="auto"/>
          </w:divBdr>
        </w:div>
        <w:div w:id="473065594">
          <w:marLeft w:val="0"/>
          <w:marRight w:val="0"/>
          <w:marTop w:val="0"/>
          <w:marBottom w:val="0"/>
          <w:divBdr>
            <w:top w:val="none" w:sz="0" w:space="0" w:color="auto"/>
            <w:left w:val="none" w:sz="0" w:space="0" w:color="auto"/>
            <w:bottom w:val="none" w:sz="0" w:space="0" w:color="auto"/>
            <w:right w:val="none" w:sz="0" w:space="0" w:color="auto"/>
          </w:divBdr>
        </w:div>
        <w:div w:id="763041248">
          <w:marLeft w:val="0"/>
          <w:marRight w:val="0"/>
          <w:marTop w:val="0"/>
          <w:marBottom w:val="0"/>
          <w:divBdr>
            <w:top w:val="none" w:sz="0" w:space="0" w:color="auto"/>
            <w:left w:val="none" w:sz="0" w:space="0" w:color="auto"/>
            <w:bottom w:val="none" w:sz="0" w:space="0" w:color="auto"/>
            <w:right w:val="none" w:sz="0" w:space="0" w:color="auto"/>
          </w:divBdr>
        </w:div>
      </w:divsChild>
    </w:div>
    <w:div w:id="1166284265">
      <w:bodyDiv w:val="1"/>
      <w:marLeft w:val="0"/>
      <w:marRight w:val="0"/>
      <w:marTop w:val="0"/>
      <w:marBottom w:val="0"/>
      <w:divBdr>
        <w:top w:val="none" w:sz="0" w:space="0" w:color="auto"/>
        <w:left w:val="none" w:sz="0" w:space="0" w:color="auto"/>
        <w:bottom w:val="none" w:sz="0" w:space="0" w:color="auto"/>
        <w:right w:val="none" w:sz="0" w:space="0" w:color="auto"/>
      </w:divBdr>
      <w:divsChild>
        <w:div w:id="214465742">
          <w:marLeft w:val="0"/>
          <w:marRight w:val="0"/>
          <w:marTop w:val="0"/>
          <w:marBottom w:val="0"/>
          <w:divBdr>
            <w:top w:val="none" w:sz="0" w:space="0" w:color="auto"/>
            <w:left w:val="none" w:sz="0" w:space="0" w:color="auto"/>
            <w:bottom w:val="none" w:sz="0" w:space="0" w:color="auto"/>
            <w:right w:val="none" w:sz="0" w:space="0" w:color="auto"/>
          </w:divBdr>
        </w:div>
        <w:div w:id="354886679">
          <w:marLeft w:val="0"/>
          <w:marRight w:val="0"/>
          <w:marTop w:val="0"/>
          <w:marBottom w:val="0"/>
          <w:divBdr>
            <w:top w:val="none" w:sz="0" w:space="0" w:color="auto"/>
            <w:left w:val="none" w:sz="0" w:space="0" w:color="auto"/>
            <w:bottom w:val="none" w:sz="0" w:space="0" w:color="auto"/>
            <w:right w:val="none" w:sz="0" w:space="0" w:color="auto"/>
          </w:divBdr>
        </w:div>
        <w:div w:id="614563697">
          <w:marLeft w:val="0"/>
          <w:marRight w:val="0"/>
          <w:marTop w:val="0"/>
          <w:marBottom w:val="0"/>
          <w:divBdr>
            <w:top w:val="none" w:sz="0" w:space="0" w:color="auto"/>
            <w:left w:val="none" w:sz="0" w:space="0" w:color="auto"/>
            <w:bottom w:val="none" w:sz="0" w:space="0" w:color="auto"/>
            <w:right w:val="none" w:sz="0" w:space="0" w:color="auto"/>
          </w:divBdr>
        </w:div>
        <w:div w:id="999583313">
          <w:marLeft w:val="0"/>
          <w:marRight w:val="0"/>
          <w:marTop w:val="0"/>
          <w:marBottom w:val="0"/>
          <w:divBdr>
            <w:top w:val="none" w:sz="0" w:space="0" w:color="auto"/>
            <w:left w:val="none" w:sz="0" w:space="0" w:color="auto"/>
            <w:bottom w:val="none" w:sz="0" w:space="0" w:color="auto"/>
            <w:right w:val="none" w:sz="0" w:space="0" w:color="auto"/>
          </w:divBdr>
        </w:div>
        <w:div w:id="1336760750">
          <w:marLeft w:val="0"/>
          <w:marRight w:val="0"/>
          <w:marTop w:val="0"/>
          <w:marBottom w:val="0"/>
          <w:divBdr>
            <w:top w:val="none" w:sz="0" w:space="0" w:color="auto"/>
            <w:left w:val="none" w:sz="0" w:space="0" w:color="auto"/>
            <w:bottom w:val="none" w:sz="0" w:space="0" w:color="auto"/>
            <w:right w:val="none" w:sz="0" w:space="0" w:color="auto"/>
          </w:divBdr>
        </w:div>
      </w:divsChild>
    </w:div>
    <w:div w:id="1167672019">
      <w:bodyDiv w:val="1"/>
      <w:marLeft w:val="0"/>
      <w:marRight w:val="0"/>
      <w:marTop w:val="0"/>
      <w:marBottom w:val="0"/>
      <w:divBdr>
        <w:top w:val="none" w:sz="0" w:space="0" w:color="auto"/>
        <w:left w:val="none" w:sz="0" w:space="0" w:color="auto"/>
        <w:bottom w:val="none" w:sz="0" w:space="0" w:color="auto"/>
        <w:right w:val="none" w:sz="0" w:space="0" w:color="auto"/>
      </w:divBdr>
      <w:divsChild>
        <w:div w:id="689451912">
          <w:marLeft w:val="0"/>
          <w:marRight w:val="0"/>
          <w:marTop w:val="0"/>
          <w:marBottom w:val="0"/>
          <w:divBdr>
            <w:top w:val="none" w:sz="0" w:space="0" w:color="auto"/>
            <w:left w:val="none" w:sz="0" w:space="0" w:color="auto"/>
            <w:bottom w:val="none" w:sz="0" w:space="0" w:color="auto"/>
            <w:right w:val="none" w:sz="0" w:space="0" w:color="auto"/>
          </w:divBdr>
          <w:divsChild>
            <w:div w:id="240411993">
              <w:marLeft w:val="0"/>
              <w:marRight w:val="0"/>
              <w:marTop w:val="0"/>
              <w:marBottom w:val="0"/>
              <w:divBdr>
                <w:top w:val="none" w:sz="0" w:space="0" w:color="auto"/>
                <w:left w:val="none" w:sz="0" w:space="0" w:color="auto"/>
                <w:bottom w:val="none" w:sz="0" w:space="0" w:color="auto"/>
                <w:right w:val="none" w:sz="0" w:space="0" w:color="auto"/>
              </w:divBdr>
            </w:div>
            <w:div w:id="853811223">
              <w:marLeft w:val="0"/>
              <w:marRight w:val="0"/>
              <w:marTop w:val="0"/>
              <w:marBottom w:val="0"/>
              <w:divBdr>
                <w:top w:val="none" w:sz="0" w:space="0" w:color="auto"/>
                <w:left w:val="none" w:sz="0" w:space="0" w:color="auto"/>
                <w:bottom w:val="none" w:sz="0" w:space="0" w:color="auto"/>
                <w:right w:val="none" w:sz="0" w:space="0" w:color="auto"/>
              </w:divBdr>
            </w:div>
            <w:div w:id="1141578330">
              <w:marLeft w:val="0"/>
              <w:marRight w:val="0"/>
              <w:marTop w:val="0"/>
              <w:marBottom w:val="0"/>
              <w:divBdr>
                <w:top w:val="none" w:sz="0" w:space="0" w:color="auto"/>
                <w:left w:val="none" w:sz="0" w:space="0" w:color="auto"/>
                <w:bottom w:val="none" w:sz="0" w:space="0" w:color="auto"/>
                <w:right w:val="none" w:sz="0" w:space="0" w:color="auto"/>
              </w:divBdr>
            </w:div>
          </w:divsChild>
        </w:div>
        <w:div w:id="1349332810">
          <w:marLeft w:val="0"/>
          <w:marRight w:val="0"/>
          <w:marTop w:val="0"/>
          <w:marBottom w:val="0"/>
          <w:divBdr>
            <w:top w:val="none" w:sz="0" w:space="0" w:color="auto"/>
            <w:left w:val="none" w:sz="0" w:space="0" w:color="auto"/>
            <w:bottom w:val="none" w:sz="0" w:space="0" w:color="auto"/>
            <w:right w:val="none" w:sz="0" w:space="0" w:color="auto"/>
          </w:divBdr>
          <w:divsChild>
            <w:div w:id="159466777">
              <w:marLeft w:val="0"/>
              <w:marRight w:val="0"/>
              <w:marTop w:val="0"/>
              <w:marBottom w:val="0"/>
              <w:divBdr>
                <w:top w:val="none" w:sz="0" w:space="0" w:color="auto"/>
                <w:left w:val="none" w:sz="0" w:space="0" w:color="auto"/>
                <w:bottom w:val="none" w:sz="0" w:space="0" w:color="auto"/>
                <w:right w:val="none" w:sz="0" w:space="0" w:color="auto"/>
              </w:divBdr>
            </w:div>
            <w:div w:id="199706978">
              <w:marLeft w:val="0"/>
              <w:marRight w:val="0"/>
              <w:marTop w:val="0"/>
              <w:marBottom w:val="0"/>
              <w:divBdr>
                <w:top w:val="none" w:sz="0" w:space="0" w:color="auto"/>
                <w:left w:val="none" w:sz="0" w:space="0" w:color="auto"/>
                <w:bottom w:val="none" w:sz="0" w:space="0" w:color="auto"/>
                <w:right w:val="none" w:sz="0" w:space="0" w:color="auto"/>
              </w:divBdr>
            </w:div>
            <w:div w:id="182566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995913">
      <w:bodyDiv w:val="1"/>
      <w:marLeft w:val="0"/>
      <w:marRight w:val="0"/>
      <w:marTop w:val="0"/>
      <w:marBottom w:val="0"/>
      <w:divBdr>
        <w:top w:val="none" w:sz="0" w:space="0" w:color="auto"/>
        <w:left w:val="none" w:sz="0" w:space="0" w:color="auto"/>
        <w:bottom w:val="none" w:sz="0" w:space="0" w:color="auto"/>
        <w:right w:val="none" w:sz="0" w:space="0" w:color="auto"/>
      </w:divBdr>
    </w:div>
    <w:div w:id="1220020971">
      <w:bodyDiv w:val="1"/>
      <w:marLeft w:val="0"/>
      <w:marRight w:val="0"/>
      <w:marTop w:val="0"/>
      <w:marBottom w:val="0"/>
      <w:divBdr>
        <w:top w:val="none" w:sz="0" w:space="0" w:color="auto"/>
        <w:left w:val="none" w:sz="0" w:space="0" w:color="auto"/>
        <w:bottom w:val="none" w:sz="0" w:space="0" w:color="auto"/>
        <w:right w:val="none" w:sz="0" w:space="0" w:color="auto"/>
      </w:divBdr>
    </w:div>
    <w:div w:id="1222794168">
      <w:bodyDiv w:val="1"/>
      <w:marLeft w:val="0"/>
      <w:marRight w:val="0"/>
      <w:marTop w:val="0"/>
      <w:marBottom w:val="0"/>
      <w:divBdr>
        <w:top w:val="none" w:sz="0" w:space="0" w:color="auto"/>
        <w:left w:val="none" w:sz="0" w:space="0" w:color="auto"/>
        <w:bottom w:val="none" w:sz="0" w:space="0" w:color="auto"/>
        <w:right w:val="none" w:sz="0" w:space="0" w:color="auto"/>
      </w:divBdr>
    </w:div>
    <w:div w:id="1233082680">
      <w:bodyDiv w:val="1"/>
      <w:marLeft w:val="0"/>
      <w:marRight w:val="0"/>
      <w:marTop w:val="0"/>
      <w:marBottom w:val="0"/>
      <w:divBdr>
        <w:top w:val="none" w:sz="0" w:space="0" w:color="auto"/>
        <w:left w:val="none" w:sz="0" w:space="0" w:color="auto"/>
        <w:bottom w:val="none" w:sz="0" w:space="0" w:color="auto"/>
        <w:right w:val="none" w:sz="0" w:space="0" w:color="auto"/>
      </w:divBdr>
      <w:divsChild>
        <w:div w:id="372006000">
          <w:marLeft w:val="0"/>
          <w:marRight w:val="0"/>
          <w:marTop w:val="0"/>
          <w:marBottom w:val="0"/>
          <w:divBdr>
            <w:top w:val="none" w:sz="0" w:space="0" w:color="auto"/>
            <w:left w:val="none" w:sz="0" w:space="0" w:color="auto"/>
            <w:bottom w:val="none" w:sz="0" w:space="0" w:color="auto"/>
            <w:right w:val="none" w:sz="0" w:space="0" w:color="auto"/>
          </w:divBdr>
        </w:div>
        <w:div w:id="825557273">
          <w:marLeft w:val="0"/>
          <w:marRight w:val="0"/>
          <w:marTop w:val="0"/>
          <w:marBottom w:val="0"/>
          <w:divBdr>
            <w:top w:val="none" w:sz="0" w:space="0" w:color="auto"/>
            <w:left w:val="none" w:sz="0" w:space="0" w:color="auto"/>
            <w:bottom w:val="none" w:sz="0" w:space="0" w:color="auto"/>
            <w:right w:val="none" w:sz="0" w:space="0" w:color="auto"/>
          </w:divBdr>
          <w:divsChild>
            <w:div w:id="995769775">
              <w:marLeft w:val="0"/>
              <w:marRight w:val="0"/>
              <w:marTop w:val="0"/>
              <w:marBottom w:val="0"/>
              <w:divBdr>
                <w:top w:val="none" w:sz="0" w:space="0" w:color="auto"/>
                <w:left w:val="none" w:sz="0" w:space="0" w:color="auto"/>
                <w:bottom w:val="none" w:sz="0" w:space="0" w:color="auto"/>
                <w:right w:val="none" w:sz="0" w:space="0" w:color="auto"/>
              </w:divBdr>
            </w:div>
            <w:div w:id="1319072597">
              <w:marLeft w:val="0"/>
              <w:marRight w:val="0"/>
              <w:marTop w:val="0"/>
              <w:marBottom w:val="0"/>
              <w:divBdr>
                <w:top w:val="none" w:sz="0" w:space="0" w:color="auto"/>
                <w:left w:val="none" w:sz="0" w:space="0" w:color="auto"/>
                <w:bottom w:val="none" w:sz="0" w:space="0" w:color="auto"/>
                <w:right w:val="none" w:sz="0" w:space="0" w:color="auto"/>
              </w:divBdr>
            </w:div>
            <w:div w:id="1391614921">
              <w:marLeft w:val="0"/>
              <w:marRight w:val="0"/>
              <w:marTop w:val="0"/>
              <w:marBottom w:val="0"/>
              <w:divBdr>
                <w:top w:val="none" w:sz="0" w:space="0" w:color="auto"/>
                <w:left w:val="none" w:sz="0" w:space="0" w:color="auto"/>
                <w:bottom w:val="none" w:sz="0" w:space="0" w:color="auto"/>
                <w:right w:val="none" w:sz="0" w:space="0" w:color="auto"/>
              </w:divBdr>
            </w:div>
            <w:div w:id="1472095221">
              <w:marLeft w:val="0"/>
              <w:marRight w:val="0"/>
              <w:marTop w:val="0"/>
              <w:marBottom w:val="0"/>
              <w:divBdr>
                <w:top w:val="none" w:sz="0" w:space="0" w:color="auto"/>
                <w:left w:val="none" w:sz="0" w:space="0" w:color="auto"/>
                <w:bottom w:val="none" w:sz="0" w:space="0" w:color="auto"/>
                <w:right w:val="none" w:sz="0" w:space="0" w:color="auto"/>
              </w:divBdr>
            </w:div>
            <w:div w:id="1921989411">
              <w:marLeft w:val="0"/>
              <w:marRight w:val="0"/>
              <w:marTop w:val="0"/>
              <w:marBottom w:val="0"/>
              <w:divBdr>
                <w:top w:val="none" w:sz="0" w:space="0" w:color="auto"/>
                <w:left w:val="none" w:sz="0" w:space="0" w:color="auto"/>
                <w:bottom w:val="none" w:sz="0" w:space="0" w:color="auto"/>
                <w:right w:val="none" w:sz="0" w:space="0" w:color="auto"/>
              </w:divBdr>
            </w:div>
            <w:div w:id="1972395645">
              <w:marLeft w:val="0"/>
              <w:marRight w:val="0"/>
              <w:marTop w:val="0"/>
              <w:marBottom w:val="0"/>
              <w:divBdr>
                <w:top w:val="none" w:sz="0" w:space="0" w:color="auto"/>
                <w:left w:val="none" w:sz="0" w:space="0" w:color="auto"/>
                <w:bottom w:val="none" w:sz="0" w:space="0" w:color="auto"/>
                <w:right w:val="none" w:sz="0" w:space="0" w:color="auto"/>
              </w:divBdr>
            </w:div>
          </w:divsChild>
        </w:div>
        <w:div w:id="1290480018">
          <w:marLeft w:val="0"/>
          <w:marRight w:val="0"/>
          <w:marTop w:val="0"/>
          <w:marBottom w:val="0"/>
          <w:divBdr>
            <w:top w:val="none" w:sz="0" w:space="0" w:color="auto"/>
            <w:left w:val="none" w:sz="0" w:space="0" w:color="auto"/>
            <w:bottom w:val="none" w:sz="0" w:space="0" w:color="auto"/>
            <w:right w:val="none" w:sz="0" w:space="0" w:color="auto"/>
          </w:divBdr>
        </w:div>
        <w:div w:id="1327241533">
          <w:marLeft w:val="0"/>
          <w:marRight w:val="0"/>
          <w:marTop w:val="0"/>
          <w:marBottom w:val="0"/>
          <w:divBdr>
            <w:top w:val="none" w:sz="0" w:space="0" w:color="auto"/>
            <w:left w:val="none" w:sz="0" w:space="0" w:color="auto"/>
            <w:bottom w:val="none" w:sz="0" w:space="0" w:color="auto"/>
            <w:right w:val="none" w:sz="0" w:space="0" w:color="auto"/>
          </w:divBdr>
        </w:div>
        <w:div w:id="2084330497">
          <w:marLeft w:val="0"/>
          <w:marRight w:val="0"/>
          <w:marTop w:val="0"/>
          <w:marBottom w:val="0"/>
          <w:divBdr>
            <w:top w:val="none" w:sz="0" w:space="0" w:color="auto"/>
            <w:left w:val="none" w:sz="0" w:space="0" w:color="auto"/>
            <w:bottom w:val="none" w:sz="0" w:space="0" w:color="auto"/>
            <w:right w:val="none" w:sz="0" w:space="0" w:color="auto"/>
          </w:divBdr>
        </w:div>
      </w:divsChild>
    </w:div>
    <w:div w:id="1242908677">
      <w:bodyDiv w:val="1"/>
      <w:marLeft w:val="0"/>
      <w:marRight w:val="0"/>
      <w:marTop w:val="0"/>
      <w:marBottom w:val="0"/>
      <w:divBdr>
        <w:top w:val="none" w:sz="0" w:space="0" w:color="auto"/>
        <w:left w:val="none" w:sz="0" w:space="0" w:color="auto"/>
        <w:bottom w:val="none" w:sz="0" w:space="0" w:color="auto"/>
        <w:right w:val="none" w:sz="0" w:space="0" w:color="auto"/>
      </w:divBdr>
      <w:divsChild>
        <w:div w:id="310451944">
          <w:marLeft w:val="0"/>
          <w:marRight w:val="0"/>
          <w:marTop w:val="0"/>
          <w:marBottom w:val="0"/>
          <w:divBdr>
            <w:top w:val="none" w:sz="0" w:space="0" w:color="auto"/>
            <w:left w:val="none" w:sz="0" w:space="0" w:color="auto"/>
            <w:bottom w:val="none" w:sz="0" w:space="0" w:color="auto"/>
            <w:right w:val="none" w:sz="0" w:space="0" w:color="auto"/>
          </w:divBdr>
          <w:divsChild>
            <w:div w:id="267468412">
              <w:marLeft w:val="0"/>
              <w:marRight w:val="0"/>
              <w:marTop w:val="0"/>
              <w:marBottom w:val="0"/>
              <w:divBdr>
                <w:top w:val="none" w:sz="0" w:space="0" w:color="auto"/>
                <w:left w:val="none" w:sz="0" w:space="0" w:color="auto"/>
                <w:bottom w:val="none" w:sz="0" w:space="0" w:color="auto"/>
                <w:right w:val="none" w:sz="0" w:space="0" w:color="auto"/>
              </w:divBdr>
            </w:div>
            <w:div w:id="340861268">
              <w:marLeft w:val="0"/>
              <w:marRight w:val="0"/>
              <w:marTop w:val="0"/>
              <w:marBottom w:val="0"/>
              <w:divBdr>
                <w:top w:val="none" w:sz="0" w:space="0" w:color="auto"/>
                <w:left w:val="none" w:sz="0" w:space="0" w:color="auto"/>
                <w:bottom w:val="none" w:sz="0" w:space="0" w:color="auto"/>
                <w:right w:val="none" w:sz="0" w:space="0" w:color="auto"/>
              </w:divBdr>
            </w:div>
            <w:div w:id="601761995">
              <w:marLeft w:val="0"/>
              <w:marRight w:val="0"/>
              <w:marTop w:val="0"/>
              <w:marBottom w:val="0"/>
              <w:divBdr>
                <w:top w:val="none" w:sz="0" w:space="0" w:color="auto"/>
                <w:left w:val="none" w:sz="0" w:space="0" w:color="auto"/>
                <w:bottom w:val="none" w:sz="0" w:space="0" w:color="auto"/>
                <w:right w:val="none" w:sz="0" w:space="0" w:color="auto"/>
              </w:divBdr>
            </w:div>
            <w:div w:id="1109738370">
              <w:marLeft w:val="0"/>
              <w:marRight w:val="0"/>
              <w:marTop w:val="0"/>
              <w:marBottom w:val="0"/>
              <w:divBdr>
                <w:top w:val="none" w:sz="0" w:space="0" w:color="auto"/>
                <w:left w:val="none" w:sz="0" w:space="0" w:color="auto"/>
                <w:bottom w:val="none" w:sz="0" w:space="0" w:color="auto"/>
                <w:right w:val="none" w:sz="0" w:space="0" w:color="auto"/>
              </w:divBdr>
            </w:div>
            <w:div w:id="166547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175298">
      <w:bodyDiv w:val="1"/>
      <w:marLeft w:val="0"/>
      <w:marRight w:val="0"/>
      <w:marTop w:val="0"/>
      <w:marBottom w:val="0"/>
      <w:divBdr>
        <w:top w:val="none" w:sz="0" w:space="0" w:color="auto"/>
        <w:left w:val="none" w:sz="0" w:space="0" w:color="auto"/>
        <w:bottom w:val="none" w:sz="0" w:space="0" w:color="auto"/>
        <w:right w:val="none" w:sz="0" w:space="0" w:color="auto"/>
      </w:divBdr>
      <w:divsChild>
        <w:div w:id="97216338">
          <w:marLeft w:val="0"/>
          <w:marRight w:val="0"/>
          <w:marTop w:val="0"/>
          <w:marBottom w:val="0"/>
          <w:divBdr>
            <w:top w:val="none" w:sz="0" w:space="0" w:color="auto"/>
            <w:left w:val="none" w:sz="0" w:space="0" w:color="auto"/>
            <w:bottom w:val="none" w:sz="0" w:space="0" w:color="auto"/>
            <w:right w:val="none" w:sz="0" w:space="0" w:color="auto"/>
          </w:divBdr>
        </w:div>
        <w:div w:id="988904737">
          <w:marLeft w:val="0"/>
          <w:marRight w:val="0"/>
          <w:marTop w:val="0"/>
          <w:marBottom w:val="0"/>
          <w:divBdr>
            <w:top w:val="none" w:sz="0" w:space="0" w:color="auto"/>
            <w:left w:val="none" w:sz="0" w:space="0" w:color="auto"/>
            <w:bottom w:val="none" w:sz="0" w:space="0" w:color="auto"/>
            <w:right w:val="none" w:sz="0" w:space="0" w:color="auto"/>
          </w:divBdr>
        </w:div>
      </w:divsChild>
    </w:div>
    <w:div w:id="1243488546">
      <w:bodyDiv w:val="1"/>
      <w:marLeft w:val="0"/>
      <w:marRight w:val="0"/>
      <w:marTop w:val="0"/>
      <w:marBottom w:val="0"/>
      <w:divBdr>
        <w:top w:val="none" w:sz="0" w:space="0" w:color="auto"/>
        <w:left w:val="none" w:sz="0" w:space="0" w:color="auto"/>
        <w:bottom w:val="none" w:sz="0" w:space="0" w:color="auto"/>
        <w:right w:val="none" w:sz="0" w:space="0" w:color="auto"/>
      </w:divBdr>
      <w:divsChild>
        <w:div w:id="238757131">
          <w:marLeft w:val="0"/>
          <w:marRight w:val="0"/>
          <w:marTop w:val="0"/>
          <w:marBottom w:val="0"/>
          <w:divBdr>
            <w:top w:val="none" w:sz="0" w:space="0" w:color="auto"/>
            <w:left w:val="none" w:sz="0" w:space="0" w:color="auto"/>
            <w:bottom w:val="none" w:sz="0" w:space="0" w:color="auto"/>
            <w:right w:val="none" w:sz="0" w:space="0" w:color="auto"/>
          </w:divBdr>
        </w:div>
        <w:div w:id="948585829">
          <w:marLeft w:val="0"/>
          <w:marRight w:val="0"/>
          <w:marTop w:val="0"/>
          <w:marBottom w:val="0"/>
          <w:divBdr>
            <w:top w:val="none" w:sz="0" w:space="0" w:color="auto"/>
            <w:left w:val="none" w:sz="0" w:space="0" w:color="auto"/>
            <w:bottom w:val="none" w:sz="0" w:space="0" w:color="auto"/>
            <w:right w:val="none" w:sz="0" w:space="0" w:color="auto"/>
          </w:divBdr>
        </w:div>
      </w:divsChild>
    </w:div>
    <w:div w:id="1246302590">
      <w:bodyDiv w:val="1"/>
      <w:marLeft w:val="0"/>
      <w:marRight w:val="0"/>
      <w:marTop w:val="0"/>
      <w:marBottom w:val="0"/>
      <w:divBdr>
        <w:top w:val="none" w:sz="0" w:space="0" w:color="auto"/>
        <w:left w:val="none" w:sz="0" w:space="0" w:color="auto"/>
        <w:bottom w:val="none" w:sz="0" w:space="0" w:color="auto"/>
        <w:right w:val="none" w:sz="0" w:space="0" w:color="auto"/>
      </w:divBdr>
      <w:divsChild>
        <w:div w:id="622854893">
          <w:marLeft w:val="0"/>
          <w:marRight w:val="0"/>
          <w:marTop w:val="0"/>
          <w:marBottom w:val="0"/>
          <w:divBdr>
            <w:top w:val="none" w:sz="0" w:space="0" w:color="auto"/>
            <w:left w:val="none" w:sz="0" w:space="0" w:color="auto"/>
            <w:bottom w:val="none" w:sz="0" w:space="0" w:color="auto"/>
            <w:right w:val="none" w:sz="0" w:space="0" w:color="auto"/>
          </w:divBdr>
          <w:divsChild>
            <w:div w:id="1904944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667842">
      <w:bodyDiv w:val="1"/>
      <w:marLeft w:val="0"/>
      <w:marRight w:val="0"/>
      <w:marTop w:val="0"/>
      <w:marBottom w:val="0"/>
      <w:divBdr>
        <w:top w:val="none" w:sz="0" w:space="0" w:color="auto"/>
        <w:left w:val="none" w:sz="0" w:space="0" w:color="auto"/>
        <w:bottom w:val="none" w:sz="0" w:space="0" w:color="auto"/>
        <w:right w:val="none" w:sz="0" w:space="0" w:color="auto"/>
      </w:divBdr>
      <w:divsChild>
        <w:div w:id="1616673489">
          <w:marLeft w:val="0"/>
          <w:marRight w:val="0"/>
          <w:marTop w:val="0"/>
          <w:marBottom w:val="0"/>
          <w:divBdr>
            <w:top w:val="none" w:sz="0" w:space="0" w:color="auto"/>
            <w:left w:val="none" w:sz="0" w:space="0" w:color="auto"/>
            <w:bottom w:val="none" w:sz="0" w:space="0" w:color="auto"/>
            <w:right w:val="none" w:sz="0" w:space="0" w:color="auto"/>
          </w:divBdr>
          <w:divsChild>
            <w:div w:id="644091044">
              <w:marLeft w:val="0"/>
              <w:marRight w:val="0"/>
              <w:marTop w:val="0"/>
              <w:marBottom w:val="0"/>
              <w:divBdr>
                <w:top w:val="none" w:sz="0" w:space="0" w:color="auto"/>
                <w:left w:val="none" w:sz="0" w:space="0" w:color="auto"/>
                <w:bottom w:val="none" w:sz="0" w:space="0" w:color="auto"/>
                <w:right w:val="none" w:sz="0" w:space="0" w:color="auto"/>
              </w:divBdr>
            </w:div>
            <w:div w:id="888148703">
              <w:marLeft w:val="0"/>
              <w:marRight w:val="0"/>
              <w:marTop w:val="0"/>
              <w:marBottom w:val="0"/>
              <w:divBdr>
                <w:top w:val="none" w:sz="0" w:space="0" w:color="auto"/>
                <w:left w:val="none" w:sz="0" w:space="0" w:color="auto"/>
                <w:bottom w:val="none" w:sz="0" w:space="0" w:color="auto"/>
                <w:right w:val="none" w:sz="0" w:space="0" w:color="auto"/>
              </w:divBdr>
            </w:div>
            <w:div w:id="1228032483">
              <w:marLeft w:val="0"/>
              <w:marRight w:val="0"/>
              <w:marTop w:val="0"/>
              <w:marBottom w:val="0"/>
              <w:divBdr>
                <w:top w:val="none" w:sz="0" w:space="0" w:color="auto"/>
                <w:left w:val="none" w:sz="0" w:space="0" w:color="auto"/>
                <w:bottom w:val="none" w:sz="0" w:space="0" w:color="auto"/>
                <w:right w:val="none" w:sz="0" w:space="0" w:color="auto"/>
              </w:divBdr>
            </w:div>
            <w:div w:id="2003314002">
              <w:marLeft w:val="0"/>
              <w:marRight w:val="0"/>
              <w:marTop w:val="0"/>
              <w:marBottom w:val="0"/>
              <w:divBdr>
                <w:top w:val="none" w:sz="0" w:space="0" w:color="auto"/>
                <w:left w:val="none" w:sz="0" w:space="0" w:color="auto"/>
                <w:bottom w:val="none" w:sz="0" w:space="0" w:color="auto"/>
                <w:right w:val="none" w:sz="0" w:space="0" w:color="auto"/>
              </w:divBdr>
            </w:div>
            <w:div w:id="200851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519772">
      <w:bodyDiv w:val="1"/>
      <w:marLeft w:val="0"/>
      <w:marRight w:val="0"/>
      <w:marTop w:val="0"/>
      <w:marBottom w:val="0"/>
      <w:divBdr>
        <w:top w:val="none" w:sz="0" w:space="0" w:color="auto"/>
        <w:left w:val="none" w:sz="0" w:space="0" w:color="auto"/>
        <w:bottom w:val="none" w:sz="0" w:space="0" w:color="auto"/>
        <w:right w:val="none" w:sz="0" w:space="0" w:color="auto"/>
      </w:divBdr>
      <w:divsChild>
        <w:div w:id="280653427">
          <w:marLeft w:val="0"/>
          <w:marRight w:val="0"/>
          <w:marTop w:val="0"/>
          <w:marBottom w:val="0"/>
          <w:divBdr>
            <w:top w:val="none" w:sz="0" w:space="0" w:color="auto"/>
            <w:left w:val="none" w:sz="0" w:space="0" w:color="auto"/>
            <w:bottom w:val="none" w:sz="0" w:space="0" w:color="auto"/>
            <w:right w:val="none" w:sz="0" w:space="0" w:color="auto"/>
          </w:divBdr>
          <w:divsChild>
            <w:div w:id="1554929663">
              <w:marLeft w:val="0"/>
              <w:marRight w:val="0"/>
              <w:marTop w:val="0"/>
              <w:marBottom w:val="0"/>
              <w:divBdr>
                <w:top w:val="none" w:sz="0" w:space="0" w:color="auto"/>
                <w:left w:val="none" w:sz="0" w:space="0" w:color="auto"/>
                <w:bottom w:val="none" w:sz="0" w:space="0" w:color="auto"/>
                <w:right w:val="none" w:sz="0" w:space="0" w:color="auto"/>
              </w:divBdr>
            </w:div>
            <w:div w:id="1709721091">
              <w:marLeft w:val="0"/>
              <w:marRight w:val="0"/>
              <w:marTop w:val="0"/>
              <w:marBottom w:val="0"/>
              <w:divBdr>
                <w:top w:val="none" w:sz="0" w:space="0" w:color="auto"/>
                <w:left w:val="none" w:sz="0" w:space="0" w:color="auto"/>
                <w:bottom w:val="none" w:sz="0" w:space="0" w:color="auto"/>
                <w:right w:val="none" w:sz="0" w:space="0" w:color="auto"/>
              </w:divBdr>
            </w:div>
            <w:div w:id="1730416697">
              <w:marLeft w:val="0"/>
              <w:marRight w:val="0"/>
              <w:marTop w:val="0"/>
              <w:marBottom w:val="0"/>
              <w:divBdr>
                <w:top w:val="none" w:sz="0" w:space="0" w:color="auto"/>
                <w:left w:val="none" w:sz="0" w:space="0" w:color="auto"/>
                <w:bottom w:val="none" w:sz="0" w:space="0" w:color="auto"/>
                <w:right w:val="none" w:sz="0" w:space="0" w:color="auto"/>
              </w:divBdr>
            </w:div>
            <w:div w:id="2021925956">
              <w:marLeft w:val="0"/>
              <w:marRight w:val="0"/>
              <w:marTop w:val="0"/>
              <w:marBottom w:val="0"/>
              <w:divBdr>
                <w:top w:val="none" w:sz="0" w:space="0" w:color="auto"/>
                <w:left w:val="none" w:sz="0" w:space="0" w:color="auto"/>
                <w:bottom w:val="none" w:sz="0" w:space="0" w:color="auto"/>
                <w:right w:val="none" w:sz="0" w:space="0" w:color="auto"/>
              </w:divBdr>
            </w:div>
          </w:divsChild>
        </w:div>
        <w:div w:id="1952667016">
          <w:marLeft w:val="0"/>
          <w:marRight w:val="0"/>
          <w:marTop w:val="0"/>
          <w:marBottom w:val="0"/>
          <w:divBdr>
            <w:top w:val="none" w:sz="0" w:space="0" w:color="auto"/>
            <w:left w:val="none" w:sz="0" w:space="0" w:color="auto"/>
            <w:bottom w:val="none" w:sz="0" w:space="0" w:color="auto"/>
            <w:right w:val="none" w:sz="0" w:space="0" w:color="auto"/>
          </w:divBdr>
        </w:div>
      </w:divsChild>
    </w:div>
    <w:div w:id="1317030392">
      <w:bodyDiv w:val="1"/>
      <w:marLeft w:val="0"/>
      <w:marRight w:val="0"/>
      <w:marTop w:val="0"/>
      <w:marBottom w:val="0"/>
      <w:divBdr>
        <w:top w:val="none" w:sz="0" w:space="0" w:color="auto"/>
        <w:left w:val="none" w:sz="0" w:space="0" w:color="auto"/>
        <w:bottom w:val="none" w:sz="0" w:space="0" w:color="auto"/>
        <w:right w:val="none" w:sz="0" w:space="0" w:color="auto"/>
      </w:divBdr>
      <w:divsChild>
        <w:div w:id="101339490">
          <w:marLeft w:val="0"/>
          <w:marRight w:val="0"/>
          <w:marTop w:val="0"/>
          <w:marBottom w:val="0"/>
          <w:divBdr>
            <w:top w:val="none" w:sz="0" w:space="0" w:color="auto"/>
            <w:left w:val="none" w:sz="0" w:space="0" w:color="auto"/>
            <w:bottom w:val="none" w:sz="0" w:space="0" w:color="auto"/>
            <w:right w:val="none" w:sz="0" w:space="0" w:color="auto"/>
          </w:divBdr>
        </w:div>
        <w:div w:id="673386082">
          <w:marLeft w:val="0"/>
          <w:marRight w:val="0"/>
          <w:marTop w:val="0"/>
          <w:marBottom w:val="0"/>
          <w:divBdr>
            <w:top w:val="none" w:sz="0" w:space="0" w:color="auto"/>
            <w:left w:val="none" w:sz="0" w:space="0" w:color="auto"/>
            <w:bottom w:val="none" w:sz="0" w:space="0" w:color="auto"/>
            <w:right w:val="none" w:sz="0" w:space="0" w:color="auto"/>
          </w:divBdr>
        </w:div>
        <w:div w:id="775292395">
          <w:marLeft w:val="0"/>
          <w:marRight w:val="0"/>
          <w:marTop w:val="0"/>
          <w:marBottom w:val="0"/>
          <w:divBdr>
            <w:top w:val="none" w:sz="0" w:space="0" w:color="auto"/>
            <w:left w:val="none" w:sz="0" w:space="0" w:color="auto"/>
            <w:bottom w:val="none" w:sz="0" w:space="0" w:color="auto"/>
            <w:right w:val="none" w:sz="0" w:space="0" w:color="auto"/>
          </w:divBdr>
        </w:div>
        <w:div w:id="1234436334">
          <w:marLeft w:val="0"/>
          <w:marRight w:val="0"/>
          <w:marTop w:val="0"/>
          <w:marBottom w:val="0"/>
          <w:divBdr>
            <w:top w:val="none" w:sz="0" w:space="0" w:color="auto"/>
            <w:left w:val="none" w:sz="0" w:space="0" w:color="auto"/>
            <w:bottom w:val="none" w:sz="0" w:space="0" w:color="auto"/>
            <w:right w:val="none" w:sz="0" w:space="0" w:color="auto"/>
          </w:divBdr>
        </w:div>
        <w:div w:id="1345594481">
          <w:marLeft w:val="0"/>
          <w:marRight w:val="0"/>
          <w:marTop w:val="0"/>
          <w:marBottom w:val="0"/>
          <w:divBdr>
            <w:top w:val="none" w:sz="0" w:space="0" w:color="auto"/>
            <w:left w:val="none" w:sz="0" w:space="0" w:color="auto"/>
            <w:bottom w:val="none" w:sz="0" w:space="0" w:color="auto"/>
            <w:right w:val="none" w:sz="0" w:space="0" w:color="auto"/>
          </w:divBdr>
        </w:div>
        <w:div w:id="1597978253">
          <w:marLeft w:val="0"/>
          <w:marRight w:val="0"/>
          <w:marTop w:val="0"/>
          <w:marBottom w:val="0"/>
          <w:divBdr>
            <w:top w:val="none" w:sz="0" w:space="0" w:color="auto"/>
            <w:left w:val="none" w:sz="0" w:space="0" w:color="auto"/>
            <w:bottom w:val="none" w:sz="0" w:space="0" w:color="auto"/>
            <w:right w:val="none" w:sz="0" w:space="0" w:color="auto"/>
          </w:divBdr>
        </w:div>
      </w:divsChild>
    </w:div>
    <w:div w:id="1319380480">
      <w:bodyDiv w:val="1"/>
      <w:marLeft w:val="0"/>
      <w:marRight w:val="0"/>
      <w:marTop w:val="0"/>
      <w:marBottom w:val="0"/>
      <w:divBdr>
        <w:top w:val="none" w:sz="0" w:space="0" w:color="auto"/>
        <w:left w:val="none" w:sz="0" w:space="0" w:color="auto"/>
        <w:bottom w:val="none" w:sz="0" w:space="0" w:color="auto"/>
        <w:right w:val="none" w:sz="0" w:space="0" w:color="auto"/>
      </w:divBdr>
      <w:divsChild>
        <w:div w:id="531454184">
          <w:marLeft w:val="0"/>
          <w:marRight w:val="0"/>
          <w:marTop w:val="0"/>
          <w:marBottom w:val="0"/>
          <w:divBdr>
            <w:top w:val="none" w:sz="0" w:space="0" w:color="auto"/>
            <w:left w:val="none" w:sz="0" w:space="0" w:color="auto"/>
            <w:bottom w:val="none" w:sz="0" w:space="0" w:color="auto"/>
            <w:right w:val="none" w:sz="0" w:space="0" w:color="auto"/>
          </w:divBdr>
        </w:div>
        <w:div w:id="1357731024">
          <w:marLeft w:val="0"/>
          <w:marRight w:val="0"/>
          <w:marTop w:val="0"/>
          <w:marBottom w:val="0"/>
          <w:divBdr>
            <w:top w:val="none" w:sz="0" w:space="0" w:color="auto"/>
            <w:left w:val="none" w:sz="0" w:space="0" w:color="auto"/>
            <w:bottom w:val="none" w:sz="0" w:space="0" w:color="auto"/>
            <w:right w:val="none" w:sz="0" w:space="0" w:color="auto"/>
          </w:divBdr>
        </w:div>
        <w:div w:id="1043023731">
          <w:marLeft w:val="0"/>
          <w:marRight w:val="0"/>
          <w:marTop w:val="0"/>
          <w:marBottom w:val="0"/>
          <w:divBdr>
            <w:top w:val="none" w:sz="0" w:space="0" w:color="auto"/>
            <w:left w:val="none" w:sz="0" w:space="0" w:color="auto"/>
            <w:bottom w:val="none" w:sz="0" w:space="0" w:color="auto"/>
            <w:right w:val="none" w:sz="0" w:space="0" w:color="auto"/>
          </w:divBdr>
        </w:div>
        <w:div w:id="654065196">
          <w:marLeft w:val="0"/>
          <w:marRight w:val="0"/>
          <w:marTop w:val="0"/>
          <w:marBottom w:val="0"/>
          <w:divBdr>
            <w:top w:val="none" w:sz="0" w:space="0" w:color="auto"/>
            <w:left w:val="none" w:sz="0" w:space="0" w:color="auto"/>
            <w:bottom w:val="none" w:sz="0" w:space="0" w:color="auto"/>
            <w:right w:val="none" w:sz="0" w:space="0" w:color="auto"/>
          </w:divBdr>
        </w:div>
        <w:div w:id="1042707611">
          <w:marLeft w:val="0"/>
          <w:marRight w:val="0"/>
          <w:marTop w:val="0"/>
          <w:marBottom w:val="0"/>
          <w:divBdr>
            <w:top w:val="none" w:sz="0" w:space="0" w:color="auto"/>
            <w:left w:val="none" w:sz="0" w:space="0" w:color="auto"/>
            <w:bottom w:val="none" w:sz="0" w:space="0" w:color="auto"/>
            <w:right w:val="none" w:sz="0" w:space="0" w:color="auto"/>
          </w:divBdr>
        </w:div>
        <w:div w:id="2127114433">
          <w:marLeft w:val="0"/>
          <w:marRight w:val="0"/>
          <w:marTop w:val="0"/>
          <w:marBottom w:val="0"/>
          <w:divBdr>
            <w:top w:val="none" w:sz="0" w:space="0" w:color="auto"/>
            <w:left w:val="none" w:sz="0" w:space="0" w:color="auto"/>
            <w:bottom w:val="none" w:sz="0" w:space="0" w:color="auto"/>
            <w:right w:val="none" w:sz="0" w:space="0" w:color="auto"/>
          </w:divBdr>
        </w:div>
        <w:div w:id="2089689128">
          <w:marLeft w:val="0"/>
          <w:marRight w:val="0"/>
          <w:marTop w:val="0"/>
          <w:marBottom w:val="0"/>
          <w:divBdr>
            <w:top w:val="none" w:sz="0" w:space="0" w:color="auto"/>
            <w:left w:val="none" w:sz="0" w:space="0" w:color="auto"/>
            <w:bottom w:val="none" w:sz="0" w:space="0" w:color="auto"/>
            <w:right w:val="none" w:sz="0" w:space="0" w:color="auto"/>
          </w:divBdr>
        </w:div>
        <w:div w:id="973371253">
          <w:marLeft w:val="0"/>
          <w:marRight w:val="0"/>
          <w:marTop w:val="0"/>
          <w:marBottom w:val="0"/>
          <w:divBdr>
            <w:top w:val="none" w:sz="0" w:space="0" w:color="auto"/>
            <w:left w:val="none" w:sz="0" w:space="0" w:color="auto"/>
            <w:bottom w:val="none" w:sz="0" w:space="0" w:color="auto"/>
            <w:right w:val="none" w:sz="0" w:space="0" w:color="auto"/>
          </w:divBdr>
        </w:div>
        <w:div w:id="2117171149">
          <w:marLeft w:val="0"/>
          <w:marRight w:val="0"/>
          <w:marTop w:val="0"/>
          <w:marBottom w:val="0"/>
          <w:divBdr>
            <w:top w:val="none" w:sz="0" w:space="0" w:color="auto"/>
            <w:left w:val="none" w:sz="0" w:space="0" w:color="auto"/>
            <w:bottom w:val="none" w:sz="0" w:space="0" w:color="auto"/>
            <w:right w:val="none" w:sz="0" w:space="0" w:color="auto"/>
          </w:divBdr>
        </w:div>
        <w:div w:id="690843219">
          <w:marLeft w:val="0"/>
          <w:marRight w:val="0"/>
          <w:marTop w:val="0"/>
          <w:marBottom w:val="0"/>
          <w:divBdr>
            <w:top w:val="none" w:sz="0" w:space="0" w:color="auto"/>
            <w:left w:val="none" w:sz="0" w:space="0" w:color="auto"/>
            <w:bottom w:val="none" w:sz="0" w:space="0" w:color="auto"/>
            <w:right w:val="none" w:sz="0" w:space="0" w:color="auto"/>
          </w:divBdr>
        </w:div>
        <w:div w:id="496960808">
          <w:marLeft w:val="0"/>
          <w:marRight w:val="0"/>
          <w:marTop w:val="0"/>
          <w:marBottom w:val="0"/>
          <w:divBdr>
            <w:top w:val="none" w:sz="0" w:space="0" w:color="auto"/>
            <w:left w:val="none" w:sz="0" w:space="0" w:color="auto"/>
            <w:bottom w:val="none" w:sz="0" w:space="0" w:color="auto"/>
            <w:right w:val="none" w:sz="0" w:space="0" w:color="auto"/>
          </w:divBdr>
        </w:div>
      </w:divsChild>
    </w:div>
    <w:div w:id="1376463748">
      <w:bodyDiv w:val="1"/>
      <w:marLeft w:val="0"/>
      <w:marRight w:val="0"/>
      <w:marTop w:val="0"/>
      <w:marBottom w:val="0"/>
      <w:divBdr>
        <w:top w:val="none" w:sz="0" w:space="0" w:color="auto"/>
        <w:left w:val="none" w:sz="0" w:space="0" w:color="auto"/>
        <w:bottom w:val="none" w:sz="0" w:space="0" w:color="auto"/>
        <w:right w:val="none" w:sz="0" w:space="0" w:color="auto"/>
      </w:divBdr>
      <w:divsChild>
        <w:div w:id="1457413445">
          <w:marLeft w:val="0"/>
          <w:marRight w:val="0"/>
          <w:marTop w:val="0"/>
          <w:marBottom w:val="0"/>
          <w:divBdr>
            <w:top w:val="none" w:sz="0" w:space="0" w:color="auto"/>
            <w:left w:val="none" w:sz="0" w:space="0" w:color="auto"/>
            <w:bottom w:val="none" w:sz="0" w:space="0" w:color="auto"/>
            <w:right w:val="none" w:sz="0" w:space="0" w:color="auto"/>
          </w:divBdr>
        </w:div>
        <w:div w:id="297149126">
          <w:marLeft w:val="0"/>
          <w:marRight w:val="0"/>
          <w:marTop w:val="0"/>
          <w:marBottom w:val="0"/>
          <w:divBdr>
            <w:top w:val="none" w:sz="0" w:space="0" w:color="auto"/>
            <w:left w:val="none" w:sz="0" w:space="0" w:color="auto"/>
            <w:bottom w:val="none" w:sz="0" w:space="0" w:color="auto"/>
            <w:right w:val="none" w:sz="0" w:space="0" w:color="auto"/>
          </w:divBdr>
          <w:divsChild>
            <w:div w:id="904298176">
              <w:marLeft w:val="0"/>
              <w:marRight w:val="0"/>
              <w:marTop w:val="0"/>
              <w:marBottom w:val="0"/>
              <w:divBdr>
                <w:top w:val="none" w:sz="0" w:space="0" w:color="auto"/>
                <w:left w:val="none" w:sz="0" w:space="0" w:color="auto"/>
                <w:bottom w:val="none" w:sz="0" w:space="0" w:color="auto"/>
                <w:right w:val="none" w:sz="0" w:space="0" w:color="auto"/>
              </w:divBdr>
            </w:div>
            <w:div w:id="1198859333">
              <w:marLeft w:val="0"/>
              <w:marRight w:val="0"/>
              <w:marTop w:val="0"/>
              <w:marBottom w:val="0"/>
              <w:divBdr>
                <w:top w:val="none" w:sz="0" w:space="0" w:color="auto"/>
                <w:left w:val="none" w:sz="0" w:space="0" w:color="auto"/>
                <w:bottom w:val="none" w:sz="0" w:space="0" w:color="auto"/>
                <w:right w:val="none" w:sz="0" w:space="0" w:color="auto"/>
              </w:divBdr>
            </w:div>
            <w:div w:id="22631615">
              <w:marLeft w:val="0"/>
              <w:marRight w:val="0"/>
              <w:marTop w:val="0"/>
              <w:marBottom w:val="0"/>
              <w:divBdr>
                <w:top w:val="none" w:sz="0" w:space="0" w:color="auto"/>
                <w:left w:val="none" w:sz="0" w:space="0" w:color="auto"/>
                <w:bottom w:val="none" w:sz="0" w:space="0" w:color="auto"/>
                <w:right w:val="none" w:sz="0" w:space="0" w:color="auto"/>
              </w:divBdr>
            </w:div>
            <w:div w:id="977884006">
              <w:marLeft w:val="0"/>
              <w:marRight w:val="0"/>
              <w:marTop w:val="0"/>
              <w:marBottom w:val="0"/>
              <w:divBdr>
                <w:top w:val="none" w:sz="0" w:space="0" w:color="auto"/>
                <w:left w:val="none" w:sz="0" w:space="0" w:color="auto"/>
                <w:bottom w:val="none" w:sz="0" w:space="0" w:color="auto"/>
                <w:right w:val="none" w:sz="0" w:space="0" w:color="auto"/>
              </w:divBdr>
            </w:div>
            <w:div w:id="85884859">
              <w:marLeft w:val="0"/>
              <w:marRight w:val="0"/>
              <w:marTop w:val="0"/>
              <w:marBottom w:val="0"/>
              <w:divBdr>
                <w:top w:val="none" w:sz="0" w:space="0" w:color="auto"/>
                <w:left w:val="none" w:sz="0" w:space="0" w:color="auto"/>
                <w:bottom w:val="none" w:sz="0" w:space="0" w:color="auto"/>
                <w:right w:val="none" w:sz="0" w:space="0" w:color="auto"/>
              </w:divBdr>
            </w:div>
            <w:div w:id="1545168650">
              <w:marLeft w:val="0"/>
              <w:marRight w:val="0"/>
              <w:marTop w:val="0"/>
              <w:marBottom w:val="0"/>
              <w:divBdr>
                <w:top w:val="none" w:sz="0" w:space="0" w:color="auto"/>
                <w:left w:val="none" w:sz="0" w:space="0" w:color="auto"/>
                <w:bottom w:val="none" w:sz="0" w:space="0" w:color="auto"/>
                <w:right w:val="none" w:sz="0" w:space="0" w:color="auto"/>
              </w:divBdr>
            </w:div>
          </w:divsChild>
        </w:div>
        <w:div w:id="695692421">
          <w:marLeft w:val="0"/>
          <w:marRight w:val="0"/>
          <w:marTop w:val="0"/>
          <w:marBottom w:val="0"/>
          <w:divBdr>
            <w:top w:val="none" w:sz="0" w:space="0" w:color="auto"/>
            <w:left w:val="none" w:sz="0" w:space="0" w:color="auto"/>
            <w:bottom w:val="none" w:sz="0" w:space="0" w:color="auto"/>
            <w:right w:val="none" w:sz="0" w:space="0" w:color="auto"/>
          </w:divBdr>
        </w:div>
      </w:divsChild>
    </w:div>
    <w:div w:id="1384328934">
      <w:bodyDiv w:val="1"/>
      <w:marLeft w:val="0"/>
      <w:marRight w:val="0"/>
      <w:marTop w:val="0"/>
      <w:marBottom w:val="0"/>
      <w:divBdr>
        <w:top w:val="none" w:sz="0" w:space="0" w:color="auto"/>
        <w:left w:val="none" w:sz="0" w:space="0" w:color="auto"/>
        <w:bottom w:val="none" w:sz="0" w:space="0" w:color="auto"/>
        <w:right w:val="none" w:sz="0" w:space="0" w:color="auto"/>
      </w:divBdr>
    </w:div>
    <w:div w:id="1393844608">
      <w:bodyDiv w:val="1"/>
      <w:marLeft w:val="0"/>
      <w:marRight w:val="0"/>
      <w:marTop w:val="0"/>
      <w:marBottom w:val="0"/>
      <w:divBdr>
        <w:top w:val="none" w:sz="0" w:space="0" w:color="auto"/>
        <w:left w:val="none" w:sz="0" w:space="0" w:color="auto"/>
        <w:bottom w:val="none" w:sz="0" w:space="0" w:color="auto"/>
        <w:right w:val="none" w:sz="0" w:space="0" w:color="auto"/>
      </w:divBdr>
      <w:divsChild>
        <w:div w:id="121729764">
          <w:marLeft w:val="0"/>
          <w:marRight w:val="0"/>
          <w:marTop w:val="0"/>
          <w:marBottom w:val="0"/>
          <w:divBdr>
            <w:top w:val="none" w:sz="0" w:space="0" w:color="auto"/>
            <w:left w:val="none" w:sz="0" w:space="0" w:color="auto"/>
            <w:bottom w:val="none" w:sz="0" w:space="0" w:color="auto"/>
            <w:right w:val="none" w:sz="0" w:space="0" w:color="auto"/>
          </w:divBdr>
        </w:div>
        <w:div w:id="986402844">
          <w:marLeft w:val="0"/>
          <w:marRight w:val="0"/>
          <w:marTop w:val="0"/>
          <w:marBottom w:val="0"/>
          <w:divBdr>
            <w:top w:val="none" w:sz="0" w:space="0" w:color="auto"/>
            <w:left w:val="none" w:sz="0" w:space="0" w:color="auto"/>
            <w:bottom w:val="none" w:sz="0" w:space="0" w:color="auto"/>
            <w:right w:val="none" w:sz="0" w:space="0" w:color="auto"/>
          </w:divBdr>
        </w:div>
        <w:div w:id="1411924246">
          <w:marLeft w:val="0"/>
          <w:marRight w:val="0"/>
          <w:marTop w:val="0"/>
          <w:marBottom w:val="0"/>
          <w:divBdr>
            <w:top w:val="none" w:sz="0" w:space="0" w:color="auto"/>
            <w:left w:val="none" w:sz="0" w:space="0" w:color="auto"/>
            <w:bottom w:val="none" w:sz="0" w:space="0" w:color="auto"/>
            <w:right w:val="none" w:sz="0" w:space="0" w:color="auto"/>
          </w:divBdr>
        </w:div>
        <w:div w:id="1739589558">
          <w:marLeft w:val="0"/>
          <w:marRight w:val="0"/>
          <w:marTop w:val="0"/>
          <w:marBottom w:val="0"/>
          <w:divBdr>
            <w:top w:val="none" w:sz="0" w:space="0" w:color="auto"/>
            <w:left w:val="none" w:sz="0" w:space="0" w:color="auto"/>
            <w:bottom w:val="none" w:sz="0" w:space="0" w:color="auto"/>
            <w:right w:val="none" w:sz="0" w:space="0" w:color="auto"/>
          </w:divBdr>
        </w:div>
        <w:div w:id="1929731297">
          <w:marLeft w:val="0"/>
          <w:marRight w:val="0"/>
          <w:marTop w:val="0"/>
          <w:marBottom w:val="0"/>
          <w:divBdr>
            <w:top w:val="none" w:sz="0" w:space="0" w:color="auto"/>
            <w:left w:val="none" w:sz="0" w:space="0" w:color="auto"/>
            <w:bottom w:val="none" w:sz="0" w:space="0" w:color="auto"/>
            <w:right w:val="none" w:sz="0" w:space="0" w:color="auto"/>
          </w:divBdr>
        </w:div>
      </w:divsChild>
    </w:div>
    <w:div w:id="1395549281">
      <w:bodyDiv w:val="1"/>
      <w:marLeft w:val="0"/>
      <w:marRight w:val="0"/>
      <w:marTop w:val="0"/>
      <w:marBottom w:val="0"/>
      <w:divBdr>
        <w:top w:val="none" w:sz="0" w:space="0" w:color="auto"/>
        <w:left w:val="none" w:sz="0" w:space="0" w:color="auto"/>
        <w:bottom w:val="none" w:sz="0" w:space="0" w:color="auto"/>
        <w:right w:val="none" w:sz="0" w:space="0" w:color="auto"/>
      </w:divBdr>
      <w:divsChild>
        <w:div w:id="1218707728">
          <w:marLeft w:val="0"/>
          <w:marRight w:val="0"/>
          <w:marTop w:val="0"/>
          <w:marBottom w:val="0"/>
          <w:divBdr>
            <w:top w:val="none" w:sz="0" w:space="0" w:color="auto"/>
            <w:left w:val="none" w:sz="0" w:space="0" w:color="auto"/>
            <w:bottom w:val="none" w:sz="0" w:space="0" w:color="auto"/>
            <w:right w:val="none" w:sz="0" w:space="0" w:color="auto"/>
          </w:divBdr>
          <w:divsChild>
            <w:div w:id="1235431343">
              <w:marLeft w:val="0"/>
              <w:marRight w:val="0"/>
              <w:marTop w:val="0"/>
              <w:marBottom w:val="0"/>
              <w:divBdr>
                <w:top w:val="none" w:sz="0" w:space="0" w:color="auto"/>
                <w:left w:val="none" w:sz="0" w:space="0" w:color="auto"/>
                <w:bottom w:val="none" w:sz="0" w:space="0" w:color="auto"/>
                <w:right w:val="none" w:sz="0" w:space="0" w:color="auto"/>
              </w:divBdr>
            </w:div>
            <w:div w:id="1846240574">
              <w:marLeft w:val="0"/>
              <w:marRight w:val="0"/>
              <w:marTop w:val="0"/>
              <w:marBottom w:val="0"/>
              <w:divBdr>
                <w:top w:val="none" w:sz="0" w:space="0" w:color="auto"/>
                <w:left w:val="none" w:sz="0" w:space="0" w:color="auto"/>
                <w:bottom w:val="none" w:sz="0" w:space="0" w:color="auto"/>
                <w:right w:val="none" w:sz="0" w:space="0" w:color="auto"/>
              </w:divBdr>
            </w:div>
            <w:div w:id="683897075">
              <w:marLeft w:val="0"/>
              <w:marRight w:val="0"/>
              <w:marTop w:val="0"/>
              <w:marBottom w:val="0"/>
              <w:divBdr>
                <w:top w:val="none" w:sz="0" w:space="0" w:color="auto"/>
                <w:left w:val="none" w:sz="0" w:space="0" w:color="auto"/>
                <w:bottom w:val="none" w:sz="0" w:space="0" w:color="auto"/>
                <w:right w:val="none" w:sz="0" w:space="0" w:color="auto"/>
              </w:divBdr>
            </w:div>
            <w:div w:id="850414581">
              <w:marLeft w:val="0"/>
              <w:marRight w:val="0"/>
              <w:marTop w:val="0"/>
              <w:marBottom w:val="0"/>
              <w:divBdr>
                <w:top w:val="none" w:sz="0" w:space="0" w:color="auto"/>
                <w:left w:val="none" w:sz="0" w:space="0" w:color="auto"/>
                <w:bottom w:val="none" w:sz="0" w:space="0" w:color="auto"/>
                <w:right w:val="none" w:sz="0" w:space="0" w:color="auto"/>
              </w:divBdr>
            </w:div>
            <w:div w:id="210658912">
              <w:marLeft w:val="0"/>
              <w:marRight w:val="0"/>
              <w:marTop w:val="0"/>
              <w:marBottom w:val="0"/>
              <w:divBdr>
                <w:top w:val="none" w:sz="0" w:space="0" w:color="auto"/>
                <w:left w:val="none" w:sz="0" w:space="0" w:color="auto"/>
                <w:bottom w:val="none" w:sz="0" w:space="0" w:color="auto"/>
                <w:right w:val="none" w:sz="0" w:space="0" w:color="auto"/>
              </w:divBdr>
            </w:div>
            <w:div w:id="551845282">
              <w:marLeft w:val="0"/>
              <w:marRight w:val="0"/>
              <w:marTop w:val="0"/>
              <w:marBottom w:val="0"/>
              <w:divBdr>
                <w:top w:val="none" w:sz="0" w:space="0" w:color="auto"/>
                <w:left w:val="none" w:sz="0" w:space="0" w:color="auto"/>
                <w:bottom w:val="none" w:sz="0" w:space="0" w:color="auto"/>
                <w:right w:val="none" w:sz="0" w:space="0" w:color="auto"/>
              </w:divBdr>
            </w:div>
            <w:div w:id="1418945984">
              <w:marLeft w:val="0"/>
              <w:marRight w:val="0"/>
              <w:marTop w:val="0"/>
              <w:marBottom w:val="0"/>
              <w:divBdr>
                <w:top w:val="none" w:sz="0" w:space="0" w:color="auto"/>
                <w:left w:val="none" w:sz="0" w:space="0" w:color="auto"/>
                <w:bottom w:val="none" w:sz="0" w:space="0" w:color="auto"/>
                <w:right w:val="none" w:sz="0" w:space="0" w:color="auto"/>
              </w:divBdr>
            </w:div>
            <w:div w:id="347367901">
              <w:marLeft w:val="0"/>
              <w:marRight w:val="0"/>
              <w:marTop w:val="0"/>
              <w:marBottom w:val="0"/>
              <w:divBdr>
                <w:top w:val="none" w:sz="0" w:space="0" w:color="auto"/>
                <w:left w:val="none" w:sz="0" w:space="0" w:color="auto"/>
                <w:bottom w:val="none" w:sz="0" w:space="0" w:color="auto"/>
                <w:right w:val="none" w:sz="0" w:space="0" w:color="auto"/>
              </w:divBdr>
            </w:div>
            <w:div w:id="1608079075">
              <w:marLeft w:val="0"/>
              <w:marRight w:val="0"/>
              <w:marTop w:val="0"/>
              <w:marBottom w:val="0"/>
              <w:divBdr>
                <w:top w:val="none" w:sz="0" w:space="0" w:color="auto"/>
                <w:left w:val="none" w:sz="0" w:space="0" w:color="auto"/>
                <w:bottom w:val="none" w:sz="0" w:space="0" w:color="auto"/>
                <w:right w:val="none" w:sz="0" w:space="0" w:color="auto"/>
              </w:divBdr>
            </w:div>
            <w:div w:id="136806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612588">
      <w:bodyDiv w:val="1"/>
      <w:marLeft w:val="0"/>
      <w:marRight w:val="0"/>
      <w:marTop w:val="0"/>
      <w:marBottom w:val="0"/>
      <w:divBdr>
        <w:top w:val="none" w:sz="0" w:space="0" w:color="auto"/>
        <w:left w:val="none" w:sz="0" w:space="0" w:color="auto"/>
        <w:bottom w:val="none" w:sz="0" w:space="0" w:color="auto"/>
        <w:right w:val="none" w:sz="0" w:space="0" w:color="auto"/>
      </w:divBdr>
    </w:div>
    <w:div w:id="1422334664">
      <w:bodyDiv w:val="1"/>
      <w:marLeft w:val="0"/>
      <w:marRight w:val="0"/>
      <w:marTop w:val="0"/>
      <w:marBottom w:val="0"/>
      <w:divBdr>
        <w:top w:val="none" w:sz="0" w:space="0" w:color="auto"/>
        <w:left w:val="none" w:sz="0" w:space="0" w:color="auto"/>
        <w:bottom w:val="none" w:sz="0" w:space="0" w:color="auto"/>
        <w:right w:val="none" w:sz="0" w:space="0" w:color="auto"/>
      </w:divBdr>
      <w:divsChild>
        <w:div w:id="641469225">
          <w:marLeft w:val="0"/>
          <w:marRight w:val="0"/>
          <w:marTop w:val="0"/>
          <w:marBottom w:val="0"/>
          <w:divBdr>
            <w:top w:val="none" w:sz="0" w:space="0" w:color="auto"/>
            <w:left w:val="none" w:sz="0" w:space="0" w:color="auto"/>
            <w:bottom w:val="none" w:sz="0" w:space="0" w:color="auto"/>
            <w:right w:val="none" w:sz="0" w:space="0" w:color="auto"/>
          </w:divBdr>
          <w:divsChild>
            <w:div w:id="443766181">
              <w:marLeft w:val="0"/>
              <w:marRight w:val="0"/>
              <w:marTop w:val="0"/>
              <w:marBottom w:val="0"/>
              <w:divBdr>
                <w:top w:val="none" w:sz="0" w:space="0" w:color="auto"/>
                <w:left w:val="none" w:sz="0" w:space="0" w:color="auto"/>
                <w:bottom w:val="none" w:sz="0" w:space="0" w:color="auto"/>
                <w:right w:val="none" w:sz="0" w:space="0" w:color="auto"/>
              </w:divBdr>
            </w:div>
            <w:div w:id="1268974042">
              <w:marLeft w:val="0"/>
              <w:marRight w:val="0"/>
              <w:marTop w:val="0"/>
              <w:marBottom w:val="0"/>
              <w:divBdr>
                <w:top w:val="none" w:sz="0" w:space="0" w:color="auto"/>
                <w:left w:val="none" w:sz="0" w:space="0" w:color="auto"/>
                <w:bottom w:val="none" w:sz="0" w:space="0" w:color="auto"/>
                <w:right w:val="none" w:sz="0" w:space="0" w:color="auto"/>
              </w:divBdr>
            </w:div>
            <w:div w:id="1293637225">
              <w:marLeft w:val="0"/>
              <w:marRight w:val="0"/>
              <w:marTop w:val="0"/>
              <w:marBottom w:val="0"/>
              <w:divBdr>
                <w:top w:val="none" w:sz="0" w:space="0" w:color="auto"/>
                <w:left w:val="none" w:sz="0" w:space="0" w:color="auto"/>
                <w:bottom w:val="none" w:sz="0" w:space="0" w:color="auto"/>
                <w:right w:val="none" w:sz="0" w:space="0" w:color="auto"/>
              </w:divBdr>
            </w:div>
          </w:divsChild>
        </w:div>
        <w:div w:id="936524543">
          <w:marLeft w:val="0"/>
          <w:marRight w:val="0"/>
          <w:marTop w:val="0"/>
          <w:marBottom w:val="0"/>
          <w:divBdr>
            <w:top w:val="none" w:sz="0" w:space="0" w:color="auto"/>
            <w:left w:val="none" w:sz="0" w:space="0" w:color="auto"/>
            <w:bottom w:val="none" w:sz="0" w:space="0" w:color="auto"/>
            <w:right w:val="none" w:sz="0" w:space="0" w:color="auto"/>
          </w:divBdr>
          <w:divsChild>
            <w:div w:id="1015812506">
              <w:marLeft w:val="0"/>
              <w:marRight w:val="0"/>
              <w:marTop w:val="0"/>
              <w:marBottom w:val="0"/>
              <w:divBdr>
                <w:top w:val="none" w:sz="0" w:space="0" w:color="auto"/>
                <w:left w:val="none" w:sz="0" w:space="0" w:color="auto"/>
                <w:bottom w:val="none" w:sz="0" w:space="0" w:color="auto"/>
                <w:right w:val="none" w:sz="0" w:space="0" w:color="auto"/>
              </w:divBdr>
            </w:div>
            <w:div w:id="1191449993">
              <w:marLeft w:val="0"/>
              <w:marRight w:val="0"/>
              <w:marTop w:val="0"/>
              <w:marBottom w:val="0"/>
              <w:divBdr>
                <w:top w:val="none" w:sz="0" w:space="0" w:color="auto"/>
                <w:left w:val="none" w:sz="0" w:space="0" w:color="auto"/>
                <w:bottom w:val="none" w:sz="0" w:space="0" w:color="auto"/>
                <w:right w:val="none" w:sz="0" w:space="0" w:color="auto"/>
              </w:divBdr>
            </w:div>
            <w:div w:id="136853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903960">
      <w:bodyDiv w:val="1"/>
      <w:marLeft w:val="0"/>
      <w:marRight w:val="0"/>
      <w:marTop w:val="0"/>
      <w:marBottom w:val="0"/>
      <w:divBdr>
        <w:top w:val="none" w:sz="0" w:space="0" w:color="auto"/>
        <w:left w:val="none" w:sz="0" w:space="0" w:color="auto"/>
        <w:bottom w:val="none" w:sz="0" w:space="0" w:color="auto"/>
        <w:right w:val="none" w:sz="0" w:space="0" w:color="auto"/>
      </w:divBdr>
      <w:divsChild>
        <w:div w:id="402803102">
          <w:marLeft w:val="0"/>
          <w:marRight w:val="0"/>
          <w:marTop w:val="0"/>
          <w:marBottom w:val="0"/>
          <w:divBdr>
            <w:top w:val="none" w:sz="0" w:space="0" w:color="auto"/>
            <w:left w:val="none" w:sz="0" w:space="0" w:color="auto"/>
            <w:bottom w:val="none" w:sz="0" w:space="0" w:color="auto"/>
            <w:right w:val="none" w:sz="0" w:space="0" w:color="auto"/>
          </w:divBdr>
          <w:divsChild>
            <w:div w:id="297343519">
              <w:marLeft w:val="0"/>
              <w:marRight w:val="0"/>
              <w:marTop w:val="0"/>
              <w:marBottom w:val="0"/>
              <w:divBdr>
                <w:top w:val="none" w:sz="0" w:space="0" w:color="auto"/>
                <w:left w:val="none" w:sz="0" w:space="0" w:color="auto"/>
                <w:bottom w:val="none" w:sz="0" w:space="0" w:color="auto"/>
                <w:right w:val="none" w:sz="0" w:space="0" w:color="auto"/>
              </w:divBdr>
            </w:div>
            <w:div w:id="566502918">
              <w:marLeft w:val="0"/>
              <w:marRight w:val="0"/>
              <w:marTop w:val="0"/>
              <w:marBottom w:val="0"/>
              <w:divBdr>
                <w:top w:val="none" w:sz="0" w:space="0" w:color="auto"/>
                <w:left w:val="none" w:sz="0" w:space="0" w:color="auto"/>
                <w:bottom w:val="none" w:sz="0" w:space="0" w:color="auto"/>
                <w:right w:val="none" w:sz="0" w:space="0" w:color="auto"/>
              </w:divBdr>
            </w:div>
            <w:div w:id="969018236">
              <w:marLeft w:val="0"/>
              <w:marRight w:val="0"/>
              <w:marTop w:val="0"/>
              <w:marBottom w:val="0"/>
              <w:divBdr>
                <w:top w:val="none" w:sz="0" w:space="0" w:color="auto"/>
                <w:left w:val="none" w:sz="0" w:space="0" w:color="auto"/>
                <w:bottom w:val="none" w:sz="0" w:space="0" w:color="auto"/>
                <w:right w:val="none" w:sz="0" w:space="0" w:color="auto"/>
              </w:divBdr>
            </w:div>
            <w:div w:id="1162815451">
              <w:marLeft w:val="0"/>
              <w:marRight w:val="0"/>
              <w:marTop w:val="0"/>
              <w:marBottom w:val="0"/>
              <w:divBdr>
                <w:top w:val="none" w:sz="0" w:space="0" w:color="auto"/>
                <w:left w:val="none" w:sz="0" w:space="0" w:color="auto"/>
                <w:bottom w:val="none" w:sz="0" w:space="0" w:color="auto"/>
                <w:right w:val="none" w:sz="0" w:space="0" w:color="auto"/>
              </w:divBdr>
            </w:div>
          </w:divsChild>
        </w:div>
        <w:div w:id="672103880">
          <w:marLeft w:val="0"/>
          <w:marRight w:val="0"/>
          <w:marTop w:val="0"/>
          <w:marBottom w:val="0"/>
          <w:divBdr>
            <w:top w:val="none" w:sz="0" w:space="0" w:color="auto"/>
            <w:left w:val="none" w:sz="0" w:space="0" w:color="auto"/>
            <w:bottom w:val="none" w:sz="0" w:space="0" w:color="auto"/>
            <w:right w:val="none" w:sz="0" w:space="0" w:color="auto"/>
          </w:divBdr>
        </w:div>
      </w:divsChild>
    </w:div>
    <w:div w:id="1493254834">
      <w:bodyDiv w:val="1"/>
      <w:marLeft w:val="0"/>
      <w:marRight w:val="0"/>
      <w:marTop w:val="0"/>
      <w:marBottom w:val="0"/>
      <w:divBdr>
        <w:top w:val="none" w:sz="0" w:space="0" w:color="auto"/>
        <w:left w:val="none" w:sz="0" w:space="0" w:color="auto"/>
        <w:bottom w:val="none" w:sz="0" w:space="0" w:color="auto"/>
        <w:right w:val="none" w:sz="0" w:space="0" w:color="auto"/>
      </w:divBdr>
      <w:divsChild>
        <w:div w:id="2106918568">
          <w:marLeft w:val="0"/>
          <w:marRight w:val="0"/>
          <w:marTop w:val="0"/>
          <w:marBottom w:val="0"/>
          <w:divBdr>
            <w:top w:val="none" w:sz="0" w:space="0" w:color="auto"/>
            <w:left w:val="none" w:sz="0" w:space="0" w:color="auto"/>
            <w:bottom w:val="none" w:sz="0" w:space="0" w:color="auto"/>
            <w:right w:val="none" w:sz="0" w:space="0" w:color="auto"/>
          </w:divBdr>
          <w:divsChild>
            <w:div w:id="317922096">
              <w:marLeft w:val="0"/>
              <w:marRight w:val="0"/>
              <w:marTop w:val="0"/>
              <w:marBottom w:val="0"/>
              <w:divBdr>
                <w:top w:val="none" w:sz="0" w:space="0" w:color="auto"/>
                <w:left w:val="none" w:sz="0" w:space="0" w:color="auto"/>
                <w:bottom w:val="none" w:sz="0" w:space="0" w:color="auto"/>
                <w:right w:val="none" w:sz="0" w:space="0" w:color="auto"/>
              </w:divBdr>
              <w:divsChild>
                <w:div w:id="133098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003319">
      <w:bodyDiv w:val="1"/>
      <w:marLeft w:val="0"/>
      <w:marRight w:val="0"/>
      <w:marTop w:val="0"/>
      <w:marBottom w:val="0"/>
      <w:divBdr>
        <w:top w:val="none" w:sz="0" w:space="0" w:color="auto"/>
        <w:left w:val="none" w:sz="0" w:space="0" w:color="auto"/>
        <w:bottom w:val="none" w:sz="0" w:space="0" w:color="auto"/>
        <w:right w:val="none" w:sz="0" w:space="0" w:color="auto"/>
      </w:divBdr>
      <w:divsChild>
        <w:div w:id="894240774">
          <w:marLeft w:val="0"/>
          <w:marRight w:val="0"/>
          <w:marTop w:val="0"/>
          <w:marBottom w:val="0"/>
          <w:divBdr>
            <w:top w:val="none" w:sz="0" w:space="0" w:color="auto"/>
            <w:left w:val="none" w:sz="0" w:space="0" w:color="auto"/>
            <w:bottom w:val="none" w:sz="0" w:space="0" w:color="auto"/>
            <w:right w:val="none" w:sz="0" w:space="0" w:color="auto"/>
          </w:divBdr>
        </w:div>
      </w:divsChild>
    </w:div>
    <w:div w:id="1529640181">
      <w:bodyDiv w:val="1"/>
      <w:marLeft w:val="0"/>
      <w:marRight w:val="0"/>
      <w:marTop w:val="0"/>
      <w:marBottom w:val="0"/>
      <w:divBdr>
        <w:top w:val="none" w:sz="0" w:space="0" w:color="auto"/>
        <w:left w:val="none" w:sz="0" w:space="0" w:color="auto"/>
        <w:bottom w:val="none" w:sz="0" w:space="0" w:color="auto"/>
        <w:right w:val="none" w:sz="0" w:space="0" w:color="auto"/>
      </w:divBdr>
      <w:divsChild>
        <w:div w:id="202138426">
          <w:marLeft w:val="0"/>
          <w:marRight w:val="0"/>
          <w:marTop w:val="0"/>
          <w:marBottom w:val="0"/>
          <w:divBdr>
            <w:top w:val="none" w:sz="0" w:space="0" w:color="auto"/>
            <w:left w:val="none" w:sz="0" w:space="0" w:color="auto"/>
            <w:bottom w:val="none" w:sz="0" w:space="0" w:color="auto"/>
            <w:right w:val="none" w:sz="0" w:space="0" w:color="auto"/>
          </w:divBdr>
        </w:div>
        <w:div w:id="591090675">
          <w:marLeft w:val="0"/>
          <w:marRight w:val="0"/>
          <w:marTop w:val="0"/>
          <w:marBottom w:val="0"/>
          <w:divBdr>
            <w:top w:val="none" w:sz="0" w:space="0" w:color="auto"/>
            <w:left w:val="none" w:sz="0" w:space="0" w:color="auto"/>
            <w:bottom w:val="none" w:sz="0" w:space="0" w:color="auto"/>
            <w:right w:val="none" w:sz="0" w:space="0" w:color="auto"/>
          </w:divBdr>
        </w:div>
        <w:div w:id="838273795">
          <w:marLeft w:val="0"/>
          <w:marRight w:val="0"/>
          <w:marTop w:val="0"/>
          <w:marBottom w:val="0"/>
          <w:divBdr>
            <w:top w:val="none" w:sz="0" w:space="0" w:color="auto"/>
            <w:left w:val="none" w:sz="0" w:space="0" w:color="auto"/>
            <w:bottom w:val="none" w:sz="0" w:space="0" w:color="auto"/>
            <w:right w:val="none" w:sz="0" w:space="0" w:color="auto"/>
          </w:divBdr>
        </w:div>
        <w:div w:id="1092822209">
          <w:marLeft w:val="0"/>
          <w:marRight w:val="0"/>
          <w:marTop w:val="0"/>
          <w:marBottom w:val="0"/>
          <w:divBdr>
            <w:top w:val="none" w:sz="0" w:space="0" w:color="auto"/>
            <w:left w:val="none" w:sz="0" w:space="0" w:color="auto"/>
            <w:bottom w:val="none" w:sz="0" w:space="0" w:color="auto"/>
            <w:right w:val="none" w:sz="0" w:space="0" w:color="auto"/>
          </w:divBdr>
        </w:div>
        <w:div w:id="1502551091">
          <w:marLeft w:val="0"/>
          <w:marRight w:val="0"/>
          <w:marTop w:val="0"/>
          <w:marBottom w:val="0"/>
          <w:divBdr>
            <w:top w:val="none" w:sz="0" w:space="0" w:color="auto"/>
            <w:left w:val="none" w:sz="0" w:space="0" w:color="auto"/>
            <w:bottom w:val="none" w:sz="0" w:space="0" w:color="auto"/>
            <w:right w:val="none" w:sz="0" w:space="0" w:color="auto"/>
          </w:divBdr>
        </w:div>
      </w:divsChild>
    </w:div>
    <w:div w:id="1540781552">
      <w:bodyDiv w:val="1"/>
      <w:marLeft w:val="0"/>
      <w:marRight w:val="0"/>
      <w:marTop w:val="0"/>
      <w:marBottom w:val="0"/>
      <w:divBdr>
        <w:top w:val="none" w:sz="0" w:space="0" w:color="auto"/>
        <w:left w:val="none" w:sz="0" w:space="0" w:color="auto"/>
        <w:bottom w:val="none" w:sz="0" w:space="0" w:color="auto"/>
        <w:right w:val="none" w:sz="0" w:space="0" w:color="auto"/>
      </w:divBdr>
      <w:divsChild>
        <w:div w:id="386882234">
          <w:marLeft w:val="0"/>
          <w:marRight w:val="0"/>
          <w:marTop w:val="0"/>
          <w:marBottom w:val="0"/>
          <w:divBdr>
            <w:top w:val="none" w:sz="0" w:space="0" w:color="auto"/>
            <w:left w:val="none" w:sz="0" w:space="0" w:color="auto"/>
            <w:bottom w:val="none" w:sz="0" w:space="0" w:color="auto"/>
            <w:right w:val="none" w:sz="0" w:space="0" w:color="auto"/>
          </w:divBdr>
        </w:div>
        <w:div w:id="1919240838">
          <w:marLeft w:val="0"/>
          <w:marRight w:val="0"/>
          <w:marTop w:val="0"/>
          <w:marBottom w:val="0"/>
          <w:divBdr>
            <w:top w:val="none" w:sz="0" w:space="0" w:color="auto"/>
            <w:left w:val="none" w:sz="0" w:space="0" w:color="auto"/>
            <w:bottom w:val="none" w:sz="0" w:space="0" w:color="auto"/>
            <w:right w:val="none" w:sz="0" w:space="0" w:color="auto"/>
          </w:divBdr>
          <w:divsChild>
            <w:div w:id="1009719934">
              <w:marLeft w:val="0"/>
              <w:marRight w:val="0"/>
              <w:marTop w:val="0"/>
              <w:marBottom w:val="0"/>
              <w:divBdr>
                <w:top w:val="none" w:sz="0" w:space="0" w:color="auto"/>
                <w:left w:val="none" w:sz="0" w:space="0" w:color="auto"/>
                <w:bottom w:val="none" w:sz="0" w:space="0" w:color="auto"/>
                <w:right w:val="none" w:sz="0" w:space="0" w:color="auto"/>
              </w:divBdr>
            </w:div>
            <w:div w:id="1493369139">
              <w:marLeft w:val="0"/>
              <w:marRight w:val="0"/>
              <w:marTop w:val="0"/>
              <w:marBottom w:val="0"/>
              <w:divBdr>
                <w:top w:val="none" w:sz="0" w:space="0" w:color="auto"/>
                <w:left w:val="none" w:sz="0" w:space="0" w:color="auto"/>
                <w:bottom w:val="none" w:sz="0" w:space="0" w:color="auto"/>
                <w:right w:val="none" w:sz="0" w:space="0" w:color="auto"/>
              </w:divBdr>
            </w:div>
            <w:div w:id="459107672">
              <w:marLeft w:val="0"/>
              <w:marRight w:val="0"/>
              <w:marTop w:val="0"/>
              <w:marBottom w:val="0"/>
              <w:divBdr>
                <w:top w:val="none" w:sz="0" w:space="0" w:color="auto"/>
                <w:left w:val="none" w:sz="0" w:space="0" w:color="auto"/>
                <w:bottom w:val="none" w:sz="0" w:space="0" w:color="auto"/>
                <w:right w:val="none" w:sz="0" w:space="0" w:color="auto"/>
              </w:divBdr>
            </w:div>
            <w:div w:id="1690715714">
              <w:marLeft w:val="0"/>
              <w:marRight w:val="0"/>
              <w:marTop w:val="0"/>
              <w:marBottom w:val="0"/>
              <w:divBdr>
                <w:top w:val="none" w:sz="0" w:space="0" w:color="auto"/>
                <w:left w:val="none" w:sz="0" w:space="0" w:color="auto"/>
                <w:bottom w:val="none" w:sz="0" w:space="0" w:color="auto"/>
                <w:right w:val="none" w:sz="0" w:space="0" w:color="auto"/>
              </w:divBdr>
            </w:div>
            <w:div w:id="1900940512">
              <w:marLeft w:val="0"/>
              <w:marRight w:val="0"/>
              <w:marTop w:val="0"/>
              <w:marBottom w:val="0"/>
              <w:divBdr>
                <w:top w:val="none" w:sz="0" w:space="0" w:color="auto"/>
                <w:left w:val="none" w:sz="0" w:space="0" w:color="auto"/>
                <w:bottom w:val="none" w:sz="0" w:space="0" w:color="auto"/>
                <w:right w:val="none" w:sz="0" w:space="0" w:color="auto"/>
              </w:divBdr>
            </w:div>
            <w:div w:id="1749225069">
              <w:marLeft w:val="0"/>
              <w:marRight w:val="0"/>
              <w:marTop w:val="0"/>
              <w:marBottom w:val="0"/>
              <w:divBdr>
                <w:top w:val="none" w:sz="0" w:space="0" w:color="auto"/>
                <w:left w:val="none" w:sz="0" w:space="0" w:color="auto"/>
                <w:bottom w:val="none" w:sz="0" w:space="0" w:color="auto"/>
                <w:right w:val="none" w:sz="0" w:space="0" w:color="auto"/>
              </w:divBdr>
            </w:div>
          </w:divsChild>
        </w:div>
        <w:div w:id="29578522">
          <w:marLeft w:val="0"/>
          <w:marRight w:val="0"/>
          <w:marTop w:val="0"/>
          <w:marBottom w:val="0"/>
          <w:divBdr>
            <w:top w:val="none" w:sz="0" w:space="0" w:color="auto"/>
            <w:left w:val="none" w:sz="0" w:space="0" w:color="auto"/>
            <w:bottom w:val="none" w:sz="0" w:space="0" w:color="auto"/>
            <w:right w:val="none" w:sz="0" w:space="0" w:color="auto"/>
          </w:divBdr>
        </w:div>
      </w:divsChild>
    </w:div>
    <w:div w:id="1542015373">
      <w:bodyDiv w:val="1"/>
      <w:marLeft w:val="0"/>
      <w:marRight w:val="0"/>
      <w:marTop w:val="0"/>
      <w:marBottom w:val="0"/>
      <w:divBdr>
        <w:top w:val="none" w:sz="0" w:space="0" w:color="auto"/>
        <w:left w:val="none" w:sz="0" w:space="0" w:color="auto"/>
        <w:bottom w:val="none" w:sz="0" w:space="0" w:color="auto"/>
        <w:right w:val="none" w:sz="0" w:space="0" w:color="auto"/>
      </w:divBdr>
      <w:divsChild>
        <w:div w:id="413162882">
          <w:marLeft w:val="0"/>
          <w:marRight w:val="0"/>
          <w:marTop w:val="0"/>
          <w:marBottom w:val="0"/>
          <w:divBdr>
            <w:top w:val="none" w:sz="0" w:space="0" w:color="auto"/>
            <w:left w:val="none" w:sz="0" w:space="0" w:color="auto"/>
            <w:bottom w:val="none" w:sz="0" w:space="0" w:color="auto"/>
            <w:right w:val="none" w:sz="0" w:space="0" w:color="auto"/>
          </w:divBdr>
        </w:div>
      </w:divsChild>
    </w:div>
    <w:div w:id="1545755049">
      <w:bodyDiv w:val="1"/>
      <w:marLeft w:val="0"/>
      <w:marRight w:val="0"/>
      <w:marTop w:val="0"/>
      <w:marBottom w:val="0"/>
      <w:divBdr>
        <w:top w:val="none" w:sz="0" w:space="0" w:color="auto"/>
        <w:left w:val="none" w:sz="0" w:space="0" w:color="auto"/>
        <w:bottom w:val="none" w:sz="0" w:space="0" w:color="auto"/>
        <w:right w:val="none" w:sz="0" w:space="0" w:color="auto"/>
      </w:divBdr>
      <w:divsChild>
        <w:div w:id="205261807">
          <w:marLeft w:val="0"/>
          <w:marRight w:val="0"/>
          <w:marTop w:val="0"/>
          <w:marBottom w:val="0"/>
          <w:divBdr>
            <w:top w:val="none" w:sz="0" w:space="0" w:color="auto"/>
            <w:left w:val="none" w:sz="0" w:space="0" w:color="auto"/>
            <w:bottom w:val="none" w:sz="0" w:space="0" w:color="auto"/>
            <w:right w:val="none" w:sz="0" w:space="0" w:color="auto"/>
          </w:divBdr>
        </w:div>
        <w:div w:id="1718823175">
          <w:marLeft w:val="0"/>
          <w:marRight w:val="0"/>
          <w:marTop w:val="0"/>
          <w:marBottom w:val="0"/>
          <w:divBdr>
            <w:top w:val="none" w:sz="0" w:space="0" w:color="auto"/>
            <w:left w:val="none" w:sz="0" w:space="0" w:color="auto"/>
            <w:bottom w:val="none" w:sz="0" w:space="0" w:color="auto"/>
            <w:right w:val="none" w:sz="0" w:space="0" w:color="auto"/>
          </w:divBdr>
        </w:div>
      </w:divsChild>
    </w:div>
    <w:div w:id="1563754980">
      <w:bodyDiv w:val="1"/>
      <w:marLeft w:val="0"/>
      <w:marRight w:val="0"/>
      <w:marTop w:val="0"/>
      <w:marBottom w:val="0"/>
      <w:divBdr>
        <w:top w:val="none" w:sz="0" w:space="0" w:color="auto"/>
        <w:left w:val="none" w:sz="0" w:space="0" w:color="auto"/>
        <w:bottom w:val="none" w:sz="0" w:space="0" w:color="auto"/>
        <w:right w:val="none" w:sz="0" w:space="0" w:color="auto"/>
      </w:divBdr>
      <w:divsChild>
        <w:div w:id="1560745664">
          <w:marLeft w:val="0"/>
          <w:marRight w:val="0"/>
          <w:marTop w:val="0"/>
          <w:marBottom w:val="0"/>
          <w:divBdr>
            <w:top w:val="none" w:sz="0" w:space="0" w:color="auto"/>
            <w:left w:val="none" w:sz="0" w:space="0" w:color="auto"/>
            <w:bottom w:val="none" w:sz="0" w:space="0" w:color="auto"/>
            <w:right w:val="none" w:sz="0" w:space="0" w:color="auto"/>
          </w:divBdr>
        </w:div>
        <w:div w:id="1679582381">
          <w:marLeft w:val="0"/>
          <w:marRight w:val="0"/>
          <w:marTop w:val="0"/>
          <w:marBottom w:val="0"/>
          <w:divBdr>
            <w:top w:val="none" w:sz="0" w:space="0" w:color="auto"/>
            <w:left w:val="none" w:sz="0" w:space="0" w:color="auto"/>
            <w:bottom w:val="none" w:sz="0" w:space="0" w:color="auto"/>
            <w:right w:val="none" w:sz="0" w:space="0" w:color="auto"/>
          </w:divBdr>
        </w:div>
      </w:divsChild>
    </w:div>
    <w:div w:id="1565294352">
      <w:bodyDiv w:val="1"/>
      <w:marLeft w:val="0"/>
      <w:marRight w:val="0"/>
      <w:marTop w:val="0"/>
      <w:marBottom w:val="0"/>
      <w:divBdr>
        <w:top w:val="none" w:sz="0" w:space="0" w:color="auto"/>
        <w:left w:val="none" w:sz="0" w:space="0" w:color="auto"/>
        <w:bottom w:val="none" w:sz="0" w:space="0" w:color="auto"/>
        <w:right w:val="none" w:sz="0" w:space="0" w:color="auto"/>
      </w:divBdr>
      <w:divsChild>
        <w:div w:id="219753511">
          <w:marLeft w:val="0"/>
          <w:marRight w:val="0"/>
          <w:marTop w:val="0"/>
          <w:marBottom w:val="0"/>
          <w:divBdr>
            <w:top w:val="none" w:sz="0" w:space="0" w:color="auto"/>
            <w:left w:val="none" w:sz="0" w:space="0" w:color="auto"/>
            <w:bottom w:val="none" w:sz="0" w:space="0" w:color="auto"/>
            <w:right w:val="none" w:sz="0" w:space="0" w:color="auto"/>
          </w:divBdr>
        </w:div>
        <w:div w:id="1679312648">
          <w:marLeft w:val="0"/>
          <w:marRight w:val="0"/>
          <w:marTop w:val="0"/>
          <w:marBottom w:val="0"/>
          <w:divBdr>
            <w:top w:val="none" w:sz="0" w:space="0" w:color="auto"/>
            <w:left w:val="none" w:sz="0" w:space="0" w:color="auto"/>
            <w:bottom w:val="none" w:sz="0" w:space="0" w:color="auto"/>
            <w:right w:val="none" w:sz="0" w:space="0" w:color="auto"/>
          </w:divBdr>
        </w:div>
        <w:div w:id="2016489381">
          <w:marLeft w:val="0"/>
          <w:marRight w:val="0"/>
          <w:marTop w:val="0"/>
          <w:marBottom w:val="0"/>
          <w:divBdr>
            <w:top w:val="none" w:sz="0" w:space="0" w:color="auto"/>
            <w:left w:val="none" w:sz="0" w:space="0" w:color="auto"/>
            <w:bottom w:val="none" w:sz="0" w:space="0" w:color="auto"/>
            <w:right w:val="none" w:sz="0" w:space="0" w:color="auto"/>
          </w:divBdr>
        </w:div>
      </w:divsChild>
    </w:div>
    <w:div w:id="1620641547">
      <w:bodyDiv w:val="1"/>
      <w:marLeft w:val="0"/>
      <w:marRight w:val="0"/>
      <w:marTop w:val="0"/>
      <w:marBottom w:val="0"/>
      <w:divBdr>
        <w:top w:val="none" w:sz="0" w:space="0" w:color="auto"/>
        <w:left w:val="none" w:sz="0" w:space="0" w:color="auto"/>
        <w:bottom w:val="none" w:sz="0" w:space="0" w:color="auto"/>
        <w:right w:val="none" w:sz="0" w:space="0" w:color="auto"/>
      </w:divBdr>
      <w:divsChild>
        <w:div w:id="1139808851">
          <w:marLeft w:val="0"/>
          <w:marRight w:val="0"/>
          <w:marTop w:val="0"/>
          <w:marBottom w:val="0"/>
          <w:divBdr>
            <w:top w:val="none" w:sz="0" w:space="0" w:color="auto"/>
            <w:left w:val="none" w:sz="0" w:space="0" w:color="auto"/>
            <w:bottom w:val="none" w:sz="0" w:space="0" w:color="auto"/>
            <w:right w:val="none" w:sz="0" w:space="0" w:color="auto"/>
          </w:divBdr>
        </w:div>
        <w:div w:id="2132241751">
          <w:marLeft w:val="0"/>
          <w:marRight w:val="0"/>
          <w:marTop w:val="0"/>
          <w:marBottom w:val="0"/>
          <w:divBdr>
            <w:top w:val="none" w:sz="0" w:space="0" w:color="auto"/>
            <w:left w:val="none" w:sz="0" w:space="0" w:color="auto"/>
            <w:bottom w:val="none" w:sz="0" w:space="0" w:color="auto"/>
            <w:right w:val="none" w:sz="0" w:space="0" w:color="auto"/>
          </w:divBdr>
        </w:div>
      </w:divsChild>
    </w:div>
    <w:div w:id="1622414738">
      <w:bodyDiv w:val="1"/>
      <w:marLeft w:val="0"/>
      <w:marRight w:val="0"/>
      <w:marTop w:val="0"/>
      <w:marBottom w:val="0"/>
      <w:divBdr>
        <w:top w:val="none" w:sz="0" w:space="0" w:color="auto"/>
        <w:left w:val="none" w:sz="0" w:space="0" w:color="auto"/>
        <w:bottom w:val="none" w:sz="0" w:space="0" w:color="auto"/>
        <w:right w:val="none" w:sz="0" w:space="0" w:color="auto"/>
      </w:divBdr>
      <w:divsChild>
        <w:div w:id="665980665">
          <w:marLeft w:val="0"/>
          <w:marRight w:val="0"/>
          <w:marTop w:val="0"/>
          <w:marBottom w:val="0"/>
          <w:divBdr>
            <w:top w:val="none" w:sz="0" w:space="0" w:color="auto"/>
            <w:left w:val="none" w:sz="0" w:space="0" w:color="auto"/>
            <w:bottom w:val="none" w:sz="0" w:space="0" w:color="auto"/>
            <w:right w:val="none" w:sz="0" w:space="0" w:color="auto"/>
          </w:divBdr>
        </w:div>
        <w:div w:id="678773118">
          <w:marLeft w:val="0"/>
          <w:marRight w:val="0"/>
          <w:marTop w:val="0"/>
          <w:marBottom w:val="0"/>
          <w:divBdr>
            <w:top w:val="none" w:sz="0" w:space="0" w:color="auto"/>
            <w:left w:val="none" w:sz="0" w:space="0" w:color="auto"/>
            <w:bottom w:val="none" w:sz="0" w:space="0" w:color="auto"/>
            <w:right w:val="none" w:sz="0" w:space="0" w:color="auto"/>
          </w:divBdr>
        </w:div>
      </w:divsChild>
    </w:div>
    <w:div w:id="1638415168">
      <w:bodyDiv w:val="1"/>
      <w:marLeft w:val="0"/>
      <w:marRight w:val="0"/>
      <w:marTop w:val="0"/>
      <w:marBottom w:val="0"/>
      <w:divBdr>
        <w:top w:val="none" w:sz="0" w:space="0" w:color="auto"/>
        <w:left w:val="none" w:sz="0" w:space="0" w:color="auto"/>
        <w:bottom w:val="none" w:sz="0" w:space="0" w:color="auto"/>
        <w:right w:val="none" w:sz="0" w:space="0" w:color="auto"/>
      </w:divBdr>
      <w:divsChild>
        <w:div w:id="1122312060">
          <w:marLeft w:val="0"/>
          <w:marRight w:val="0"/>
          <w:marTop w:val="0"/>
          <w:marBottom w:val="0"/>
          <w:divBdr>
            <w:top w:val="none" w:sz="0" w:space="0" w:color="auto"/>
            <w:left w:val="none" w:sz="0" w:space="0" w:color="auto"/>
            <w:bottom w:val="none" w:sz="0" w:space="0" w:color="auto"/>
            <w:right w:val="none" w:sz="0" w:space="0" w:color="auto"/>
          </w:divBdr>
          <w:divsChild>
            <w:div w:id="266617859">
              <w:marLeft w:val="0"/>
              <w:marRight w:val="0"/>
              <w:marTop w:val="0"/>
              <w:marBottom w:val="0"/>
              <w:divBdr>
                <w:top w:val="none" w:sz="0" w:space="0" w:color="auto"/>
                <w:left w:val="none" w:sz="0" w:space="0" w:color="auto"/>
                <w:bottom w:val="none" w:sz="0" w:space="0" w:color="auto"/>
                <w:right w:val="none" w:sz="0" w:space="0" w:color="auto"/>
              </w:divBdr>
            </w:div>
            <w:div w:id="1617638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041187">
      <w:bodyDiv w:val="1"/>
      <w:marLeft w:val="0"/>
      <w:marRight w:val="0"/>
      <w:marTop w:val="0"/>
      <w:marBottom w:val="0"/>
      <w:divBdr>
        <w:top w:val="none" w:sz="0" w:space="0" w:color="auto"/>
        <w:left w:val="none" w:sz="0" w:space="0" w:color="auto"/>
        <w:bottom w:val="none" w:sz="0" w:space="0" w:color="auto"/>
        <w:right w:val="none" w:sz="0" w:space="0" w:color="auto"/>
      </w:divBdr>
      <w:divsChild>
        <w:div w:id="419643985">
          <w:marLeft w:val="0"/>
          <w:marRight w:val="0"/>
          <w:marTop w:val="0"/>
          <w:marBottom w:val="0"/>
          <w:divBdr>
            <w:top w:val="none" w:sz="0" w:space="0" w:color="auto"/>
            <w:left w:val="none" w:sz="0" w:space="0" w:color="auto"/>
            <w:bottom w:val="none" w:sz="0" w:space="0" w:color="auto"/>
            <w:right w:val="none" w:sz="0" w:space="0" w:color="auto"/>
          </w:divBdr>
        </w:div>
        <w:div w:id="779684794">
          <w:marLeft w:val="0"/>
          <w:marRight w:val="0"/>
          <w:marTop w:val="0"/>
          <w:marBottom w:val="0"/>
          <w:divBdr>
            <w:top w:val="none" w:sz="0" w:space="0" w:color="auto"/>
            <w:left w:val="none" w:sz="0" w:space="0" w:color="auto"/>
            <w:bottom w:val="none" w:sz="0" w:space="0" w:color="auto"/>
            <w:right w:val="none" w:sz="0" w:space="0" w:color="auto"/>
          </w:divBdr>
        </w:div>
        <w:div w:id="994603382">
          <w:marLeft w:val="0"/>
          <w:marRight w:val="0"/>
          <w:marTop w:val="0"/>
          <w:marBottom w:val="0"/>
          <w:divBdr>
            <w:top w:val="none" w:sz="0" w:space="0" w:color="auto"/>
            <w:left w:val="none" w:sz="0" w:space="0" w:color="auto"/>
            <w:bottom w:val="none" w:sz="0" w:space="0" w:color="auto"/>
            <w:right w:val="none" w:sz="0" w:space="0" w:color="auto"/>
          </w:divBdr>
        </w:div>
        <w:div w:id="1493258050">
          <w:marLeft w:val="0"/>
          <w:marRight w:val="0"/>
          <w:marTop w:val="0"/>
          <w:marBottom w:val="0"/>
          <w:divBdr>
            <w:top w:val="none" w:sz="0" w:space="0" w:color="auto"/>
            <w:left w:val="none" w:sz="0" w:space="0" w:color="auto"/>
            <w:bottom w:val="none" w:sz="0" w:space="0" w:color="auto"/>
            <w:right w:val="none" w:sz="0" w:space="0" w:color="auto"/>
          </w:divBdr>
        </w:div>
      </w:divsChild>
    </w:div>
    <w:div w:id="1650404701">
      <w:bodyDiv w:val="1"/>
      <w:marLeft w:val="0"/>
      <w:marRight w:val="0"/>
      <w:marTop w:val="0"/>
      <w:marBottom w:val="0"/>
      <w:divBdr>
        <w:top w:val="none" w:sz="0" w:space="0" w:color="auto"/>
        <w:left w:val="none" w:sz="0" w:space="0" w:color="auto"/>
        <w:bottom w:val="none" w:sz="0" w:space="0" w:color="auto"/>
        <w:right w:val="none" w:sz="0" w:space="0" w:color="auto"/>
      </w:divBdr>
      <w:divsChild>
        <w:div w:id="364330707">
          <w:marLeft w:val="0"/>
          <w:marRight w:val="0"/>
          <w:marTop w:val="0"/>
          <w:marBottom w:val="0"/>
          <w:divBdr>
            <w:top w:val="none" w:sz="0" w:space="0" w:color="auto"/>
            <w:left w:val="none" w:sz="0" w:space="0" w:color="auto"/>
            <w:bottom w:val="none" w:sz="0" w:space="0" w:color="auto"/>
            <w:right w:val="none" w:sz="0" w:space="0" w:color="auto"/>
          </w:divBdr>
        </w:div>
        <w:div w:id="380834810">
          <w:marLeft w:val="0"/>
          <w:marRight w:val="0"/>
          <w:marTop w:val="0"/>
          <w:marBottom w:val="0"/>
          <w:divBdr>
            <w:top w:val="none" w:sz="0" w:space="0" w:color="auto"/>
            <w:left w:val="none" w:sz="0" w:space="0" w:color="auto"/>
            <w:bottom w:val="none" w:sz="0" w:space="0" w:color="auto"/>
            <w:right w:val="none" w:sz="0" w:space="0" w:color="auto"/>
          </w:divBdr>
        </w:div>
        <w:div w:id="399331407">
          <w:marLeft w:val="0"/>
          <w:marRight w:val="0"/>
          <w:marTop w:val="0"/>
          <w:marBottom w:val="0"/>
          <w:divBdr>
            <w:top w:val="none" w:sz="0" w:space="0" w:color="auto"/>
            <w:left w:val="none" w:sz="0" w:space="0" w:color="auto"/>
            <w:bottom w:val="none" w:sz="0" w:space="0" w:color="auto"/>
            <w:right w:val="none" w:sz="0" w:space="0" w:color="auto"/>
          </w:divBdr>
        </w:div>
        <w:div w:id="858199042">
          <w:marLeft w:val="0"/>
          <w:marRight w:val="0"/>
          <w:marTop w:val="0"/>
          <w:marBottom w:val="0"/>
          <w:divBdr>
            <w:top w:val="none" w:sz="0" w:space="0" w:color="auto"/>
            <w:left w:val="none" w:sz="0" w:space="0" w:color="auto"/>
            <w:bottom w:val="none" w:sz="0" w:space="0" w:color="auto"/>
            <w:right w:val="none" w:sz="0" w:space="0" w:color="auto"/>
          </w:divBdr>
        </w:div>
      </w:divsChild>
    </w:div>
    <w:div w:id="1660966157">
      <w:bodyDiv w:val="1"/>
      <w:marLeft w:val="0"/>
      <w:marRight w:val="0"/>
      <w:marTop w:val="0"/>
      <w:marBottom w:val="0"/>
      <w:divBdr>
        <w:top w:val="none" w:sz="0" w:space="0" w:color="auto"/>
        <w:left w:val="none" w:sz="0" w:space="0" w:color="auto"/>
        <w:bottom w:val="none" w:sz="0" w:space="0" w:color="auto"/>
        <w:right w:val="none" w:sz="0" w:space="0" w:color="auto"/>
      </w:divBdr>
    </w:div>
    <w:div w:id="1661617338">
      <w:bodyDiv w:val="1"/>
      <w:marLeft w:val="0"/>
      <w:marRight w:val="0"/>
      <w:marTop w:val="0"/>
      <w:marBottom w:val="0"/>
      <w:divBdr>
        <w:top w:val="none" w:sz="0" w:space="0" w:color="auto"/>
        <w:left w:val="none" w:sz="0" w:space="0" w:color="auto"/>
        <w:bottom w:val="none" w:sz="0" w:space="0" w:color="auto"/>
        <w:right w:val="none" w:sz="0" w:space="0" w:color="auto"/>
      </w:divBdr>
      <w:divsChild>
        <w:div w:id="1825929717">
          <w:marLeft w:val="0"/>
          <w:marRight w:val="0"/>
          <w:marTop w:val="0"/>
          <w:marBottom w:val="0"/>
          <w:divBdr>
            <w:top w:val="none" w:sz="0" w:space="0" w:color="auto"/>
            <w:left w:val="none" w:sz="0" w:space="0" w:color="auto"/>
            <w:bottom w:val="none" w:sz="0" w:space="0" w:color="auto"/>
            <w:right w:val="none" w:sz="0" w:space="0" w:color="auto"/>
          </w:divBdr>
          <w:divsChild>
            <w:div w:id="794371331">
              <w:marLeft w:val="0"/>
              <w:marRight w:val="0"/>
              <w:marTop w:val="0"/>
              <w:marBottom w:val="0"/>
              <w:divBdr>
                <w:top w:val="none" w:sz="0" w:space="0" w:color="auto"/>
                <w:left w:val="none" w:sz="0" w:space="0" w:color="auto"/>
                <w:bottom w:val="none" w:sz="0" w:space="0" w:color="auto"/>
                <w:right w:val="none" w:sz="0" w:space="0" w:color="auto"/>
              </w:divBdr>
              <w:divsChild>
                <w:div w:id="1592735305">
                  <w:marLeft w:val="0"/>
                  <w:marRight w:val="0"/>
                  <w:marTop w:val="0"/>
                  <w:marBottom w:val="0"/>
                  <w:divBdr>
                    <w:top w:val="none" w:sz="0" w:space="0" w:color="auto"/>
                    <w:left w:val="none" w:sz="0" w:space="0" w:color="auto"/>
                    <w:bottom w:val="none" w:sz="0" w:space="0" w:color="auto"/>
                    <w:right w:val="none" w:sz="0" w:space="0" w:color="auto"/>
                  </w:divBdr>
                  <w:divsChild>
                    <w:div w:id="1623531201">
                      <w:marLeft w:val="0"/>
                      <w:marRight w:val="0"/>
                      <w:marTop w:val="0"/>
                      <w:marBottom w:val="0"/>
                      <w:divBdr>
                        <w:top w:val="none" w:sz="0" w:space="0" w:color="auto"/>
                        <w:left w:val="none" w:sz="0" w:space="0" w:color="auto"/>
                        <w:bottom w:val="none" w:sz="0" w:space="0" w:color="auto"/>
                        <w:right w:val="none" w:sz="0" w:space="0" w:color="auto"/>
                      </w:divBdr>
                      <w:divsChild>
                        <w:div w:id="1089424712">
                          <w:marLeft w:val="0"/>
                          <w:marRight w:val="0"/>
                          <w:marTop w:val="0"/>
                          <w:marBottom w:val="0"/>
                          <w:divBdr>
                            <w:top w:val="none" w:sz="0" w:space="0" w:color="auto"/>
                            <w:left w:val="none" w:sz="0" w:space="0" w:color="auto"/>
                            <w:bottom w:val="none" w:sz="0" w:space="0" w:color="auto"/>
                            <w:right w:val="none" w:sz="0" w:space="0" w:color="auto"/>
                          </w:divBdr>
                        </w:div>
                        <w:div w:id="121788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9091200">
      <w:bodyDiv w:val="1"/>
      <w:marLeft w:val="0"/>
      <w:marRight w:val="0"/>
      <w:marTop w:val="0"/>
      <w:marBottom w:val="0"/>
      <w:divBdr>
        <w:top w:val="none" w:sz="0" w:space="0" w:color="auto"/>
        <w:left w:val="none" w:sz="0" w:space="0" w:color="auto"/>
        <w:bottom w:val="none" w:sz="0" w:space="0" w:color="auto"/>
        <w:right w:val="none" w:sz="0" w:space="0" w:color="auto"/>
      </w:divBdr>
    </w:div>
    <w:div w:id="1676768173">
      <w:bodyDiv w:val="1"/>
      <w:marLeft w:val="0"/>
      <w:marRight w:val="0"/>
      <w:marTop w:val="0"/>
      <w:marBottom w:val="0"/>
      <w:divBdr>
        <w:top w:val="none" w:sz="0" w:space="0" w:color="auto"/>
        <w:left w:val="none" w:sz="0" w:space="0" w:color="auto"/>
        <w:bottom w:val="none" w:sz="0" w:space="0" w:color="auto"/>
        <w:right w:val="none" w:sz="0" w:space="0" w:color="auto"/>
      </w:divBdr>
      <w:divsChild>
        <w:div w:id="335495476">
          <w:marLeft w:val="0"/>
          <w:marRight w:val="0"/>
          <w:marTop w:val="0"/>
          <w:marBottom w:val="0"/>
          <w:divBdr>
            <w:top w:val="none" w:sz="0" w:space="0" w:color="auto"/>
            <w:left w:val="none" w:sz="0" w:space="0" w:color="auto"/>
            <w:bottom w:val="none" w:sz="0" w:space="0" w:color="auto"/>
            <w:right w:val="none" w:sz="0" w:space="0" w:color="auto"/>
          </w:divBdr>
        </w:div>
        <w:div w:id="2114590440">
          <w:marLeft w:val="0"/>
          <w:marRight w:val="0"/>
          <w:marTop w:val="0"/>
          <w:marBottom w:val="0"/>
          <w:divBdr>
            <w:top w:val="none" w:sz="0" w:space="0" w:color="auto"/>
            <w:left w:val="none" w:sz="0" w:space="0" w:color="auto"/>
            <w:bottom w:val="none" w:sz="0" w:space="0" w:color="auto"/>
            <w:right w:val="none" w:sz="0" w:space="0" w:color="auto"/>
          </w:divBdr>
        </w:div>
      </w:divsChild>
    </w:div>
    <w:div w:id="1685205625">
      <w:bodyDiv w:val="1"/>
      <w:marLeft w:val="0"/>
      <w:marRight w:val="0"/>
      <w:marTop w:val="0"/>
      <w:marBottom w:val="0"/>
      <w:divBdr>
        <w:top w:val="none" w:sz="0" w:space="0" w:color="auto"/>
        <w:left w:val="none" w:sz="0" w:space="0" w:color="auto"/>
        <w:bottom w:val="none" w:sz="0" w:space="0" w:color="auto"/>
        <w:right w:val="none" w:sz="0" w:space="0" w:color="auto"/>
      </w:divBdr>
    </w:div>
    <w:div w:id="1689334950">
      <w:bodyDiv w:val="1"/>
      <w:marLeft w:val="0"/>
      <w:marRight w:val="0"/>
      <w:marTop w:val="0"/>
      <w:marBottom w:val="0"/>
      <w:divBdr>
        <w:top w:val="none" w:sz="0" w:space="0" w:color="auto"/>
        <w:left w:val="none" w:sz="0" w:space="0" w:color="auto"/>
        <w:bottom w:val="none" w:sz="0" w:space="0" w:color="auto"/>
        <w:right w:val="none" w:sz="0" w:space="0" w:color="auto"/>
      </w:divBdr>
      <w:divsChild>
        <w:div w:id="727654725">
          <w:marLeft w:val="0"/>
          <w:marRight w:val="0"/>
          <w:marTop w:val="0"/>
          <w:marBottom w:val="0"/>
          <w:divBdr>
            <w:top w:val="none" w:sz="0" w:space="0" w:color="auto"/>
            <w:left w:val="none" w:sz="0" w:space="0" w:color="auto"/>
            <w:bottom w:val="none" w:sz="0" w:space="0" w:color="auto"/>
            <w:right w:val="none" w:sz="0" w:space="0" w:color="auto"/>
          </w:divBdr>
        </w:div>
      </w:divsChild>
    </w:div>
    <w:div w:id="1698854077">
      <w:bodyDiv w:val="1"/>
      <w:marLeft w:val="0"/>
      <w:marRight w:val="0"/>
      <w:marTop w:val="0"/>
      <w:marBottom w:val="0"/>
      <w:divBdr>
        <w:top w:val="none" w:sz="0" w:space="0" w:color="auto"/>
        <w:left w:val="none" w:sz="0" w:space="0" w:color="auto"/>
        <w:bottom w:val="none" w:sz="0" w:space="0" w:color="auto"/>
        <w:right w:val="none" w:sz="0" w:space="0" w:color="auto"/>
      </w:divBdr>
      <w:divsChild>
        <w:div w:id="110325822">
          <w:marLeft w:val="0"/>
          <w:marRight w:val="0"/>
          <w:marTop w:val="0"/>
          <w:marBottom w:val="0"/>
          <w:divBdr>
            <w:top w:val="none" w:sz="0" w:space="0" w:color="auto"/>
            <w:left w:val="none" w:sz="0" w:space="0" w:color="auto"/>
            <w:bottom w:val="none" w:sz="0" w:space="0" w:color="auto"/>
            <w:right w:val="none" w:sz="0" w:space="0" w:color="auto"/>
          </w:divBdr>
        </w:div>
        <w:div w:id="332726835">
          <w:marLeft w:val="0"/>
          <w:marRight w:val="0"/>
          <w:marTop w:val="0"/>
          <w:marBottom w:val="0"/>
          <w:divBdr>
            <w:top w:val="none" w:sz="0" w:space="0" w:color="auto"/>
            <w:left w:val="none" w:sz="0" w:space="0" w:color="auto"/>
            <w:bottom w:val="none" w:sz="0" w:space="0" w:color="auto"/>
            <w:right w:val="none" w:sz="0" w:space="0" w:color="auto"/>
          </w:divBdr>
        </w:div>
        <w:div w:id="621689152">
          <w:marLeft w:val="0"/>
          <w:marRight w:val="0"/>
          <w:marTop w:val="0"/>
          <w:marBottom w:val="0"/>
          <w:divBdr>
            <w:top w:val="none" w:sz="0" w:space="0" w:color="auto"/>
            <w:left w:val="none" w:sz="0" w:space="0" w:color="auto"/>
            <w:bottom w:val="none" w:sz="0" w:space="0" w:color="auto"/>
            <w:right w:val="none" w:sz="0" w:space="0" w:color="auto"/>
          </w:divBdr>
        </w:div>
        <w:div w:id="1092824762">
          <w:marLeft w:val="0"/>
          <w:marRight w:val="0"/>
          <w:marTop w:val="0"/>
          <w:marBottom w:val="0"/>
          <w:divBdr>
            <w:top w:val="none" w:sz="0" w:space="0" w:color="auto"/>
            <w:left w:val="none" w:sz="0" w:space="0" w:color="auto"/>
            <w:bottom w:val="none" w:sz="0" w:space="0" w:color="auto"/>
            <w:right w:val="none" w:sz="0" w:space="0" w:color="auto"/>
          </w:divBdr>
        </w:div>
        <w:div w:id="1255437343">
          <w:marLeft w:val="0"/>
          <w:marRight w:val="0"/>
          <w:marTop w:val="0"/>
          <w:marBottom w:val="0"/>
          <w:divBdr>
            <w:top w:val="none" w:sz="0" w:space="0" w:color="auto"/>
            <w:left w:val="none" w:sz="0" w:space="0" w:color="auto"/>
            <w:bottom w:val="none" w:sz="0" w:space="0" w:color="auto"/>
            <w:right w:val="none" w:sz="0" w:space="0" w:color="auto"/>
          </w:divBdr>
        </w:div>
        <w:div w:id="1459184912">
          <w:marLeft w:val="0"/>
          <w:marRight w:val="0"/>
          <w:marTop w:val="0"/>
          <w:marBottom w:val="0"/>
          <w:divBdr>
            <w:top w:val="none" w:sz="0" w:space="0" w:color="auto"/>
            <w:left w:val="none" w:sz="0" w:space="0" w:color="auto"/>
            <w:bottom w:val="none" w:sz="0" w:space="0" w:color="auto"/>
            <w:right w:val="none" w:sz="0" w:space="0" w:color="auto"/>
          </w:divBdr>
        </w:div>
        <w:div w:id="1706977304">
          <w:marLeft w:val="0"/>
          <w:marRight w:val="0"/>
          <w:marTop w:val="0"/>
          <w:marBottom w:val="0"/>
          <w:divBdr>
            <w:top w:val="none" w:sz="0" w:space="0" w:color="auto"/>
            <w:left w:val="none" w:sz="0" w:space="0" w:color="auto"/>
            <w:bottom w:val="none" w:sz="0" w:space="0" w:color="auto"/>
            <w:right w:val="none" w:sz="0" w:space="0" w:color="auto"/>
          </w:divBdr>
        </w:div>
        <w:div w:id="1736316422">
          <w:marLeft w:val="0"/>
          <w:marRight w:val="0"/>
          <w:marTop w:val="0"/>
          <w:marBottom w:val="0"/>
          <w:divBdr>
            <w:top w:val="none" w:sz="0" w:space="0" w:color="auto"/>
            <w:left w:val="none" w:sz="0" w:space="0" w:color="auto"/>
            <w:bottom w:val="none" w:sz="0" w:space="0" w:color="auto"/>
            <w:right w:val="none" w:sz="0" w:space="0" w:color="auto"/>
          </w:divBdr>
        </w:div>
      </w:divsChild>
    </w:div>
    <w:div w:id="1700815146">
      <w:bodyDiv w:val="1"/>
      <w:marLeft w:val="0"/>
      <w:marRight w:val="0"/>
      <w:marTop w:val="0"/>
      <w:marBottom w:val="0"/>
      <w:divBdr>
        <w:top w:val="none" w:sz="0" w:space="0" w:color="auto"/>
        <w:left w:val="none" w:sz="0" w:space="0" w:color="auto"/>
        <w:bottom w:val="none" w:sz="0" w:space="0" w:color="auto"/>
        <w:right w:val="none" w:sz="0" w:space="0" w:color="auto"/>
      </w:divBdr>
      <w:divsChild>
        <w:div w:id="1057164772">
          <w:marLeft w:val="0"/>
          <w:marRight w:val="0"/>
          <w:marTop w:val="0"/>
          <w:marBottom w:val="0"/>
          <w:divBdr>
            <w:top w:val="none" w:sz="0" w:space="0" w:color="auto"/>
            <w:left w:val="none" w:sz="0" w:space="0" w:color="auto"/>
            <w:bottom w:val="none" w:sz="0" w:space="0" w:color="auto"/>
            <w:right w:val="none" w:sz="0" w:space="0" w:color="auto"/>
          </w:divBdr>
          <w:divsChild>
            <w:div w:id="1739981309">
              <w:marLeft w:val="0"/>
              <w:marRight w:val="0"/>
              <w:marTop w:val="0"/>
              <w:marBottom w:val="0"/>
              <w:divBdr>
                <w:top w:val="none" w:sz="0" w:space="0" w:color="auto"/>
                <w:left w:val="none" w:sz="0" w:space="0" w:color="auto"/>
                <w:bottom w:val="none" w:sz="0" w:space="0" w:color="auto"/>
                <w:right w:val="none" w:sz="0" w:space="0" w:color="auto"/>
              </w:divBdr>
            </w:div>
            <w:div w:id="1377244001">
              <w:marLeft w:val="0"/>
              <w:marRight w:val="0"/>
              <w:marTop w:val="0"/>
              <w:marBottom w:val="0"/>
              <w:divBdr>
                <w:top w:val="none" w:sz="0" w:space="0" w:color="auto"/>
                <w:left w:val="none" w:sz="0" w:space="0" w:color="auto"/>
                <w:bottom w:val="none" w:sz="0" w:space="0" w:color="auto"/>
                <w:right w:val="none" w:sz="0" w:space="0" w:color="auto"/>
              </w:divBdr>
            </w:div>
            <w:div w:id="1859735661">
              <w:marLeft w:val="0"/>
              <w:marRight w:val="0"/>
              <w:marTop w:val="0"/>
              <w:marBottom w:val="0"/>
              <w:divBdr>
                <w:top w:val="none" w:sz="0" w:space="0" w:color="auto"/>
                <w:left w:val="none" w:sz="0" w:space="0" w:color="auto"/>
                <w:bottom w:val="none" w:sz="0" w:space="0" w:color="auto"/>
                <w:right w:val="none" w:sz="0" w:space="0" w:color="auto"/>
              </w:divBdr>
            </w:div>
            <w:div w:id="2126657993">
              <w:marLeft w:val="0"/>
              <w:marRight w:val="0"/>
              <w:marTop w:val="0"/>
              <w:marBottom w:val="0"/>
              <w:divBdr>
                <w:top w:val="none" w:sz="0" w:space="0" w:color="auto"/>
                <w:left w:val="none" w:sz="0" w:space="0" w:color="auto"/>
                <w:bottom w:val="none" w:sz="0" w:space="0" w:color="auto"/>
                <w:right w:val="none" w:sz="0" w:space="0" w:color="auto"/>
              </w:divBdr>
            </w:div>
            <w:div w:id="2078088823">
              <w:marLeft w:val="0"/>
              <w:marRight w:val="0"/>
              <w:marTop w:val="0"/>
              <w:marBottom w:val="0"/>
              <w:divBdr>
                <w:top w:val="none" w:sz="0" w:space="0" w:color="auto"/>
                <w:left w:val="none" w:sz="0" w:space="0" w:color="auto"/>
                <w:bottom w:val="none" w:sz="0" w:space="0" w:color="auto"/>
                <w:right w:val="none" w:sz="0" w:space="0" w:color="auto"/>
              </w:divBdr>
            </w:div>
            <w:div w:id="1153372507">
              <w:marLeft w:val="0"/>
              <w:marRight w:val="0"/>
              <w:marTop w:val="0"/>
              <w:marBottom w:val="0"/>
              <w:divBdr>
                <w:top w:val="none" w:sz="0" w:space="0" w:color="auto"/>
                <w:left w:val="none" w:sz="0" w:space="0" w:color="auto"/>
                <w:bottom w:val="none" w:sz="0" w:space="0" w:color="auto"/>
                <w:right w:val="none" w:sz="0" w:space="0" w:color="auto"/>
              </w:divBdr>
            </w:div>
            <w:div w:id="1497645586">
              <w:marLeft w:val="0"/>
              <w:marRight w:val="0"/>
              <w:marTop w:val="0"/>
              <w:marBottom w:val="0"/>
              <w:divBdr>
                <w:top w:val="none" w:sz="0" w:space="0" w:color="auto"/>
                <w:left w:val="none" w:sz="0" w:space="0" w:color="auto"/>
                <w:bottom w:val="none" w:sz="0" w:space="0" w:color="auto"/>
                <w:right w:val="none" w:sz="0" w:space="0" w:color="auto"/>
              </w:divBdr>
            </w:div>
            <w:div w:id="1014767984">
              <w:marLeft w:val="0"/>
              <w:marRight w:val="0"/>
              <w:marTop w:val="0"/>
              <w:marBottom w:val="0"/>
              <w:divBdr>
                <w:top w:val="none" w:sz="0" w:space="0" w:color="auto"/>
                <w:left w:val="none" w:sz="0" w:space="0" w:color="auto"/>
                <w:bottom w:val="none" w:sz="0" w:space="0" w:color="auto"/>
                <w:right w:val="none" w:sz="0" w:space="0" w:color="auto"/>
              </w:divBdr>
            </w:div>
            <w:div w:id="1582761565">
              <w:marLeft w:val="0"/>
              <w:marRight w:val="0"/>
              <w:marTop w:val="0"/>
              <w:marBottom w:val="0"/>
              <w:divBdr>
                <w:top w:val="none" w:sz="0" w:space="0" w:color="auto"/>
                <w:left w:val="none" w:sz="0" w:space="0" w:color="auto"/>
                <w:bottom w:val="none" w:sz="0" w:space="0" w:color="auto"/>
                <w:right w:val="none" w:sz="0" w:space="0" w:color="auto"/>
              </w:divBdr>
            </w:div>
            <w:div w:id="59167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682177">
      <w:bodyDiv w:val="1"/>
      <w:marLeft w:val="0"/>
      <w:marRight w:val="0"/>
      <w:marTop w:val="0"/>
      <w:marBottom w:val="0"/>
      <w:divBdr>
        <w:top w:val="none" w:sz="0" w:space="0" w:color="auto"/>
        <w:left w:val="none" w:sz="0" w:space="0" w:color="auto"/>
        <w:bottom w:val="none" w:sz="0" w:space="0" w:color="auto"/>
        <w:right w:val="none" w:sz="0" w:space="0" w:color="auto"/>
      </w:divBdr>
      <w:divsChild>
        <w:div w:id="603655842">
          <w:marLeft w:val="0"/>
          <w:marRight w:val="0"/>
          <w:marTop w:val="0"/>
          <w:marBottom w:val="0"/>
          <w:divBdr>
            <w:top w:val="none" w:sz="0" w:space="0" w:color="auto"/>
            <w:left w:val="none" w:sz="0" w:space="0" w:color="auto"/>
            <w:bottom w:val="none" w:sz="0" w:space="0" w:color="auto"/>
            <w:right w:val="none" w:sz="0" w:space="0" w:color="auto"/>
          </w:divBdr>
          <w:divsChild>
            <w:div w:id="445077175">
              <w:marLeft w:val="0"/>
              <w:marRight w:val="0"/>
              <w:marTop w:val="0"/>
              <w:marBottom w:val="0"/>
              <w:divBdr>
                <w:top w:val="none" w:sz="0" w:space="0" w:color="auto"/>
                <w:left w:val="none" w:sz="0" w:space="0" w:color="auto"/>
                <w:bottom w:val="none" w:sz="0" w:space="0" w:color="auto"/>
                <w:right w:val="none" w:sz="0" w:space="0" w:color="auto"/>
              </w:divBdr>
            </w:div>
            <w:div w:id="622466230">
              <w:marLeft w:val="0"/>
              <w:marRight w:val="0"/>
              <w:marTop w:val="0"/>
              <w:marBottom w:val="0"/>
              <w:divBdr>
                <w:top w:val="none" w:sz="0" w:space="0" w:color="auto"/>
                <w:left w:val="none" w:sz="0" w:space="0" w:color="auto"/>
                <w:bottom w:val="none" w:sz="0" w:space="0" w:color="auto"/>
                <w:right w:val="none" w:sz="0" w:space="0" w:color="auto"/>
              </w:divBdr>
            </w:div>
            <w:div w:id="982544286">
              <w:marLeft w:val="0"/>
              <w:marRight w:val="0"/>
              <w:marTop w:val="0"/>
              <w:marBottom w:val="0"/>
              <w:divBdr>
                <w:top w:val="none" w:sz="0" w:space="0" w:color="auto"/>
                <w:left w:val="none" w:sz="0" w:space="0" w:color="auto"/>
                <w:bottom w:val="none" w:sz="0" w:space="0" w:color="auto"/>
                <w:right w:val="none" w:sz="0" w:space="0" w:color="auto"/>
              </w:divBdr>
            </w:div>
            <w:div w:id="160068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805092">
      <w:bodyDiv w:val="1"/>
      <w:marLeft w:val="0"/>
      <w:marRight w:val="0"/>
      <w:marTop w:val="0"/>
      <w:marBottom w:val="0"/>
      <w:divBdr>
        <w:top w:val="none" w:sz="0" w:space="0" w:color="auto"/>
        <w:left w:val="none" w:sz="0" w:space="0" w:color="auto"/>
        <w:bottom w:val="none" w:sz="0" w:space="0" w:color="auto"/>
        <w:right w:val="none" w:sz="0" w:space="0" w:color="auto"/>
      </w:divBdr>
      <w:divsChild>
        <w:div w:id="274486366">
          <w:marLeft w:val="0"/>
          <w:marRight w:val="0"/>
          <w:marTop w:val="0"/>
          <w:marBottom w:val="0"/>
          <w:divBdr>
            <w:top w:val="none" w:sz="0" w:space="0" w:color="auto"/>
            <w:left w:val="none" w:sz="0" w:space="0" w:color="auto"/>
            <w:bottom w:val="none" w:sz="0" w:space="0" w:color="auto"/>
            <w:right w:val="none" w:sz="0" w:space="0" w:color="auto"/>
          </w:divBdr>
        </w:div>
        <w:div w:id="727998143">
          <w:marLeft w:val="0"/>
          <w:marRight w:val="0"/>
          <w:marTop w:val="0"/>
          <w:marBottom w:val="0"/>
          <w:divBdr>
            <w:top w:val="none" w:sz="0" w:space="0" w:color="auto"/>
            <w:left w:val="none" w:sz="0" w:space="0" w:color="auto"/>
            <w:bottom w:val="none" w:sz="0" w:space="0" w:color="auto"/>
            <w:right w:val="none" w:sz="0" w:space="0" w:color="auto"/>
          </w:divBdr>
        </w:div>
      </w:divsChild>
    </w:div>
    <w:div w:id="1712725342">
      <w:bodyDiv w:val="1"/>
      <w:marLeft w:val="0"/>
      <w:marRight w:val="0"/>
      <w:marTop w:val="0"/>
      <w:marBottom w:val="0"/>
      <w:divBdr>
        <w:top w:val="none" w:sz="0" w:space="0" w:color="auto"/>
        <w:left w:val="none" w:sz="0" w:space="0" w:color="auto"/>
        <w:bottom w:val="none" w:sz="0" w:space="0" w:color="auto"/>
        <w:right w:val="none" w:sz="0" w:space="0" w:color="auto"/>
      </w:divBdr>
      <w:divsChild>
        <w:div w:id="365256508">
          <w:marLeft w:val="0"/>
          <w:marRight w:val="0"/>
          <w:marTop w:val="0"/>
          <w:marBottom w:val="0"/>
          <w:divBdr>
            <w:top w:val="none" w:sz="0" w:space="0" w:color="auto"/>
            <w:left w:val="none" w:sz="0" w:space="0" w:color="auto"/>
            <w:bottom w:val="none" w:sz="0" w:space="0" w:color="auto"/>
            <w:right w:val="none" w:sz="0" w:space="0" w:color="auto"/>
          </w:divBdr>
        </w:div>
        <w:div w:id="499543355">
          <w:marLeft w:val="0"/>
          <w:marRight w:val="0"/>
          <w:marTop w:val="0"/>
          <w:marBottom w:val="0"/>
          <w:divBdr>
            <w:top w:val="none" w:sz="0" w:space="0" w:color="auto"/>
            <w:left w:val="none" w:sz="0" w:space="0" w:color="auto"/>
            <w:bottom w:val="none" w:sz="0" w:space="0" w:color="auto"/>
            <w:right w:val="none" w:sz="0" w:space="0" w:color="auto"/>
          </w:divBdr>
          <w:divsChild>
            <w:div w:id="478040322">
              <w:marLeft w:val="0"/>
              <w:marRight w:val="0"/>
              <w:marTop w:val="0"/>
              <w:marBottom w:val="0"/>
              <w:divBdr>
                <w:top w:val="none" w:sz="0" w:space="0" w:color="auto"/>
                <w:left w:val="none" w:sz="0" w:space="0" w:color="auto"/>
                <w:bottom w:val="none" w:sz="0" w:space="0" w:color="auto"/>
                <w:right w:val="none" w:sz="0" w:space="0" w:color="auto"/>
              </w:divBdr>
            </w:div>
            <w:div w:id="954138766">
              <w:marLeft w:val="0"/>
              <w:marRight w:val="0"/>
              <w:marTop w:val="0"/>
              <w:marBottom w:val="0"/>
              <w:divBdr>
                <w:top w:val="none" w:sz="0" w:space="0" w:color="auto"/>
                <w:left w:val="none" w:sz="0" w:space="0" w:color="auto"/>
                <w:bottom w:val="none" w:sz="0" w:space="0" w:color="auto"/>
                <w:right w:val="none" w:sz="0" w:space="0" w:color="auto"/>
              </w:divBdr>
            </w:div>
            <w:div w:id="1286619712">
              <w:marLeft w:val="0"/>
              <w:marRight w:val="0"/>
              <w:marTop w:val="0"/>
              <w:marBottom w:val="0"/>
              <w:divBdr>
                <w:top w:val="none" w:sz="0" w:space="0" w:color="auto"/>
                <w:left w:val="none" w:sz="0" w:space="0" w:color="auto"/>
                <w:bottom w:val="none" w:sz="0" w:space="0" w:color="auto"/>
                <w:right w:val="none" w:sz="0" w:space="0" w:color="auto"/>
              </w:divBdr>
            </w:div>
            <w:div w:id="1450860431">
              <w:marLeft w:val="0"/>
              <w:marRight w:val="0"/>
              <w:marTop w:val="0"/>
              <w:marBottom w:val="0"/>
              <w:divBdr>
                <w:top w:val="none" w:sz="0" w:space="0" w:color="auto"/>
                <w:left w:val="none" w:sz="0" w:space="0" w:color="auto"/>
                <w:bottom w:val="none" w:sz="0" w:space="0" w:color="auto"/>
                <w:right w:val="none" w:sz="0" w:space="0" w:color="auto"/>
              </w:divBdr>
            </w:div>
          </w:divsChild>
        </w:div>
        <w:div w:id="940113929">
          <w:marLeft w:val="0"/>
          <w:marRight w:val="0"/>
          <w:marTop w:val="0"/>
          <w:marBottom w:val="0"/>
          <w:divBdr>
            <w:top w:val="none" w:sz="0" w:space="0" w:color="auto"/>
            <w:left w:val="none" w:sz="0" w:space="0" w:color="auto"/>
            <w:bottom w:val="none" w:sz="0" w:space="0" w:color="auto"/>
            <w:right w:val="none" w:sz="0" w:space="0" w:color="auto"/>
          </w:divBdr>
        </w:div>
      </w:divsChild>
    </w:div>
    <w:div w:id="1712995410">
      <w:bodyDiv w:val="1"/>
      <w:marLeft w:val="0"/>
      <w:marRight w:val="0"/>
      <w:marTop w:val="0"/>
      <w:marBottom w:val="0"/>
      <w:divBdr>
        <w:top w:val="none" w:sz="0" w:space="0" w:color="auto"/>
        <w:left w:val="none" w:sz="0" w:space="0" w:color="auto"/>
        <w:bottom w:val="none" w:sz="0" w:space="0" w:color="auto"/>
        <w:right w:val="none" w:sz="0" w:space="0" w:color="auto"/>
      </w:divBdr>
      <w:divsChild>
        <w:div w:id="1267150393">
          <w:marLeft w:val="0"/>
          <w:marRight w:val="0"/>
          <w:marTop w:val="0"/>
          <w:marBottom w:val="0"/>
          <w:divBdr>
            <w:top w:val="none" w:sz="0" w:space="0" w:color="auto"/>
            <w:left w:val="none" w:sz="0" w:space="0" w:color="auto"/>
            <w:bottom w:val="none" w:sz="0" w:space="0" w:color="auto"/>
            <w:right w:val="none" w:sz="0" w:space="0" w:color="auto"/>
          </w:divBdr>
        </w:div>
      </w:divsChild>
    </w:div>
    <w:div w:id="1736465075">
      <w:bodyDiv w:val="1"/>
      <w:marLeft w:val="0"/>
      <w:marRight w:val="0"/>
      <w:marTop w:val="0"/>
      <w:marBottom w:val="0"/>
      <w:divBdr>
        <w:top w:val="none" w:sz="0" w:space="0" w:color="auto"/>
        <w:left w:val="none" w:sz="0" w:space="0" w:color="auto"/>
        <w:bottom w:val="none" w:sz="0" w:space="0" w:color="auto"/>
        <w:right w:val="none" w:sz="0" w:space="0" w:color="auto"/>
      </w:divBdr>
      <w:divsChild>
        <w:div w:id="566189655">
          <w:marLeft w:val="0"/>
          <w:marRight w:val="0"/>
          <w:marTop w:val="0"/>
          <w:marBottom w:val="0"/>
          <w:divBdr>
            <w:top w:val="none" w:sz="0" w:space="0" w:color="auto"/>
            <w:left w:val="none" w:sz="0" w:space="0" w:color="auto"/>
            <w:bottom w:val="none" w:sz="0" w:space="0" w:color="auto"/>
            <w:right w:val="none" w:sz="0" w:space="0" w:color="auto"/>
          </w:divBdr>
          <w:divsChild>
            <w:div w:id="128713958">
              <w:marLeft w:val="0"/>
              <w:marRight w:val="0"/>
              <w:marTop w:val="0"/>
              <w:marBottom w:val="0"/>
              <w:divBdr>
                <w:top w:val="none" w:sz="0" w:space="0" w:color="auto"/>
                <w:left w:val="none" w:sz="0" w:space="0" w:color="auto"/>
                <w:bottom w:val="none" w:sz="0" w:space="0" w:color="auto"/>
                <w:right w:val="none" w:sz="0" w:space="0" w:color="auto"/>
              </w:divBdr>
            </w:div>
            <w:div w:id="309218311">
              <w:marLeft w:val="0"/>
              <w:marRight w:val="0"/>
              <w:marTop w:val="0"/>
              <w:marBottom w:val="0"/>
              <w:divBdr>
                <w:top w:val="none" w:sz="0" w:space="0" w:color="auto"/>
                <w:left w:val="none" w:sz="0" w:space="0" w:color="auto"/>
                <w:bottom w:val="none" w:sz="0" w:space="0" w:color="auto"/>
                <w:right w:val="none" w:sz="0" w:space="0" w:color="auto"/>
              </w:divBdr>
            </w:div>
            <w:div w:id="312100959">
              <w:marLeft w:val="0"/>
              <w:marRight w:val="0"/>
              <w:marTop w:val="0"/>
              <w:marBottom w:val="0"/>
              <w:divBdr>
                <w:top w:val="none" w:sz="0" w:space="0" w:color="auto"/>
                <w:left w:val="none" w:sz="0" w:space="0" w:color="auto"/>
                <w:bottom w:val="none" w:sz="0" w:space="0" w:color="auto"/>
                <w:right w:val="none" w:sz="0" w:space="0" w:color="auto"/>
              </w:divBdr>
            </w:div>
            <w:div w:id="1211309091">
              <w:marLeft w:val="0"/>
              <w:marRight w:val="0"/>
              <w:marTop w:val="0"/>
              <w:marBottom w:val="0"/>
              <w:divBdr>
                <w:top w:val="none" w:sz="0" w:space="0" w:color="auto"/>
                <w:left w:val="none" w:sz="0" w:space="0" w:color="auto"/>
                <w:bottom w:val="none" w:sz="0" w:space="0" w:color="auto"/>
                <w:right w:val="none" w:sz="0" w:space="0" w:color="auto"/>
              </w:divBdr>
            </w:div>
            <w:div w:id="2085176429">
              <w:marLeft w:val="0"/>
              <w:marRight w:val="0"/>
              <w:marTop w:val="0"/>
              <w:marBottom w:val="0"/>
              <w:divBdr>
                <w:top w:val="none" w:sz="0" w:space="0" w:color="auto"/>
                <w:left w:val="none" w:sz="0" w:space="0" w:color="auto"/>
                <w:bottom w:val="none" w:sz="0" w:space="0" w:color="auto"/>
                <w:right w:val="none" w:sz="0" w:space="0" w:color="auto"/>
              </w:divBdr>
            </w:div>
          </w:divsChild>
        </w:div>
        <w:div w:id="1430782598">
          <w:marLeft w:val="0"/>
          <w:marRight w:val="0"/>
          <w:marTop w:val="0"/>
          <w:marBottom w:val="0"/>
          <w:divBdr>
            <w:top w:val="none" w:sz="0" w:space="0" w:color="auto"/>
            <w:left w:val="none" w:sz="0" w:space="0" w:color="auto"/>
            <w:bottom w:val="none" w:sz="0" w:space="0" w:color="auto"/>
            <w:right w:val="none" w:sz="0" w:space="0" w:color="auto"/>
          </w:divBdr>
        </w:div>
        <w:div w:id="1840651727">
          <w:marLeft w:val="0"/>
          <w:marRight w:val="0"/>
          <w:marTop w:val="0"/>
          <w:marBottom w:val="0"/>
          <w:divBdr>
            <w:top w:val="none" w:sz="0" w:space="0" w:color="auto"/>
            <w:left w:val="none" w:sz="0" w:space="0" w:color="auto"/>
            <w:bottom w:val="none" w:sz="0" w:space="0" w:color="auto"/>
            <w:right w:val="none" w:sz="0" w:space="0" w:color="auto"/>
          </w:divBdr>
        </w:div>
      </w:divsChild>
    </w:div>
    <w:div w:id="1741363098">
      <w:bodyDiv w:val="1"/>
      <w:marLeft w:val="0"/>
      <w:marRight w:val="0"/>
      <w:marTop w:val="0"/>
      <w:marBottom w:val="0"/>
      <w:divBdr>
        <w:top w:val="none" w:sz="0" w:space="0" w:color="auto"/>
        <w:left w:val="none" w:sz="0" w:space="0" w:color="auto"/>
        <w:bottom w:val="none" w:sz="0" w:space="0" w:color="auto"/>
        <w:right w:val="none" w:sz="0" w:space="0" w:color="auto"/>
      </w:divBdr>
      <w:divsChild>
        <w:div w:id="1568570893">
          <w:marLeft w:val="0"/>
          <w:marRight w:val="0"/>
          <w:marTop w:val="0"/>
          <w:marBottom w:val="0"/>
          <w:divBdr>
            <w:top w:val="none" w:sz="0" w:space="0" w:color="auto"/>
            <w:left w:val="none" w:sz="0" w:space="0" w:color="auto"/>
            <w:bottom w:val="none" w:sz="0" w:space="0" w:color="auto"/>
            <w:right w:val="none" w:sz="0" w:space="0" w:color="auto"/>
          </w:divBdr>
        </w:div>
      </w:divsChild>
    </w:div>
    <w:div w:id="1742023069">
      <w:bodyDiv w:val="1"/>
      <w:marLeft w:val="0"/>
      <w:marRight w:val="0"/>
      <w:marTop w:val="0"/>
      <w:marBottom w:val="0"/>
      <w:divBdr>
        <w:top w:val="none" w:sz="0" w:space="0" w:color="auto"/>
        <w:left w:val="none" w:sz="0" w:space="0" w:color="auto"/>
        <w:bottom w:val="none" w:sz="0" w:space="0" w:color="auto"/>
        <w:right w:val="none" w:sz="0" w:space="0" w:color="auto"/>
      </w:divBdr>
      <w:divsChild>
        <w:div w:id="624313704">
          <w:marLeft w:val="0"/>
          <w:marRight w:val="0"/>
          <w:marTop w:val="0"/>
          <w:marBottom w:val="0"/>
          <w:divBdr>
            <w:top w:val="none" w:sz="0" w:space="0" w:color="auto"/>
            <w:left w:val="none" w:sz="0" w:space="0" w:color="auto"/>
            <w:bottom w:val="none" w:sz="0" w:space="0" w:color="auto"/>
            <w:right w:val="none" w:sz="0" w:space="0" w:color="auto"/>
          </w:divBdr>
        </w:div>
        <w:div w:id="952706106">
          <w:marLeft w:val="0"/>
          <w:marRight w:val="0"/>
          <w:marTop w:val="0"/>
          <w:marBottom w:val="0"/>
          <w:divBdr>
            <w:top w:val="none" w:sz="0" w:space="0" w:color="auto"/>
            <w:left w:val="none" w:sz="0" w:space="0" w:color="auto"/>
            <w:bottom w:val="none" w:sz="0" w:space="0" w:color="auto"/>
            <w:right w:val="none" w:sz="0" w:space="0" w:color="auto"/>
          </w:divBdr>
        </w:div>
        <w:div w:id="2144613637">
          <w:marLeft w:val="0"/>
          <w:marRight w:val="0"/>
          <w:marTop w:val="0"/>
          <w:marBottom w:val="0"/>
          <w:divBdr>
            <w:top w:val="none" w:sz="0" w:space="0" w:color="auto"/>
            <w:left w:val="none" w:sz="0" w:space="0" w:color="auto"/>
            <w:bottom w:val="none" w:sz="0" w:space="0" w:color="auto"/>
            <w:right w:val="none" w:sz="0" w:space="0" w:color="auto"/>
          </w:divBdr>
        </w:div>
      </w:divsChild>
    </w:div>
    <w:div w:id="1756247043">
      <w:bodyDiv w:val="1"/>
      <w:marLeft w:val="0"/>
      <w:marRight w:val="0"/>
      <w:marTop w:val="0"/>
      <w:marBottom w:val="0"/>
      <w:divBdr>
        <w:top w:val="none" w:sz="0" w:space="0" w:color="auto"/>
        <w:left w:val="none" w:sz="0" w:space="0" w:color="auto"/>
        <w:bottom w:val="none" w:sz="0" w:space="0" w:color="auto"/>
        <w:right w:val="none" w:sz="0" w:space="0" w:color="auto"/>
      </w:divBdr>
      <w:divsChild>
        <w:div w:id="1003824409">
          <w:marLeft w:val="0"/>
          <w:marRight w:val="0"/>
          <w:marTop w:val="0"/>
          <w:marBottom w:val="0"/>
          <w:divBdr>
            <w:top w:val="none" w:sz="0" w:space="0" w:color="auto"/>
            <w:left w:val="none" w:sz="0" w:space="0" w:color="auto"/>
            <w:bottom w:val="none" w:sz="0" w:space="0" w:color="auto"/>
            <w:right w:val="none" w:sz="0" w:space="0" w:color="auto"/>
          </w:divBdr>
        </w:div>
        <w:div w:id="1165246454">
          <w:marLeft w:val="0"/>
          <w:marRight w:val="0"/>
          <w:marTop w:val="0"/>
          <w:marBottom w:val="0"/>
          <w:divBdr>
            <w:top w:val="none" w:sz="0" w:space="0" w:color="auto"/>
            <w:left w:val="none" w:sz="0" w:space="0" w:color="auto"/>
            <w:bottom w:val="none" w:sz="0" w:space="0" w:color="auto"/>
            <w:right w:val="none" w:sz="0" w:space="0" w:color="auto"/>
          </w:divBdr>
        </w:div>
        <w:div w:id="1681858754">
          <w:marLeft w:val="0"/>
          <w:marRight w:val="0"/>
          <w:marTop w:val="0"/>
          <w:marBottom w:val="0"/>
          <w:divBdr>
            <w:top w:val="none" w:sz="0" w:space="0" w:color="auto"/>
            <w:left w:val="none" w:sz="0" w:space="0" w:color="auto"/>
            <w:bottom w:val="none" w:sz="0" w:space="0" w:color="auto"/>
            <w:right w:val="none" w:sz="0" w:space="0" w:color="auto"/>
          </w:divBdr>
        </w:div>
      </w:divsChild>
    </w:div>
    <w:div w:id="1764302118">
      <w:bodyDiv w:val="1"/>
      <w:marLeft w:val="0"/>
      <w:marRight w:val="0"/>
      <w:marTop w:val="0"/>
      <w:marBottom w:val="0"/>
      <w:divBdr>
        <w:top w:val="none" w:sz="0" w:space="0" w:color="auto"/>
        <w:left w:val="none" w:sz="0" w:space="0" w:color="auto"/>
        <w:bottom w:val="none" w:sz="0" w:space="0" w:color="auto"/>
        <w:right w:val="none" w:sz="0" w:space="0" w:color="auto"/>
      </w:divBdr>
    </w:div>
    <w:div w:id="1764453275">
      <w:bodyDiv w:val="1"/>
      <w:marLeft w:val="0"/>
      <w:marRight w:val="0"/>
      <w:marTop w:val="0"/>
      <w:marBottom w:val="0"/>
      <w:divBdr>
        <w:top w:val="none" w:sz="0" w:space="0" w:color="auto"/>
        <w:left w:val="none" w:sz="0" w:space="0" w:color="auto"/>
        <w:bottom w:val="none" w:sz="0" w:space="0" w:color="auto"/>
        <w:right w:val="none" w:sz="0" w:space="0" w:color="auto"/>
      </w:divBdr>
      <w:divsChild>
        <w:div w:id="387727534">
          <w:marLeft w:val="0"/>
          <w:marRight w:val="0"/>
          <w:marTop w:val="0"/>
          <w:marBottom w:val="0"/>
          <w:divBdr>
            <w:top w:val="none" w:sz="0" w:space="0" w:color="auto"/>
            <w:left w:val="none" w:sz="0" w:space="0" w:color="auto"/>
            <w:bottom w:val="none" w:sz="0" w:space="0" w:color="auto"/>
            <w:right w:val="none" w:sz="0" w:space="0" w:color="auto"/>
          </w:divBdr>
        </w:div>
        <w:div w:id="1968781470">
          <w:marLeft w:val="0"/>
          <w:marRight w:val="0"/>
          <w:marTop w:val="0"/>
          <w:marBottom w:val="0"/>
          <w:divBdr>
            <w:top w:val="none" w:sz="0" w:space="0" w:color="auto"/>
            <w:left w:val="none" w:sz="0" w:space="0" w:color="auto"/>
            <w:bottom w:val="none" w:sz="0" w:space="0" w:color="auto"/>
            <w:right w:val="none" w:sz="0" w:space="0" w:color="auto"/>
          </w:divBdr>
        </w:div>
      </w:divsChild>
    </w:div>
    <w:div w:id="1764492572">
      <w:bodyDiv w:val="1"/>
      <w:marLeft w:val="0"/>
      <w:marRight w:val="0"/>
      <w:marTop w:val="0"/>
      <w:marBottom w:val="0"/>
      <w:divBdr>
        <w:top w:val="none" w:sz="0" w:space="0" w:color="auto"/>
        <w:left w:val="none" w:sz="0" w:space="0" w:color="auto"/>
        <w:bottom w:val="none" w:sz="0" w:space="0" w:color="auto"/>
        <w:right w:val="none" w:sz="0" w:space="0" w:color="auto"/>
      </w:divBdr>
    </w:div>
    <w:div w:id="1770346060">
      <w:bodyDiv w:val="1"/>
      <w:marLeft w:val="0"/>
      <w:marRight w:val="0"/>
      <w:marTop w:val="0"/>
      <w:marBottom w:val="0"/>
      <w:divBdr>
        <w:top w:val="none" w:sz="0" w:space="0" w:color="auto"/>
        <w:left w:val="none" w:sz="0" w:space="0" w:color="auto"/>
        <w:bottom w:val="none" w:sz="0" w:space="0" w:color="auto"/>
        <w:right w:val="none" w:sz="0" w:space="0" w:color="auto"/>
      </w:divBdr>
    </w:div>
    <w:div w:id="1773284160">
      <w:bodyDiv w:val="1"/>
      <w:marLeft w:val="0"/>
      <w:marRight w:val="0"/>
      <w:marTop w:val="0"/>
      <w:marBottom w:val="0"/>
      <w:divBdr>
        <w:top w:val="none" w:sz="0" w:space="0" w:color="auto"/>
        <w:left w:val="none" w:sz="0" w:space="0" w:color="auto"/>
        <w:bottom w:val="none" w:sz="0" w:space="0" w:color="auto"/>
        <w:right w:val="none" w:sz="0" w:space="0" w:color="auto"/>
      </w:divBdr>
      <w:divsChild>
        <w:div w:id="611323247">
          <w:marLeft w:val="0"/>
          <w:marRight w:val="0"/>
          <w:marTop w:val="0"/>
          <w:marBottom w:val="0"/>
          <w:divBdr>
            <w:top w:val="none" w:sz="0" w:space="0" w:color="auto"/>
            <w:left w:val="none" w:sz="0" w:space="0" w:color="auto"/>
            <w:bottom w:val="none" w:sz="0" w:space="0" w:color="auto"/>
            <w:right w:val="none" w:sz="0" w:space="0" w:color="auto"/>
          </w:divBdr>
          <w:divsChild>
            <w:div w:id="2014720948">
              <w:marLeft w:val="0"/>
              <w:marRight w:val="0"/>
              <w:marTop w:val="0"/>
              <w:marBottom w:val="0"/>
              <w:divBdr>
                <w:top w:val="none" w:sz="0" w:space="0" w:color="auto"/>
                <w:left w:val="none" w:sz="0" w:space="0" w:color="auto"/>
                <w:bottom w:val="none" w:sz="0" w:space="0" w:color="auto"/>
                <w:right w:val="none" w:sz="0" w:space="0" w:color="auto"/>
              </w:divBdr>
              <w:divsChild>
                <w:div w:id="11502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31741">
      <w:bodyDiv w:val="1"/>
      <w:marLeft w:val="0"/>
      <w:marRight w:val="0"/>
      <w:marTop w:val="0"/>
      <w:marBottom w:val="0"/>
      <w:divBdr>
        <w:top w:val="none" w:sz="0" w:space="0" w:color="auto"/>
        <w:left w:val="none" w:sz="0" w:space="0" w:color="auto"/>
        <w:bottom w:val="none" w:sz="0" w:space="0" w:color="auto"/>
        <w:right w:val="none" w:sz="0" w:space="0" w:color="auto"/>
      </w:divBdr>
      <w:divsChild>
        <w:div w:id="272440224">
          <w:marLeft w:val="0"/>
          <w:marRight w:val="0"/>
          <w:marTop w:val="0"/>
          <w:marBottom w:val="0"/>
          <w:divBdr>
            <w:top w:val="none" w:sz="0" w:space="0" w:color="auto"/>
            <w:left w:val="none" w:sz="0" w:space="0" w:color="auto"/>
            <w:bottom w:val="none" w:sz="0" w:space="0" w:color="auto"/>
            <w:right w:val="none" w:sz="0" w:space="0" w:color="auto"/>
          </w:divBdr>
        </w:div>
        <w:div w:id="351928430">
          <w:marLeft w:val="0"/>
          <w:marRight w:val="0"/>
          <w:marTop w:val="0"/>
          <w:marBottom w:val="0"/>
          <w:divBdr>
            <w:top w:val="none" w:sz="0" w:space="0" w:color="auto"/>
            <w:left w:val="none" w:sz="0" w:space="0" w:color="auto"/>
            <w:bottom w:val="none" w:sz="0" w:space="0" w:color="auto"/>
            <w:right w:val="none" w:sz="0" w:space="0" w:color="auto"/>
          </w:divBdr>
        </w:div>
        <w:div w:id="836648821">
          <w:marLeft w:val="0"/>
          <w:marRight w:val="0"/>
          <w:marTop w:val="0"/>
          <w:marBottom w:val="0"/>
          <w:divBdr>
            <w:top w:val="none" w:sz="0" w:space="0" w:color="auto"/>
            <w:left w:val="none" w:sz="0" w:space="0" w:color="auto"/>
            <w:bottom w:val="none" w:sz="0" w:space="0" w:color="auto"/>
            <w:right w:val="none" w:sz="0" w:space="0" w:color="auto"/>
          </w:divBdr>
        </w:div>
        <w:div w:id="1940064508">
          <w:marLeft w:val="0"/>
          <w:marRight w:val="0"/>
          <w:marTop w:val="0"/>
          <w:marBottom w:val="0"/>
          <w:divBdr>
            <w:top w:val="none" w:sz="0" w:space="0" w:color="auto"/>
            <w:left w:val="none" w:sz="0" w:space="0" w:color="auto"/>
            <w:bottom w:val="none" w:sz="0" w:space="0" w:color="auto"/>
            <w:right w:val="none" w:sz="0" w:space="0" w:color="auto"/>
          </w:divBdr>
        </w:div>
      </w:divsChild>
    </w:div>
    <w:div w:id="1797140965">
      <w:bodyDiv w:val="1"/>
      <w:marLeft w:val="0"/>
      <w:marRight w:val="0"/>
      <w:marTop w:val="0"/>
      <w:marBottom w:val="0"/>
      <w:divBdr>
        <w:top w:val="none" w:sz="0" w:space="0" w:color="auto"/>
        <w:left w:val="none" w:sz="0" w:space="0" w:color="auto"/>
        <w:bottom w:val="none" w:sz="0" w:space="0" w:color="auto"/>
        <w:right w:val="none" w:sz="0" w:space="0" w:color="auto"/>
      </w:divBdr>
      <w:divsChild>
        <w:div w:id="1284724584">
          <w:marLeft w:val="0"/>
          <w:marRight w:val="0"/>
          <w:marTop w:val="0"/>
          <w:marBottom w:val="0"/>
          <w:divBdr>
            <w:top w:val="none" w:sz="0" w:space="0" w:color="auto"/>
            <w:left w:val="none" w:sz="0" w:space="0" w:color="auto"/>
            <w:bottom w:val="none" w:sz="0" w:space="0" w:color="auto"/>
            <w:right w:val="none" w:sz="0" w:space="0" w:color="auto"/>
          </w:divBdr>
        </w:div>
      </w:divsChild>
    </w:div>
    <w:div w:id="1799300091">
      <w:bodyDiv w:val="1"/>
      <w:marLeft w:val="0"/>
      <w:marRight w:val="0"/>
      <w:marTop w:val="0"/>
      <w:marBottom w:val="0"/>
      <w:divBdr>
        <w:top w:val="none" w:sz="0" w:space="0" w:color="auto"/>
        <w:left w:val="none" w:sz="0" w:space="0" w:color="auto"/>
        <w:bottom w:val="none" w:sz="0" w:space="0" w:color="auto"/>
        <w:right w:val="none" w:sz="0" w:space="0" w:color="auto"/>
      </w:divBdr>
      <w:divsChild>
        <w:div w:id="722873419">
          <w:marLeft w:val="0"/>
          <w:marRight w:val="0"/>
          <w:marTop w:val="0"/>
          <w:marBottom w:val="0"/>
          <w:divBdr>
            <w:top w:val="none" w:sz="0" w:space="0" w:color="auto"/>
            <w:left w:val="none" w:sz="0" w:space="0" w:color="auto"/>
            <w:bottom w:val="none" w:sz="0" w:space="0" w:color="auto"/>
            <w:right w:val="none" w:sz="0" w:space="0" w:color="auto"/>
          </w:divBdr>
        </w:div>
        <w:div w:id="1580291659">
          <w:marLeft w:val="0"/>
          <w:marRight w:val="0"/>
          <w:marTop w:val="0"/>
          <w:marBottom w:val="0"/>
          <w:divBdr>
            <w:top w:val="none" w:sz="0" w:space="0" w:color="auto"/>
            <w:left w:val="none" w:sz="0" w:space="0" w:color="auto"/>
            <w:bottom w:val="none" w:sz="0" w:space="0" w:color="auto"/>
            <w:right w:val="none" w:sz="0" w:space="0" w:color="auto"/>
          </w:divBdr>
        </w:div>
        <w:div w:id="1587884712">
          <w:marLeft w:val="0"/>
          <w:marRight w:val="0"/>
          <w:marTop w:val="0"/>
          <w:marBottom w:val="0"/>
          <w:divBdr>
            <w:top w:val="none" w:sz="0" w:space="0" w:color="auto"/>
            <w:left w:val="none" w:sz="0" w:space="0" w:color="auto"/>
            <w:bottom w:val="none" w:sz="0" w:space="0" w:color="auto"/>
            <w:right w:val="none" w:sz="0" w:space="0" w:color="auto"/>
          </w:divBdr>
        </w:div>
        <w:div w:id="1626308442">
          <w:marLeft w:val="0"/>
          <w:marRight w:val="0"/>
          <w:marTop w:val="0"/>
          <w:marBottom w:val="0"/>
          <w:divBdr>
            <w:top w:val="none" w:sz="0" w:space="0" w:color="auto"/>
            <w:left w:val="none" w:sz="0" w:space="0" w:color="auto"/>
            <w:bottom w:val="none" w:sz="0" w:space="0" w:color="auto"/>
            <w:right w:val="none" w:sz="0" w:space="0" w:color="auto"/>
          </w:divBdr>
        </w:div>
      </w:divsChild>
    </w:div>
    <w:div w:id="1815827403">
      <w:bodyDiv w:val="1"/>
      <w:marLeft w:val="0"/>
      <w:marRight w:val="0"/>
      <w:marTop w:val="0"/>
      <w:marBottom w:val="0"/>
      <w:divBdr>
        <w:top w:val="none" w:sz="0" w:space="0" w:color="auto"/>
        <w:left w:val="none" w:sz="0" w:space="0" w:color="auto"/>
        <w:bottom w:val="none" w:sz="0" w:space="0" w:color="auto"/>
        <w:right w:val="none" w:sz="0" w:space="0" w:color="auto"/>
      </w:divBdr>
      <w:divsChild>
        <w:div w:id="1147017477">
          <w:marLeft w:val="0"/>
          <w:marRight w:val="0"/>
          <w:marTop w:val="0"/>
          <w:marBottom w:val="0"/>
          <w:divBdr>
            <w:top w:val="none" w:sz="0" w:space="0" w:color="auto"/>
            <w:left w:val="none" w:sz="0" w:space="0" w:color="auto"/>
            <w:bottom w:val="none" w:sz="0" w:space="0" w:color="auto"/>
            <w:right w:val="none" w:sz="0" w:space="0" w:color="auto"/>
          </w:divBdr>
        </w:div>
      </w:divsChild>
    </w:div>
    <w:div w:id="1822885017">
      <w:bodyDiv w:val="1"/>
      <w:marLeft w:val="0"/>
      <w:marRight w:val="0"/>
      <w:marTop w:val="0"/>
      <w:marBottom w:val="0"/>
      <w:divBdr>
        <w:top w:val="none" w:sz="0" w:space="0" w:color="auto"/>
        <w:left w:val="none" w:sz="0" w:space="0" w:color="auto"/>
        <w:bottom w:val="none" w:sz="0" w:space="0" w:color="auto"/>
        <w:right w:val="none" w:sz="0" w:space="0" w:color="auto"/>
      </w:divBdr>
    </w:div>
    <w:div w:id="1823809002">
      <w:bodyDiv w:val="1"/>
      <w:marLeft w:val="0"/>
      <w:marRight w:val="0"/>
      <w:marTop w:val="0"/>
      <w:marBottom w:val="0"/>
      <w:divBdr>
        <w:top w:val="none" w:sz="0" w:space="0" w:color="auto"/>
        <w:left w:val="none" w:sz="0" w:space="0" w:color="auto"/>
        <w:bottom w:val="none" w:sz="0" w:space="0" w:color="auto"/>
        <w:right w:val="none" w:sz="0" w:space="0" w:color="auto"/>
      </w:divBdr>
      <w:divsChild>
        <w:div w:id="664894122">
          <w:marLeft w:val="0"/>
          <w:marRight w:val="0"/>
          <w:marTop w:val="0"/>
          <w:marBottom w:val="0"/>
          <w:divBdr>
            <w:top w:val="none" w:sz="0" w:space="0" w:color="auto"/>
            <w:left w:val="none" w:sz="0" w:space="0" w:color="auto"/>
            <w:bottom w:val="none" w:sz="0" w:space="0" w:color="auto"/>
            <w:right w:val="none" w:sz="0" w:space="0" w:color="auto"/>
          </w:divBdr>
        </w:div>
      </w:divsChild>
    </w:div>
    <w:div w:id="1862936139">
      <w:bodyDiv w:val="1"/>
      <w:marLeft w:val="0"/>
      <w:marRight w:val="0"/>
      <w:marTop w:val="0"/>
      <w:marBottom w:val="0"/>
      <w:divBdr>
        <w:top w:val="none" w:sz="0" w:space="0" w:color="auto"/>
        <w:left w:val="none" w:sz="0" w:space="0" w:color="auto"/>
        <w:bottom w:val="none" w:sz="0" w:space="0" w:color="auto"/>
        <w:right w:val="none" w:sz="0" w:space="0" w:color="auto"/>
      </w:divBdr>
      <w:divsChild>
        <w:div w:id="1750423010">
          <w:marLeft w:val="0"/>
          <w:marRight w:val="0"/>
          <w:marTop w:val="0"/>
          <w:marBottom w:val="0"/>
          <w:divBdr>
            <w:top w:val="none" w:sz="0" w:space="0" w:color="auto"/>
            <w:left w:val="none" w:sz="0" w:space="0" w:color="auto"/>
            <w:bottom w:val="none" w:sz="0" w:space="0" w:color="auto"/>
            <w:right w:val="none" w:sz="0" w:space="0" w:color="auto"/>
          </w:divBdr>
        </w:div>
      </w:divsChild>
    </w:div>
    <w:div w:id="1871452990">
      <w:bodyDiv w:val="1"/>
      <w:marLeft w:val="0"/>
      <w:marRight w:val="0"/>
      <w:marTop w:val="0"/>
      <w:marBottom w:val="0"/>
      <w:divBdr>
        <w:top w:val="none" w:sz="0" w:space="0" w:color="auto"/>
        <w:left w:val="none" w:sz="0" w:space="0" w:color="auto"/>
        <w:bottom w:val="none" w:sz="0" w:space="0" w:color="auto"/>
        <w:right w:val="none" w:sz="0" w:space="0" w:color="auto"/>
      </w:divBdr>
      <w:divsChild>
        <w:div w:id="236789052">
          <w:marLeft w:val="0"/>
          <w:marRight w:val="0"/>
          <w:marTop w:val="0"/>
          <w:marBottom w:val="0"/>
          <w:divBdr>
            <w:top w:val="none" w:sz="0" w:space="0" w:color="auto"/>
            <w:left w:val="none" w:sz="0" w:space="0" w:color="auto"/>
            <w:bottom w:val="none" w:sz="0" w:space="0" w:color="auto"/>
            <w:right w:val="none" w:sz="0" w:space="0" w:color="auto"/>
          </w:divBdr>
        </w:div>
        <w:div w:id="309142255">
          <w:marLeft w:val="0"/>
          <w:marRight w:val="0"/>
          <w:marTop w:val="0"/>
          <w:marBottom w:val="0"/>
          <w:divBdr>
            <w:top w:val="none" w:sz="0" w:space="0" w:color="auto"/>
            <w:left w:val="none" w:sz="0" w:space="0" w:color="auto"/>
            <w:bottom w:val="none" w:sz="0" w:space="0" w:color="auto"/>
            <w:right w:val="none" w:sz="0" w:space="0" w:color="auto"/>
          </w:divBdr>
        </w:div>
        <w:div w:id="881097970">
          <w:marLeft w:val="0"/>
          <w:marRight w:val="0"/>
          <w:marTop w:val="0"/>
          <w:marBottom w:val="0"/>
          <w:divBdr>
            <w:top w:val="none" w:sz="0" w:space="0" w:color="auto"/>
            <w:left w:val="none" w:sz="0" w:space="0" w:color="auto"/>
            <w:bottom w:val="none" w:sz="0" w:space="0" w:color="auto"/>
            <w:right w:val="none" w:sz="0" w:space="0" w:color="auto"/>
          </w:divBdr>
        </w:div>
        <w:div w:id="1271937932">
          <w:marLeft w:val="0"/>
          <w:marRight w:val="0"/>
          <w:marTop w:val="0"/>
          <w:marBottom w:val="0"/>
          <w:divBdr>
            <w:top w:val="none" w:sz="0" w:space="0" w:color="auto"/>
            <w:left w:val="none" w:sz="0" w:space="0" w:color="auto"/>
            <w:bottom w:val="none" w:sz="0" w:space="0" w:color="auto"/>
            <w:right w:val="none" w:sz="0" w:space="0" w:color="auto"/>
          </w:divBdr>
        </w:div>
        <w:div w:id="1939216629">
          <w:marLeft w:val="0"/>
          <w:marRight w:val="0"/>
          <w:marTop w:val="0"/>
          <w:marBottom w:val="0"/>
          <w:divBdr>
            <w:top w:val="none" w:sz="0" w:space="0" w:color="auto"/>
            <w:left w:val="none" w:sz="0" w:space="0" w:color="auto"/>
            <w:bottom w:val="none" w:sz="0" w:space="0" w:color="auto"/>
            <w:right w:val="none" w:sz="0" w:space="0" w:color="auto"/>
          </w:divBdr>
        </w:div>
      </w:divsChild>
    </w:div>
    <w:div w:id="1906792877">
      <w:bodyDiv w:val="1"/>
      <w:marLeft w:val="0"/>
      <w:marRight w:val="0"/>
      <w:marTop w:val="0"/>
      <w:marBottom w:val="0"/>
      <w:divBdr>
        <w:top w:val="none" w:sz="0" w:space="0" w:color="auto"/>
        <w:left w:val="none" w:sz="0" w:space="0" w:color="auto"/>
        <w:bottom w:val="none" w:sz="0" w:space="0" w:color="auto"/>
        <w:right w:val="none" w:sz="0" w:space="0" w:color="auto"/>
      </w:divBdr>
      <w:divsChild>
        <w:div w:id="1289319261">
          <w:marLeft w:val="0"/>
          <w:marRight w:val="0"/>
          <w:marTop w:val="0"/>
          <w:marBottom w:val="0"/>
          <w:divBdr>
            <w:top w:val="none" w:sz="0" w:space="0" w:color="auto"/>
            <w:left w:val="none" w:sz="0" w:space="0" w:color="auto"/>
            <w:bottom w:val="none" w:sz="0" w:space="0" w:color="auto"/>
            <w:right w:val="none" w:sz="0" w:space="0" w:color="auto"/>
          </w:divBdr>
          <w:divsChild>
            <w:div w:id="131309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719224">
      <w:bodyDiv w:val="1"/>
      <w:marLeft w:val="0"/>
      <w:marRight w:val="0"/>
      <w:marTop w:val="0"/>
      <w:marBottom w:val="0"/>
      <w:divBdr>
        <w:top w:val="none" w:sz="0" w:space="0" w:color="auto"/>
        <w:left w:val="none" w:sz="0" w:space="0" w:color="auto"/>
        <w:bottom w:val="none" w:sz="0" w:space="0" w:color="auto"/>
        <w:right w:val="none" w:sz="0" w:space="0" w:color="auto"/>
      </w:divBdr>
      <w:divsChild>
        <w:div w:id="1332490607">
          <w:marLeft w:val="0"/>
          <w:marRight w:val="0"/>
          <w:marTop w:val="0"/>
          <w:marBottom w:val="0"/>
          <w:divBdr>
            <w:top w:val="none" w:sz="0" w:space="0" w:color="auto"/>
            <w:left w:val="none" w:sz="0" w:space="0" w:color="auto"/>
            <w:bottom w:val="none" w:sz="0" w:space="0" w:color="auto"/>
            <w:right w:val="none" w:sz="0" w:space="0" w:color="auto"/>
          </w:divBdr>
        </w:div>
        <w:div w:id="1671247901">
          <w:marLeft w:val="0"/>
          <w:marRight w:val="0"/>
          <w:marTop w:val="0"/>
          <w:marBottom w:val="0"/>
          <w:divBdr>
            <w:top w:val="none" w:sz="0" w:space="0" w:color="auto"/>
            <w:left w:val="none" w:sz="0" w:space="0" w:color="auto"/>
            <w:bottom w:val="none" w:sz="0" w:space="0" w:color="auto"/>
            <w:right w:val="none" w:sz="0" w:space="0" w:color="auto"/>
          </w:divBdr>
        </w:div>
      </w:divsChild>
    </w:div>
    <w:div w:id="1984699498">
      <w:bodyDiv w:val="1"/>
      <w:marLeft w:val="0"/>
      <w:marRight w:val="0"/>
      <w:marTop w:val="0"/>
      <w:marBottom w:val="0"/>
      <w:divBdr>
        <w:top w:val="none" w:sz="0" w:space="0" w:color="auto"/>
        <w:left w:val="none" w:sz="0" w:space="0" w:color="auto"/>
        <w:bottom w:val="none" w:sz="0" w:space="0" w:color="auto"/>
        <w:right w:val="none" w:sz="0" w:space="0" w:color="auto"/>
      </w:divBdr>
      <w:divsChild>
        <w:div w:id="836576792">
          <w:marLeft w:val="0"/>
          <w:marRight w:val="0"/>
          <w:marTop w:val="0"/>
          <w:marBottom w:val="0"/>
          <w:divBdr>
            <w:top w:val="none" w:sz="0" w:space="0" w:color="auto"/>
            <w:left w:val="none" w:sz="0" w:space="0" w:color="auto"/>
            <w:bottom w:val="none" w:sz="0" w:space="0" w:color="auto"/>
            <w:right w:val="none" w:sz="0" w:space="0" w:color="auto"/>
          </w:divBdr>
        </w:div>
        <w:div w:id="1922717440">
          <w:marLeft w:val="0"/>
          <w:marRight w:val="0"/>
          <w:marTop w:val="0"/>
          <w:marBottom w:val="0"/>
          <w:divBdr>
            <w:top w:val="none" w:sz="0" w:space="0" w:color="auto"/>
            <w:left w:val="none" w:sz="0" w:space="0" w:color="auto"/>
            <w:bottom w:val="none" w:sz="0" w:space="0" w:color="auto"/>
            <w:right w:val="none" w:sz="0" w:space="0" w:color="auto"/>
          </w:divBdr>
        </w:div>
      </w:divsChild>
    </w:div>
    <w:div w:id="2027436016">
      <w:bodyDiv w:val="1"/>
      <w:marLeft w:val="0"/>
      <w:marRight w:val="0"/>
      <w:marTop w:val="0"/>
      <w:marBottom w:val="0"/>
      <w:divBdr>
        <w:top w:val="none" w:sz="0" w:space="0" w:color="auto"/>
        <w:left w:val="none" w:sz="0" w:space="0" w:color="auto"/>
        <w:bottom w:val="none" w:sz="0" w:space="0" w:color="auto"/>
        <w:right w:val="none" w:sz="0" w:space="0" w:color="auto"/>
      </w:divBdr>
      <w:divsChild>
        <w:div w:id="1171484293">
          <w:marLeft w:val="0"/>
          <w:marRight w:val="0"/>
          <w:marTop w:val="0"/>
          <w:marBottom w:val="0"/>
          <w:divBdr>
            <w:top w:val="none" w:sz="0" w:space="0" w:color="auto"/>
            <w:left w:val="none" w:sz="0" w:space="0" w:color="auto"/>
            <w:bottom w:val="none" w:sz="0" w:space="0" w:color="auto"/>
            <w:right w:val="none" w:sz="0" w:space="0" w:color="auto"/>
          </w:divBdr>
          <w:divsChild>
            <w:div w:id="370227070">
              <w:marLeft w:val="0"/>
              <w:marRight w:val="0"/>
              <w:marTop w:val="0"/>
              <w:marBottom w:val="0"/>
              <w:divBdr>
                <w:top w:val="none" w:sz="0" w:space="0" w:color="auto"/>
                <w:left w:val="none" w:sz="0" w:space="0" w:color="auto"/>
                <w:bottom w:val="none" w:sz="0" w:space="0" w:color="auto"/>
                <w:right w:val="none" w:sz="0" w:space="0" w:color="auto"/>
              </w:divBdr>
            </w:div>
            <w:div w:id="194511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446543">
      <w:bodyDiv w:val="1"/>
      <w:marLeft w:val="0"/>
      <w:marRight w:val="0"/>
      <w:marTop w:val="0"/>
      <w:marBottom w:val="0"/>
      <w:divBdr>
        <w:top w:val="none" w:sz="0" w:space="0" w:color="auto"/>
        <w:left w:val="none" w:sz="0" w:space="0" w:color="auto"/>
        <w:bottom w:val="none" w:sz="0" w:space="0" w:color="auto"/>
        <w:right w:val="none" w:sz="0" w:space="0" w:color="auto"/>
      </w:divBdr>
      <w:divsChild>
        <w:div w:id="356732813">
          <w:marLeft w:val="0"/>
          <w:marRight w:val="0"/>
          <w:marTop w:val="0"/>
          <w:marBottom w:val="0"/>
          <w:divBdr>
            <w:top w:val="none" w:sz="0" w:space="0" w:color="auto"/>
            <w:left w:val="none" w:sz="0" w:space="0" w:color="auto"/>
            <w:bottom w:val="none" w:sz="0" w:space="0" w:color="auto"/>
            <w:right w:val="none" w:sz="0" w:space="0" w:color="auto"/>
          </w:divBdr>
        </w:div>
        <w:div w:id="1285236319">
          <w:marLeft w:val="0"/>
          <w:marRight w:val="0"/>
          <w:marTop w:val="0"/>
          <w:marBottom w:val="0"/>
          <w:divBdr>
            <w:top w:val="none" w:sz="0" w:space="0" w:color="auto"/>
            <w:left w:val="none" w:sz="0" w:space="0" w:color="auto"/>
            <w:bottom w:val="none" w:sz="0" w:space="0" w:color="auto"/>
            <w:right w:val="none" w:sz="0" w:space="0" w:color="auto"/>
          </w:divBdr>
        </w:div>
        <w:div w:id="2010600689">
          <w:marLeft w:val="0"/>
          <w:marRight w:val="0"/>
          <w:marTop w:val="0"/>
          <w:marBottom w:val="0"/>
          <w:divBdr>
            <w:top w:val="none" w:sz="0" w:space="0" w:color="auto"/>
            <w:left w:val="none" w:sz="0" w:space="0" w:color="auto"/>
            <w:bottom w:val="none" w:sz="0" w:space="0" w:color="auto"/>
            <w:right w:val="none" w:sz="0" w:space="0" w:color="auto"/>
          </w:divBdr>
          <w:divsChild>
            <w:div w:id="100343862">
              <w:marLeft w:val="0"/>
              <w:marRight w:val="0"/>
              <w:marTop w:val="0"/>
              <w:marBottom w:val="0"/>
              <w:divBdr>
                <w:top w:val="none" w:sz="0" w:space="0" w:color="auto"/>
                <w:left w:val="none" w:sz="0" w:space="0" w:color="auto"/>
                <w:bottom w:val="none" w:sz="0" w:space="0" w:color="auto"/>
                <w:right w:val="none" w:sz="0" w:space="0" w:color="auto"/>
              </w:divBdr>
            </w:div>
            <w:div w:id="158930098">
              <w:marLeft w:val="0"/>
              <w:marRight w:val="0"/>
              <w:marTop w:val="0"/>
              <w:marBottom w:val="0"/>
              <w:divBdr>
                <w:top w:val="none" w:sz="0" w:space="0" w:color="auto"/>
                <w:left w:val="none" w:sz="0" w:space="0" w:color="auto"/>
                <w:bottom w:val="none" w:sz="0" w:space="0" w:color="auto"/>
                <w:right w:val="none" w:sz="0" w:space="0" w:color="auto"/>
              </w:divBdr>
            </w:div>
            <w:div w:id="1259830811">
              <w:marLeft w:val="0"/>
              <w:marRight w:val="0"/>
              <w:marTop w:val="0"/>
              <w:marBottom w:val="0"/>
              <w:divBdr>
                <w:top w:val="none" w:sz="0" w:space="0" w:color="auto"/>
                <w:left w:val="none" w:sz="0" w:space="0" w:color="auto"/>
                <w:bottom w:val="none" w:sz="0" w:space="0" w:color="auto"/>
                <w:right w:val="none" w:sz="0" w:space="0" w:color="auto"/>
              </w:divBdr>
            </w:div>
            <w:div w:id="150185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411964">
      <w:bodyDiv w:val="1"/>
      <w:marLeft w:val="0"/>
      <w:marRight w:val="0"/>
      <w:marTop w:val="0"/>
      <w:marBottom w:val="0"/>
      <w:divBdr>
        <w:top w:val="none" w:sz="0" w:space="0" w:color="auto"/>
        <w:left w:val="none" w:sz="0" w:space="0" w:color="auto"/>
        <w:bottom w:val="none" w:sz="0" w:space="0" w:color="auto"/>
        <w:right w:val="none" w:sz="0" w:space="0" w:color="auto"/>
      </w:divBdr>
      <w:divsChild>
        <w:div w:id="235743800">
          <w:marLeft w:val="0"/>
          <w:marRight w:val="0"/>
          <w:marTop w:val="0"/>
          <w:marBottom w:val="0"/>
          <w:divBdr>
            <w:top w:val="none" w:sz="0" w:space="0" w:color="auto"/>
            <w:left w:val="none" w:sz="0" w:space="0" w:color="auto"/>
            <w:bottom w:val="none" w:sz="0" w:space="0" w:color="auto"/>
            <w:right w:val="none" w:sz="0" w:space="0" w:color="auto"/>
          </w:divBdr>
        </w:div>
        <w:div w:id="893275545">
          <w:marLeft w:val="0"/>
          <w:marRight w:val="0"/>
          <w:marTop w:val="0"/>
          <w:marBottom w:val="0"/>
          <w:divBdr>
            <w:top w:val="none" w:sz="0" w:space="0" w:color="auto"/>
            <w:left w:val="none" w:sz="0" w:space="0" w:color="auto"/>
            <w:bottom w:val="none" w:sz="0" w:space="0" w:color="auto"/>
            <w:right w:val="none" w:sz="0" w:space="0" w:color="auto"/>
          </w:divBdr>
        </w:div>
      </w:divsChild>
    </w:div>
    <w:div w:id="2049525650">
      <w:bodyDiv w:val="1"/>
      <w:marLeft w:val="0"/>
      <w:marRight w:val="0"/>
      <w:marTop w:val="0"/>
      <w:marBottom w:val="0"/>
      <w:divBdr>
        <w:top w:val="none" w:sz="0" w:space="0" w:color="auto"/>
        <w:left w:val="none" w:sz="0" w:space="0" w:color="auto"/>
        <w:bottom w:val="none" w:sz="0" w:space="0" w:color="auto"/>
        <w:right w:val="none" w:sz="0" w:space="0" w:color="auto"/>
      </w:divBdr>
    </w:div>
    <w:div w:id="2055811414">
      <w:bodyDiv w:val="1"/>
      <w:marLeft w:val="0"/>
      <w:marRight w:val="0"/>
      <w:marTop w:val="0"/>
      <w:marBottom w:val="0"/>
      <w:divBdr>
        <w:top w:val="none" w:sz="0" w:space="0" w:color="auto"/>
        <w:left w:val="none" w:sz="0" w:space="0" w:color="auto"/>
        <w:bottom w:val="none" w:sz="0" w:space="0" w:color="auto"/>
        <w:right w:val="none" w:sz="0" w:space="0" w:color="auto"/>
      </w:divBdr>
    </w:div>
    <w:div w:id="2061980556">
      <w:bodyDiv w:val="1"/>
      <w:marLeft w:val="0"/>
      <w:marRight w:val="0"/>
      <w:marTop w:val="0"/>
      <w:marBottom w:val="0"/>
      <w:divBdr>
        <w:top w:val="none" w:sz="0" w:space="0" w:color="auto"/>
        <w:left w:val="none" w:sz="0" w:space="0" w:color="auto"/>
        <w:bottom w:val="none" w:sz="0" w:space="0" w:color="auto"/>
        <w:right w:val="none" w:sz="0" w:space="0" w:color="auto"/>
      </w:divBdr>
    </w:div>
    <w:div w:id="2064481899">
      <w:bodyDiv w:val="1"/>
      <w:marLeft w:val="0"/>
      <w:marRight w:val="0"/>
      <w:marTop w:val="0"/>
      <w:marBottom w:val="0"/>
      <w:divBdr>
        <w:top w:val="none" w:sz="0" w:space="0" w:color="auto"/>
        <w:left w:val="none" w:sz="0" w:space="0" w:color="auto"/>
        <w:bottom w:val="none" w:sz="0" w:space="0" w:color="auto"/>
        <w:right w:val="none" w:sz="0" w:space="0" w:color="auto"/>
      </w:divBdr>
      <w:divsChild>
        <w:div w:id="1555198787">
          <w:marLeft w:val="0"/>
          <w:marRight w:val="0"/>
          <w:marTop w:val="0"/>
          <w:marBottom w:val="0"/>
          <w:divBdr>
            <w:top w:val="none" w:sz="0" w:space="0" w:color="auto"/>
            <w:left w:val="none" w:sz="0" w:space="0" w:color="auto"/>
            <w:bottom w:val="none" w:sz="0" w:space="0" w:color="auto"/>
            <w:right w:val="none" w:sz="0" w:space="0" w:color="auto"/>
          </w:divBdr>
          <w:divsChild>
            <w:div w:id="533933177">
              <w:marLeft w:val="0"/>
              <w:marRight w:val="0"/>
              <w:marTop w:val="0"/>
              <w:marBottom w:val="0"/>
              <w:divBdr>
                <w:top w:val="none" w:sz="0" w:space="0" w:color="auto"/>
                <w:left w:val="none" w:sz="0" w:space="0" w:color="auto"/>
                <w:bottom w:val="none" w:sz="0" w:space="0" w:color="auto"/>
                <w:right w:val="none" w:sz="0" w:space="0" w:color="auto"/>
              </w:divBdr>
            </w:div>
            <w:div w:id="1060590710">
              <w:marLeft w:val="0"/>
              <w:marRight w:val="0"/>
              <w:marTop w:val="0"/>
              <w:marBottom w:val="0"/>
              <w:divBdr>
                <w:top w:val="none" w:sz="0" w:space="0" w:color="auto"/>
                <w:left w:val="none" w:sz="0" w:space="0" w:color="auto"/>
                <w:bottom w:val="none" w:sz="0" w:space="0" w:color="auto"/>
                <w:right w:val="none" w:sz="0" w:space="0" w:color="auto"/>
              </w:divBdr>
            </w:div>
            <w:div w:id="1327904464">
              <w:marLeft w:val="0"/>
              <w:marRight w:val="0"/>
              <w:marTop w:val="0"/>
              <w:marBottom w:val="0"/>
              <w:divBdr>
                <w:top w:val="none" w:sz="0" w:space="0" w:color="auto"/>
                <w:left w:val="none" w:sz="0" w:space="0" w:color="auto"/>
                <w:bottom w:val="none" w:sz="0" w:space="0" w:color="auto"/>
                <w:right w:val="none" w:sz="0" w:space="0" w:color="auto"/>
              </w:divBdr>
            </w:div>
            <w:div w:id="1898273447">
              <w:marLeft w:val="0"/>
              <w:marRight w:val="0"/>
              <w:marTop w:val="0"/>
              <w:marBottom w:val="0"/>
              <w:divBdr>
                <w:top w:val="none" w:sz="0" w:space="0" w:color="auto"/>
                <w:left w:val="none" w:sz="0" w:space="0" w:color="auto"/>
                <w:bottom w:val="none" w:sz="0" w:space="0" w:color="auto"/>
                <w:right w:val="none" w:sz="0" w:space="0" w:color="auto"/>
              </w:divBdr>
            </w:div>
            <w:div w:id="1715350093">
              <w:marLeft w:val="0"/>
              <w:marRight w:val="0"/>
              <w:marTop w:val="0"/>
              <w:marBottom w:val="0"/>
              <w:divBdr>
                <w:top w:val="none" w:sz="0" w:space="0" w:color="auto"/>
                <w:left w:val="none" w:sz="0" w:space="0" w:color="auto"/>
                <w:bottom w:val="none" w:sz="0" w:space="0" w:color="auto"/>
                <w:right w:val="none" w:sz="0" w:space="0" w:color="auto"/>
              </w:divBdr>
            </w:div>
            <w:div w:id="1555265319">
              <w:marLeft w:val="0"/>
              <w:marRight w:val="0"/>
              <w:marTop w:val="0"/>
              <w:marBottom w:val="0"/>
              <w:divBdr>
                <w:top w:val="none" w:sz="0" w:space="0" w:color="auto"/>
                <w:left w:val="none" w:sz="0" w:space="0" w:color="auto"/>
                <w:bottom w:val="none" w:sz="0" w:space="0" w:color="auto"/>
                <w:right w:val="none" w:sz="0" w:space="0" w:color="auto"/>
              </w:divBdr>
            </w:div>
            <w:div w:id="846477568">
              <w:marLeft w:val="0"/>
              <w:marRight w:val="0"/>
              <w:marTop w:val="0"/>
              <w:marBottom w:val="0"/>
              <w:divBdr>
                <w:top w:val="none" w:sz="0" w:space="0" w:color="auto"/>
                <w:left w:val="none" w:sz="0" w:space="0" w:color="auto"/>
                <w:bottom w:val="none" w:sz="0" w:space="0" w:color="auto"/>
                <w:right w:val="none" w:sz="0" w:space="0" w:color="auto"/>
              </w:divBdr>
            </w:div>
            <w:div w:id="1074663851">
              <w:marLeft w:val="0"/>
              <w:marRight w:val="0"/>
              <w:marTop w:val="0"/>
              <w:marBottom w:val="0"/>
              <w:divBdr>
                <w:top w:val="none" w:sz="0" w:space="0" w:color="auto"/>
                <w:left w:val="none" w:sz="0" w:space="0" w:color="auto"/>
                <w:bottom w:val="none" w:sz="0" w:space="0" w:color="auto"/>
                <w:right w:val="none" w:sz="0" w:space="0" w:color="auto"/>
              </w:divBdr>
            </w:div>
            <w:div w:id="1818523095">
              <w:marLeft w:val="0"/>
              <w:marRight w:val="0"/>
              <w:marTop w:val="0"/>
              <w:marBottom w:val="0"/>
              <w:divBdr>
                <w:top w:val="none" w:sz="0" w:space="0" w:color="auto"/>
                <w:left w:val="none" w:sz="0" w:space="0" w:color="auto"/>
                <w:bottom w:val="none" w:sz="0" w:space="0" w:color="auto"/>
                <w:right w:val="none" w:sz="0" w:space="0" w:color="auto"/>
              </w:divBdr>
            </w:div>
            <w:div w:id="1806004334">
              <w:marLeft w:val="0"/>
              <w:marRight w:val="0"/>
              <w:marTop w:val="0"/>
              <w:marBottom w:val="0"/>
              <w:divBdr>
                <w:top w:val="none" w:sz="0" w:space="0" w:color="auto"/>
                <w:left w:val="none" w:sz="0" w:space="0" w:color="auto"/>
                <w:bottom w:val="none" w:sz="0" w:space="0" w:color="auto"/>
                <w:right w:val="none" w:sz="0" w:space="0" w:color="auto"/>
              </w:divBdr>
            </w:div>
            <w:div w:id="1663778070">
              <w:marLeft w:val="0"/>
              <w:marRight w:val="0"/>
              <w:marTop w:val="0"/>
              <w:marBottom w:val="0"/>
              <w:divBdr>
                <w:top w:val="none" w:sz="0" w:space="0" w:color="auto"/>
                <w:left w:val="none" w:sz="0" w:space="0" w:color="auto"/>
                <w:bottom w:val="none" w:sz="0" w:space="0" w:color="auto"/>
                <w:right w:val="none" w:sz="0" w:space="0" w:color="auto"/>
              </w:divBdr>
            </w:div>
            <w:div w:id="46590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687280">
      <w:bodyDiv w:val="1"/>
      <w:marLeft w:val="0"/>
      <w:marRight w:val="0"/>
      <w:marTop w:val="0"/>
      <w:marBottom w:val="0"/>
      <w:divBdr>
        <w:top w:val="none" w:sz="0" w:space="0" w:color="auto"/>
        <w:left w:val="none" w:sz="0" w:space="0" w:color="auto"/>
        <w:bottom w:val="none" w:sz="0" w:space="0" w:color="auto"/>
        <w:right w:val="none" w:sz="0" w:space="0" w:color="auto"/>
      </w:divBdr>
      <w:divsChild>
        <w:div w:id="276641197">
          <w:marLeft w:val="0"/>
          <w:marRight w:val="0"/>
          <w:marTop w:val="0"/>
          <w:marBottom w:val="0"/>
          <w:divBdr>
            <w:top w:val="none" w:sz="0" w:space="0" w:color="auto"/>
            <w:left w:val="none" w:sz="0" w:space="0" w:color="auto"/>
            <w:bottom w:val="none" w:sz="0" w:space="0" w:color="auto"/>
            <w:right w:val="none" w:sz="0" w:space="0" w:color="auto"/>
          </w:divBdr>
        </w:div>
        <w:div w:id="403378046">
          <w:marLeft w:val="0"/>
          <w:marRight w:val="0"/>
          <w:marTop w:val="0"/>
          <w:marBottom w:val="0"/>
          <w:divBdr>
            <w:top w:val="none" w:sz="0" w:space="0" w:color="auto"/>
            <w:left w:val="none" w:sz="0" w:space="0" w:color="auto"/>
            <w:bottom w:val="none" w:sz="0" w:space="0" w:color="auto"/>
            <w:right w:val="none" w:sz="0" w:space="0" w:color="auto"/>
          </w:divBdr>
        </w:div>
        <w:div w:id="414978744">
          <w:marLeft w:val="0"/>
          <w:marRight w:val="0"/>
          <w:marTop w:val="0"/>
          <w:marBottom w:val="0"/>
          <w:divBdr>
            <w:top w:val="none" w:sz="0" w:space="0" w:color="auto"/>
            <w:left w:val="none" w:sz="0" w:space="0" w:color="auto"/>
            <w:bottom w:val="none" w:sz="0" w:space="0" w:color="auto"/>
            <w:right w:val="none" w:sz="0" w:space="0" w:color="auto"/>
          </w:divBdr>
        </w:div>
        <w:div w:id="944264334">
          <w:marLeft w:val="0"/>
          <w:marRight w:val="0"/>
          <w:marTop w:val="0"/>
          <w:marBottom w:val="0"/>
          <w:divBdr>
            <w:top w:val="none" w:sz="0" w:space="0" w:color="auto"/>
            <w:left w:val="none" w:sz="0" w:space="0" w:color="auto"/>
            <w:bottom w:val="none" w:sz="0" w:space="0" w:color="auto"/>
            <w:right w:val="none" w:sz="0" w:space="0" w:color="auto"/>
          </w:divBdr>
        </w:div>
        <w:div w:id="1711220866">
          <w:marLeft w:val="0"/>
          <w:marRight w:val="0"/>
          <w:marTop w:val="0"/>
          <w:marBottom w:val="0"/>
          <w:divBdr>
            <w:top w:val="none" w:sz="0" w:space="0" w:color="auto"/>
            <w:left w:val="none" w:sz="0" w:space="0" w:color="auto"/>
            <w:bottom w:val="none" w:sz="0" w:space="0" w:color="auto"/>
            <w:right w:val="none" w:sz="0" w:space="0" w:color="auto"/>
          </w:divBdr>
        </w:div>
      </w:divsChild>
    </w:div>
    <w:div w:id="2100828394">
      <w:bodyDiv w:val="1"/>
      <w:marLeft w:val="0"/>
      <w:marRight w:val="0"/>
      <w:marTop w:val="0"/>
      <w:marBottom w:val="0"/>
      <w:divBdr>
        <w:top w:val="none" w:sz="0" w:space="0" w:color="auto"/>
        <w:left w:val="none" w:sz="0" w:space="0" w:color="auto"/>
        <w:bottom w:val="none" w:sz="0" w:space="0" w:color="auto"/>
        <w:right w:val="none" w:sz="0" w:space="0" w:color="auto"/>
      </w:divBdr>
      <w:divsChild>
        <w:div w:id="640689828">
          <w:marLeft w:val="0"/>
          <w:marRight w:val="0"/>
          <w:marTop w:val="0"/>
          <w:marBottom w:val="0"/>
          <w:divBdr>
            <w:top w:val="none" w:sz="0" w:space="0" w:color="auto"/>
            <w:left w:val="none" w:sz="0" w:space="0" w:color="auto"/>
            <w:bottom w:val="none" w:sz="0" w:space="0" w:color="auto"/>
            <w:right w:val="none" w:sz="0" w:space="0" w:color="auto"/>
          </w:divBdr>
        </w:div>
      </w:divsChild>
    </w:div>
    <w:div w:id="2107656279">
      <w:bodyDiv w:val="1"/>
      <w:marLeft w:val="0"/>
      <w:marRight w:val="0"/>
      <w:marTop w:val="0"/>
      <w:marBottom w:val="0"/>
      <w:divBdr>
        <w:top w:val="none" w:sz="0" w:space="0" w:color="auto"/>
        <w:left w:val="none" w:sz="0" w:space="0" w:color="auto"/>
        <w:bottom w:val="none" w:sz="0" w:space="0" w:color="auto"/>
        <w:right w:val="none" w:sz="0" w:space="0" w:color="auto"/>
      </w:divBdr>
      <w:divsChild>
        <w:div w:id="170414105">
          <w:marLeft w:val="0"/>
          <w:marRight w:val="0"/>
          <w:marTop w:val="0"/>
          <w:marBottom w:val="0"/>
          <w:divBdr>
            <w:top w:val="none" w:sz="0" w:space="0" w:color="auto"/>
            <w:left w:val="none" w:sz="0" w:space="0" w:color="auto"/>
            <w:bottom w:val="none" w:sz="0" w:space="0" w:color="auto"/>
            <w:right w:val="none" w:sz="0" w:space="0" w:color="auto"/>
          </w:divBdr>
          <w:divsChild>
            <w:div w:id="659310993">
              <w:marLeft w:val="0"/>
              <w:marRight w:val="0"/>
              <w:marTop w:val="0"/>
              <w:marBottom w:val="0"/>
              <w:divBdr>
                <w:top w:val="none" w:sz="0" w:space="0" w:color="auto"/>
                <w:left w:val="none" w:sz="0" w:space="0" w:color="auto"/>
                <w:bottom w:val="none" w:sz="0" w:space="0" w:color="auto"/>
                <w:right w:val="none" w:sz="0" w:space="0" w:color="auto"/>
              </w:divBdr>
            </w:div>
            <w:div w:id="1160076592">
              <w:marLeft w:val="0"/>
              <w:marRight w:val="0"/>
              <w:marTop w:val="0"/>
              <w:marBottom w:val="0"/>
              <w:divBdr>
                <w:top w:val="none" w:sz="0" w:space="0" w:color="auto"/>
                <w:left w:val="none" w:sz="0" w:space="0" w:color="auto"/>
                <w:bottom w:val="none" w:sz="0" w:space="0" w:color="auto"/>
                <w:right w:val="none" w:sz="0" w:space="0" w:color="auto"/>
              </w:divBdr>
            </w:div>
            <w:div w:id="1391878886">
              <w:marLeft w:val="0"/>
              <w:marRight w:val="0"/>
              <w:marTop w:val="0"/>
              <w:marBottom w:val="0"/>
              <w:divBdr>
                <w:top w:val="none" w:sz="0" w:space="0" w:color="auto"/>
                <w:left w:val="none" w:sz="0" w:space="0" w:color="auto"/>
                <w:bottom w:val="none" w:sz="0" w:space="0" w:color="auto"/>
                <w:right w:val="none" w:sz="0" w:space="0" w:color="auto"/>
              </w:divBdr>
            </w:div>
            <w:div w:id="175678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006945">
      <w:bodyDiv w:val="1"/>
      <w:marLeft w:val="0"/>
      <w:marRight w:val="0"/>
      <w:marTop w:val="0"/>
      <w:marBottom w:val="0"/>
      <w:divBdr>
        <w:top w:val="none" w:sz="0" w:space="0" w:color="auto"/>
        <w:left w:val="none" w:sz="0" w:space="0" w:color="auto"/>
        <w:bottom w:val="none" w:sz="0" w:space="0" w:color="auto"/>
        <w:right w:val="none" w:sz="0" w:space="0" w:color="auto"/>
      </w:divBdr>
    </w:div>
    <w:div w:id="2138251655">
      <w:bodyDiv w:val="1"/>
      <w:marLeft w:val="0"/>
      <w:marRight w:val="0"/>
      <w:marTop w:val="0"/>
      <w:marBottom w:val="0"/>
      <w:divBdr>
        <w:top w:val="none" w:sz="0" w:space="0" w:color="auto"/>
        <w:left w:val="none" w:sz="0" w:space="0" w:color="auto"/>
        <w:bottom w:val="none" w:sz="0" w:space="0" w:color="auto"/>
        <w:right w:val="none" w:sz="0" w:space="0" w:color="auto"/>
      </w:divBdr>
      <w:divsChild>
        <w:div w:id="32467040">
          <w:marLeft w:val="0"/>
          <w:marRight w:val="0"/>
          <w:marTop w:val="0"/>
          <w:marBottom w:val="0"/>
          <w:divBdr>
            <w:top w:val="none" w:sz="0" w:space="0" w:color="auto"/>
            <w:left w:val="none" w:sz="0" w:space="0" w:color="auto"/>
            <w:bottom w:val="none" w:sz="0" w:space="0" w:color="auto"/>
            <w:right w:val="none" w:sz="0" w:space="0" w:color="auto"/>
          </w:divBdr>
        </w:div>
        <w:div w:id="345793867">
          <w:marLeft w:val="0"/>
          <w:marRight w:val="0"/>
          <w:marTop w:val="0"/>
          <w:marBottom w:val="0"/>
          <w:divBdr>
            <w:top w:val="none" w:sz="0" w:space="0" w:color="auto"/>
            <w:left w:val="none" w:sz="0" w:space="0" w:color="auto"/>
            <w:bottom w:val="none" w:sz="0" w:space="0" w:color="auto"/>
            <w:right w:val="none" w:sz="0" w:space="0" w:color="auto"/>
          </w:divBdr>
        </w:div>
        <w:div w:id="570434686">
          <w:marLeft w:val="0"/>
          <w:marRight w:val="0"/>
          <w:marTop w:val="0"/>
          <w:marBottom w:val="0"/>
          <w:divBdr>
            <w:top w:val="none" w:sz="0" w:space="0" w:color="auto"/>
            <w:left w:val="none" w:sz="0" w:space="0" w:color="auto"/>
            <w:bottom w:val="none" w:sz="0" w:space="0" w:color="auto"/>
            <w:right w:val="none" w:sz="0" w:space="0" w:color="auto"/>
          </w:divBdr>
        </w:div>
        <w:div w:id="1058475252">
          <w:marLeft w:val="0"/>
          <w:marRight w:val="0"/>
          <w:marTop w:val="0"/>
          <w:marBottom w:val="0"/>
          <w:divBdr>
            <w:top w:val="none" w:sz="0" w:space="0" w:color="auto"/>
            <w:left w:val="none" w:sz="0" w:space="0" w:color="auto"/>
            <w:bottom w:val="none" w:sz="0" w:space="0" w:color="auto"/>
            <w:right w:val="none" w:sz="0" w:space="0" w:color="auto"/>
          </w:divBdr>
        </w:div>
        <w:div w:id="1431201653">
          <w:marLeft w:val="0"/>
          <w:marRight w:val="0"/>
          <w:marTop w:val="0"/>
          <w:marBottom w:val="0"/>
          <w:divBdr>
            <w:top w:val="none" w:sz="0" w:space="0" w:color="auto"/>
            <w:left w:val="none" w:sz="0" w:space="0" w:color="auto"/>
            <w:bottom w:val="none" w:sz="0" w:space="0" w:color="auto"/>
            <w:right w:val="none" w:sz="0" w:space="0" w:color="auto"/>
          </w:divBdr>
        </w:div>
        <w:div w:id="1748965106">
          <w:marLeft w:val="0"/>
          <w:marRight w:val="0"/>
          <w:marTop w:val="0"/>
          <w:marBottom w:val="0"/>
          <w:divBdr>
            <w:top w:val="none" w:sz="0" w:space="0" w:color="auto"/>
            <w:left w:val="none" w:sz="0" w:space="0" w:color="auto"/>
            <w:bottom w:val="none" w:sz="0" w:space="0" w:color="auto"/>
            <w:right w:val="none" w:sz="0" w:space="0" w:color="auto"/>
          </w:divBdr>
        </w:div>
      </w:divsChild>
    </w:div>
    <w:div w:id="2144424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19e67600dfe911eb9f09e7df20500045"/>
  <Relationship Id="rId11" Type="http://schemas.openxmlformats.org/officeDocument/2006/relationships/hyperlink" TargetMode="External" Target="https://www.e-tar.lt/portal/legalAct.html?documentId=4888343000e511ed8fa7d02a65c371ad"/>
  <Relationship Id="rId12" Type="http://schemas.openxmlformats.org/officeDocument/2006/relationships/hyperlink" TargetMode="External" Target="https://www.e-tar.lt/portal/legalAct.html?documentId=f253c38000e511ed8fa7d02a65c371ad"/>
  <Relationship Id="rId13" Type="http://schemas.openxmlformats.org/officeDocument/2006/relationships/hyperlink" TargetMode="External" Target="https://www.e-tar.lt/portal/legalAct.html?documentId=936c2fc0a5a111ea9515f752ff221ec9"/>
  <Relationship Id="rId14" Type="http://schemas.openxmlformats.org/officeDocument/2006/relationships/hyperlink" TargetMode="External" Target="https://www.e-tar.lt/portal/legalAct.html?documentId=f253c38000e511ed8fa7d02a65c371ad"/>
  <Relationship Id="rId15" Type="http://schemas.openxmlformats.org/officeDocument/2006/relationships/hyperlink" TargetMode="External" Target="https://www.e-tar.lt/portal/legalAct.html?documentId=4f3a82d0407711e7b66ae890e1368363"/>
  <Relationship Id="rId16" Type="http://schemas.openxmlformats.org/officeDocument/2006/relationships/hyperlink" TargetMode="External" Target="https://www.e-tar.lt/portal/legalAct.html?documentId=936c2fc0a5a111ea9515f752ff221ec9"/>
  <Relationship Id="rId17" Type="http://schemas.openxmlformats.org/officeDocument/2006/relationships/hyperlink" TargetMode="External" Target="https://www.e-tar.lt/portal/legalAct.html?documentId=f253c38000e511ed8fa7d02a65c371ad"/>
  <Relationship Id="rId18" Type="http://schemas.openxmlformats.org/officeDocument/2006/relationships/hyperlink" TargetMode="External" Target="https://www.e-tar.lt/portal/legalAct.html?documentId=936c2fc0a5a111ea9515f752ff221ec9"/>
  <Relationship Id="rId19" Type="http://schemas.openxmlformats.org/officeDocument/2006/relationships/hyperlink" TargetMode="External" Target="https://www.e-tar.lt/portal/legalAct.html?documentId=f253c38000e511ed8fa7d02a65c371ad"/>
  <Relationship Id="rId2" Type="http://schemas.openxmlformats.org/officeDocument/2006/relationships/styles" Target="styles.xml"/>
  <Relationship Id="rId20" Type="http://schemas.openxmlformats.org/officeDocument/2006/relationships/hyperlink" TargetMode="External" Target="https://www.e-tar.lt/portal/legalAct.html?documentId=f253c38000e511ed8fa7d02a65c371ad"/>
  <Relationship Id="rId21" Type="http://schemas.openxmlformats.org/officeDocument/2006/relationships/hyperlink" TargetMode="External" Target="https://www.e-tar.lt/portal/legalAct.html?documentId=936c2fc0a5a111ea9515f752ff221ec9"/>
  <Relationship Id="rId22" Type="http://schemas.openxmlformats.org/officeDocument/2006/relationships/hyperlink" TargetMode="External" Target="https://www.e-tar.lt/portal/legalAct.html?documentId=f253c38000e511ed8fa7d02a65c371ad"/>
  <Relationship Id="rId23" Type="http://schemas.openxmlformats.org/officeDocument/2006/relationships/hyperlink" TargetMode="External" Target="https://www.e-tar.lt/portal/legalAct.html?documentId=f253c38000e511ed8fa7d02a65c371ad"/>
  <Relationship Id="rId24" Type="http://schemas.openxmlformats.org/officeDocument/2006/relationships/hyperlink" TargetMode="External" Target="https://www.e-tar.lt/portal/legalAct.html?documentId=f253c38000e511ed8fa7d02a65c371ad"/>
  <Relationship Id="rId25" Type="http://schemas.openxmlformats.org/officeDocument/2006/relationships/hyperlink" TargetMode="External" Target="https://www.e-tar.lt/portal/legalAct.html?documentId=4888343000e511ed8fa7d02a65c371ad"/>
  <Relationship Id="rId26" Type="http://schemas.openxmlformats.org/officeDocument/2006/relationships/hyperlink" TargetMode="External" Target="https://www.e-tar.lt/portal/legalAct.html?documentId=f253c38000e511ed8fa7d02a65c371ad"/>
  <Relationship Id="rId29" Type="http://schemas.openxmlformats.org/officeDocument/2006/relationships/hyperlink" TargetMode="External" Target="https://www.e-tar.lt/portal/legalAct.html?documentId=66824d50177611efbcbfb318996800a8"/>
  <Relationship Id="rId3" Type="http://schemas.openxmlformats.org/officeDocument/2006/relationships/settings" Target="settings.xml"/>
  <Relationship Id="rId31" Type="http://schemas.openxmlformats.org/officeDocument/2006/relationships/hyperlink" TargetMode="External" Target="https://www.e-tar.lt/portal/legalAct.html?documentId=4888343000e511ed8fa7d02a65c371ad"/>
  <Relationship Id="rId32" Type="http://schemas.openxmlformats.org/officeDocument/2006/relationships/hyperlink" TargetMode="External" Target="https://www.e-tar.lt/portal/legalAct.html?documentId=64c55260707411e7827cd63159af616c"/>
  <Relationship Id="rId33" Type="http://schemas.openxmlformats.org/officeDocument/2006/relationships/hyperlink" TargetMode="External" Target="https://www.e-tar.lt/portal/legalAct.html?documentId=dbe0e910e1ab11ec8d9390588bf2de65"/>
  <Relationship Id="rId34" Type="http://schemas.openxmlformats.org/officeDocument/2006/relationships/hyperlink" TargetMode="External" Target="https://www.e-tar.lt/portal/legalAct.html?documentId=64c55260707411e7827cd63159af616c"/>
  <Relationship Id="rId35" Type="http://schemas.openxmlformats.org/officeDocument/2006/relationships/hyperlink" TargetMode="External" Target="https://www.e-tar.lt/portal/legalAct.html?documentId=dbe0e910e1ab11ec8d9390588bf2de65"/>
  <Relationship Id="rId36" Type="http://schemas.openxmlformats.org/officeDocument/2006/relationships/hyperlink" TargetMode="External" Target="https://www.e-tar.lt/portal/legalAct.html?documentId=4888343000e511ed8fa7d02a65c371ad"/>
  <Relationship Id="rId37" Type="http://schemas.openxmlformats.org/officeDocument/2006/relationships/hyperlink" TargetMode="External" Target="https://www.e-tar.lt/portal/legalAct.html?documentId=4888343000e511ed8fa7d02a65c371ad"/>
  <Relationship Id="rId38" Type="http://schemas.openxmlformats.org/officeDocument/2006/relationships/hyperlink" TargetMode="External" Target="https://www.e-tar.lt/portal/legalAct.html?documentId=b9a45bf02d7611ec992fe4cdfceb5666"/>
  <Relationship Id="rId39" Type="http://schemas.openxmlformats.org/officeDocument/2006/relationships/hyperlink" TargetMode="External" Target="https://www.e-tar.lt/portal/legalAct.html?documentId=bb7cc680875511ed8df094f359a60216"/>
  <Relationship Id="rId4" Type="http://schemas.openxmlformats.org/officeDocument/2006/relationships/webSettings" Target="webSettings.xml"/>
  <Relationship Id="rId40" Type="http://schemas.openxmlformats.org/officeDocument/2006/relationships/hyperlink" TargetMode="External" Target="https://www.e-tar.lt/portal/legalAct.html?documentId=936c2fc0a5a111ea9515f752ff221ec9"/>
  <Relationship Id="rId41" Type="http://schemas.openxmlformats.org/officeDocument/2006/relationships/hyperlink" TargetMode="External" Target="https://www.e-tar.lt/portal/legalAct.html?documentId=f253c38000e511ed8fa7d02a65c371ad"/>
  <Relationship Id="rId42" Type="http://schemas.openxmlformats.org/officeDocument/2006/relationships/hyperlink" TargetMode="External" Target="https://www.e-tar.lt/portal/legalAct.html?documentId=f253c38000e511ed8fa7d02a65c371ad"/>
  <Relationship Id="rId43" Type="http://schemas.openxmlformats.org/officeDocument/2006/relationships/hyperlink" TargetMode="External" Target="https://www.e-tar.lt/portal/legalAct.html?documentId=936c2fc0a5a111ea9515f752ff221ec9"/>
  <Relationship Id="rId44" Type="http://schemas.openxmlformats.org/officeDocument/2006/relationships/hyperlink" TargetMode="External" Target="https://www.e-tar.lt/portal/legalAct.html?documentId=bb7cc680875511ed8df094f359a60216"/>
  <Relationship Id="rId45" Type="http://schemas.openxmlformats.org/officeDocument/2006/relationships/hyperlink" TargetMode="External" Target="https://www.e-tar.lt/portal/legalAct.html?documentId=936c2fc0a5a111ea9515f752ff221ec9"/>
  <Relationship Id="rId46" Type="http://schemas.openxmlformats.org/officeDocument/2006/relationships/hyperlink" TargetMode="External" Target="https://www.e-tar.lt/portal/legalAct.html?documentId=f253c38000e511ed8fa7d02a65c371ad"/>
  <Relationship Id="rId47" Type="http://schemas.openxmlformats.org/officeDocument/2006/relationships/hyperlink" TargetMode="External" Target="https://www.e-tar.lt/portal/legalAct.html?documentId=4c7183600aa511e9a5eaf2cd290f1944"/>
  <Relationship Id="rId48" Type="http://schemas.openxmlformats.org/officeDocument/2006/relationships/hyperlink" TargetMode="External" Target="https://www.e-tar.lt/portal/legalAct.html?documentId=a959cf4050fe11e7846ef01bfffb9b64"/>
  <Relationship Id="rId49" Type="http://schemas.openxmlformats.org/officeDocument/2006/relationships/hyperlink" TargetMode="External" Target="https://www.e-tar.lt/portal/legalAct.html?documentId=4c7183600aa511e9a5eaf2cd290f1944"/>
  <Relationship Id="rId5" Type="http://schemas.openxmlformats.org/officeDocument/2006/relationships/footnotes" Target="footnotes.xml"/>
  <Relationship Id="rId50" Type="http://schemas.openxmlformats.org/officeDocument/2006/relationships/hyperlink" TargetMode="External" Target="https://www.e-tar.lt/portal/legalAct.html?documentId=936c2fc0a5a111ea9515f752ff221ec9"/>
  <Relationship Id="rId51" Type="http://schemas.openxmlformats.org/officeDocument/2006/relationships/hyperlink" TargetMode="External" Target="https://www.e-tar.lt/portal/legalAct.html?documentId=f253c38000e511ed8fa7d02a65c371ad"/>
  <Relationship Id="rId52" Type="http://schemas.openxmlformats.org/officeDocument/2006/relationships/hyperlink" TargetMode="External" Target="https://www.e-tar.lt/portal/legalAct.html?documentId=a959cf4050fe11e7846ef01bfffb9b64"/>
  <Relationship Id="rId53" Type="http://schemas.openxmlformats.org/officeDocument/2006/relationships/hyperlink" TargetMode="External" Target="https://www.e-tar.lt/portal/legalAct.html?documentId=15051370627511e8acbae39398545bed"/>
  <Relationship Id="rId54" Type="http://schemas.openxmlformats.org/officeDocument/2006/relationships/hyperlink" TargetMode="External" Target="https://www.e-tar.lt/portal/legalAct.html?documentId=ed74c3c0282b11ecad73e69048767e8c"/>
  <Relationship Id="rId55" Type="http://schemas.openxmlformats.org/officeDocument/2006/relationships/hyperlink" TargetMode="External" Target="https://www.e-tar.lt/portal/legalAct.html?documentId=31f17ef0a67a11e69ad4c8713b612d0f"/>
  <Relationship Id="rId56" Type="http://schemas.openxmlformats.org/officeDocument/2006/relationships/hyperlink" TargetMode="External" Target="https://www.e-tar.lt/portal/legalAct.html?documentId=a959cf4050fe11e7846ef01bfffb9b64"/>
  <Relationship Id="rId57" Type="http://schemas.openxmlformats.org/officeDocument/2006/relationships/hyperlink" TargetMode="External" Target="https://www.e-tar.lt/portal/legalAct.html?documentId=4888343000e511ed8fa7d02a65c371ad"/>
  <Relationship Id="rId58" Type="http://schemas.openxmlformats.org/officeDocument/2006/relationships/hyperlink" TargetMode="External" Target="https://www.e-tar.lt/portal/legalAct.html?documentId=15051370627511e8acbae39398545bed"/>
  <Relationship Id="rId59" Type="http://schemas.openxmlformats.org/officeDocument/2006/relationships/hyperlink" TargetMode="External" Target="https://www.e-tar.lt/portal/legalAct.html?documentId=ed74c3c0282b11ecad73e69048767e8c"/>
  <Relationship Id="rId6" Type="http://schemas.openxmlformats.org/officeDocument/2006/relationships/endnotes" Target="endnotes.xml"/>
  <Relationship Id="rId60" Type="http://schemas.openxmlformats.org/officeDocument/2006/relationships/hyperlink" TargetMode="External" Target="https://www.e-tar.lt/portal/legalAct.html?documentId=15051370627511e8acbae39398545bed"/>
  <Relationship Id="rId61" Type="http://schemas.openxmlformats.org/officeDocument/2006/relationships/hyperlink" TargetMode="External" Target="https://www.e-tar.lt/portal/legalAct.html?documentId=ed74c3c0282b11ecad73e69048767e8c"/>
  <Relationship Id="rId62" Type="http://schemas.openxmlformats.org/officeDocument/2006/relationships/hyperlink" TargetMode="External" Target="https://www.e-tar.lt/portal/legalAct.html?documentId=15051370627511e8acbae39398545bed"/>
  <Relationship Id="rId63" Type="http://schemas.openxmlformats.org/officeDocument/2006/relationships/hyperlink" TargetMode="External" Target="https://www.e-tar.lt/portal/legalAct.html?documentId=ed74c3c0282b11ecad73e69048767e8c"/>
  <Relationship Id="rId64" Type="http://schemas.openxmlformats.org/officeDocument/2006/relationships/hyperlink" TargetMode="External" Target="https://www.e-tar.lt/portal/legalAct.html?documentId=15051370627511e8acbae39398545bed"/>
  <Relationship Id="rId65" Type="http://schemas.openxmlformats.org/officeDocument/2006/relationships/hyperlink" TargetMode="External" Target="https://www.e-tar.lt/portal/legalAct.html?documentId=ed74c3c0282b11ecad73e69048767e8c"/>
  <Relationship Id="rId66" Type="http://schemas.openxmlformats.org/officeDocument/2006/relationships/hyperlink" TargetMode="External" Target="https://www.e-tar.lt/portal/legalAct.html?documentId=936c2fc0a5a111ea9515f752ff221ec9"/>
  <Relationship Id="rId67" Type="http://schemas.openxmlformats.org/officeDocument/2006/relationships/hyperlink" TargetMode="External" Target="https://www.e-tar.lt/portal/legalAct.html?documentId=f253c38000e511ed8fa7d02a65c371ad"/>
  <Relationship Id="rId68" Type="http://schemas.openxmlformats.org/officeDocument/2006/relationships/footer" Target="footer1.xml"/>
  <Relationship Id="rId69" Type="http://schemas.openxmlformats.org/officeDocument/2006/relationships/footer" Target="footer2.xml"/>
  <Relationship Id="rId7" Type="http://schemas.openxmlformats.org/officeDocument/2006/relationships/hyperlink" TargetMode="External" Target="https://www.e-tar.lt/portal/legalAct.html?documentId=f253c38000e511ed8fa7d02a65c371ad"/>
  <Relationship Id="rId70" Type="http://schemas.openxmlformats.org/officeDocument/2006/relationships/fontTable" Target="fontTable.xml"/>
  <Relationship Id="rId71" Type="http://schemas.openxmlformats.org/officeDocument/2006/relationships/theme" Target="theme/theme1.xml"/>
  <Relationship Id="rId72" Type="http://schemas.openxmlformats.org/officeDocument/2006/relationships/customXml" Target="../customXml/item2.xml"/>
  <Relationship Id="rId8" Type="http://schemas.openxmlformats.org/officeDocument/2006/relationships/hyperlink" TargetMode="External" Target="https://www.e-tar.lt/portal/legalAct.html?documentId=f253c38000e511ed8fa7d02a65c371ad"/>
  <Relationship Id="rId9" Type="http://schemas.openxmlformats.org/officeDocument/2006/relationships/hyperlink" TargetMode="External" Target="https://www.e-tar.lt/portal/legalAct.html?documentId=f54f9a90af9a11e98451fa7b5933515d"/>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940abd9c878b4f59befb1b7ccf5fed24" PartId="6b7665e1a935411da4c83f377a54bcf7"/>
</Parts>
</file>

<file path=customXml/itemProps1.xml><?xml version="1.0" encoding="utf-8"?>
<ds:datastoreItem xmlns:ds="http://schemas.openxmlformats.org/officeDocument/2006/customXml" ds:itemID="{A077B79F-4244-4B1F-83EB-354FC83C562B}">
  <ds:schemaRefs>
    <ds:schemaRef ds:uri="http://schemas.openxmlformats.org/officeDocument/2006/bibliography"/>
  </ds:schemaRefs>
</ds:datastoreItem>
</file>

<file path=customXml/itemProps2.xml><?xml version="1.0" encoding="utf-8"?>
<ds:datastoreItem xmlns:ds="http://schemas.openxmlformats.org/officeDocument/2006/customXml" ds:itemID="{A322137D-4F60-4860-A4C2-8E221D063123}">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30656</Words>
  <Characters>215826</Characters>
  <Application>Microsoft Office Word</Application>
  <DocSecurity>4</DocSecurity>
  <Lines>5019</Lines>
  <Paragraphs>1600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244882</CharactersWithSpaces>
  <SharedDoc>false</SharedDoc>
  <HyperlinkBase/>
  <HLinks>
    <vt:vector size="30" baseType="variant">
      <vt:variant>
        <vt:i4>2162802</vt:i4>
      </vt:variant>
      <vt:variant>
        <vt:i4>12</vt:i4>
      </vt:variant>
      <vt:variant>
        <vt:i4>0</vt:i4>
      </vt:variant>
      <vt:variant>
        <vt:i4>5</vt:i4>
      </vt:variant>
      <vt:variant>
        <vt:lpwstr>https://eige.europa.eu/</vt:lpwstr>
      </vt:variant>
      <vt:variant>
        <vt:lpwstr/>
      </vt:variant>
      <vt:variant>
        <vt:i4>589854</vt:i4>
      </vt:variant>
      <vt:variant>
        <vt:i4>9</vt:i4>
      </vt:variant>
      <vt:variant>
        <vt:i4>0</vt:i4>
      </vt:variant>
      <vt:variant>
        <vt:i4>5</vt:i4>
      </vt:variant>
      <vt:variant>
        <vt:lpwstr>https://e-seimas.lrs.lt/portal/legalAct/lt/TAD/ef258651930811ef955ff95815eb5ce5?jfwid=-10dx87pffk</vt:lpwstr>
      </vt:variant>
      <vt:variant>
        <vt:lpwstr/>
      </vt:variant>
      <vt:variant>
        <vt:i4>2424944</vt:i4>
      </vt:variant>
      <vt:variant>
        <vt:i4>6</vt:i4>
      </vt:variant>
      <vt:variant>
        <vt:i4>0</vt:i4>
      </vt:variant>
      <vt:variant>
        <vt:i4>5</vt:i4>
      </vt:variant>
      <vt:variant>
        <vt:lpwstr>https://osp.stat.gov.lt/informaciniai-pranesimai?articleId=4541379</vt:lpwstr>
      </vt:variant>
      <vt:variant>
        <vt:lpwstr/>
      </vt:variant>
      <vt:variant>
        <vt:i4>917525</vt:i4>
      </vt:variant>
      <vt:variant>
        <vt:i4>3</vt:i4>
      </vt:variant>
      <vt:variant>
        <vt:i4>0</vt:i4>
      </vt:variant>
      <vt:variant>
        <vt:i4>5</vt:i4>
      </vt:variant>
      <vt:variant>
        <vt:lpwstr>https://osp.stat.gov.lt/documents/10180/10793996/Darbuotoju_skaiciaus_pagal_DU_metodika.pdf</vt:lpwstr>
      </vt:variant>
      <vt:variant>
        <vt:lpwstr/>
      </vt:variant>
      <vt:variant>
        <vt:i4>5046346</vt:i4>
      </vt:variant>
      <vt:variant>
        <vt:i4>0</vt:i4>
      </vt:variant>
      <vt:variant>
        <vt:i4>0</vt:i4>
      </vt:variant>
      <vt:variant>
        <vt:i4>5</vt:i4>
      </vt:variant>
      <vt:variant>
        <vt:lpwstr>https://e-seimas.lrs.lt/portal/legalAct/lt/TAD/TAIS.30614/asr</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2026-03-19T12:02:00Z</dcterms:created>
  <dc:creator>Rūta Juršaitė</dc:creator>
  <lastModifiedBy>adlibuser</lastModifiedBy>
  <dcterms:modified xsi:type="dcterms:W3CDTF">2026-03-19T12:02:00Z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3e918573,3c2ecf64,31d85f62</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Vidiniam naudojimui</vt:lpwstr>
  </property>
</Properties>
</file>