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aaab3cb5014370b4f229929378d4ad"/>
        <w:lock w:val="sdtLocked"/>
        <w:richText/>
      </w:sdtPr>
      <w:sdtContent>
        <w:p>
          <w:pPr>
            <w:jc w:val="center"/>
            <w:rPr>
              <w:b/>
              <w:bCs/>
              <w:color w:val="000000"/>
              <w:szCs w:val="24"/>
              <w:lang w:eastAsia="lt-LT"/>
            </w:rPr>
          </w:pPr>
        </w:p>
        <w:p>
          <w:pPr>
            <w:jc w:val="center"/>
            <w:rPr>
              <w:szCs w:val="24"/>
              <w:lang w:eastAsia="lt-LT"/>
            </w:rPr>
          </w:pPr>
          <w:r>
            <w:rPr>
              <w:b/>
              <w:bCs/>
              <w:color w:val="000000"/>
              <w:szCs w:val="24"/>
              <w:lang w:eastAsia="lt-LT"/>
            </w:rPr>
            <w:t>NUMATOMO TEISINIO REGULIAVIMO POVEIKIO VERTINIMO PAŽYMA</w:t>
          </w:r>
        </w:p>
        <w:p>
          <w:pPr>
            <w:ind w:firstLine="62"/>
            <w:rPr>
              <w:szCs w:val="24"/>
              <w:lang w:eastAsia="lt-LT"/>
            </w:rPr>
          </w:pPr>
        </w:p>
        <w:tbl>
          <w:tblPr>
            <w:tblW w:w="0" w:type="auto"/>
            <w:tblCellMar>
              <w:left w:w="0" w:type="dxa"/>
              <w:right w:w="0" w:type="dxa"/>
            </w:tblCellMar>
            <w:tblLook w:val="04A0" w:firstRow="1" w:lastRow="0" w:firstColumn="1" w:lastColumn="0" w:noHBand="0" w:noVBand="1"/>
          </w:tblPr>
          <w:tblGrid>
            <w:gridCol w:w="2235"/>
            <w:gridCol w:w="7337"/>
          </w:tblGrid>
          <w:tr>
            <w:tc>
              <w:tcPr>
                <w:tcW w:w="2235" w:type="dxa"/>
                <w:shd w:val="clear" w:color="auto" w:fill="DBE5F1"/>
                <w:tcMar>
                  <w:top w:w="0" w:type="dxa"/>
                  <w:left w:w="108" w:type="dxa"/>
                  <w:bottom w:w="0" w:type="dxa"/>
                  <w:right w:w="108" w:type="dxa"/>
                </w:tcMar>
                <w:hideMark/>
              </w:tcPr>
              <w:p>
                <w:pPr>
                  <w:rPr>
                    <w:szCs w:val="24"/>
                    <w:lang w:eastAsia="lt-LT"/>
                  </w:rPr>
                </w:pPr>
                <w:r>
                  <w:rPr>
                    <w:b/>
                    <w:bCs/>
                    <w:szCs w:val="24"/>
                    <w:shd w:val="clear" w:color="auto" w:fill="DBE5F1"/>
                    <w:lang w:eastAsia="lt-LT"/>
                  </w:rPr>
                  <w:t>Projekto pavadinimas</w:t>
                </w:r>
              </w:p>
            </w:tc>
            <w:tc>
              <w:tcPr>
                <w:tcW w:w="7337" w:type="dxa"/>
                <w:shd w:val="clear" w:color="auto" w:fill="DBE5F1"/>
                <w:tcMar>
                  <w:top w:w="0" w:type="dxa"/>
                  <w:left w:w="108" w:type="dxa"/>
                  <w:bottom w:w="0" w:type="dxa"/>
                  <w:right w:w="108" w:type="dxa"/>
                </w:tcMar>
                <w:hideMark/>
              </w:tcPr>
              <w:p>
                <w:pPr>
                  <w:suppressAutoHyphens/>
                  <w:spacing w:line="276" w:lineRule="auto"/>
                  <w:jc w:val="both"/>
                  <w:rPr>
                    <w:bCs/>
                    <w:szCs w:val="24"/>
                    <w:lang w:eastAsia="lt-LT"/>
                  </w:rPr>
                </w:pPr>
                <w:r>
                  <w:rPr>
                    <w:bCs/>
                    <w:szCs w:val="24"/>
                    <w:lang w:eastAsia="lt-LT"/>
                  </w:rPr>
                  <w:t>„Dėl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 projektas</w:t>
                </w:r>
              </w:p>
            </w:tc>
          </w:tr>
          <w:tr>
            <w:tc>
              <w:tcPr>
                <w:tcW w:w="2235" w:type="dxa"/>
                <w:shd w:val="clear" w:color="auto" w:fill="DBE5F1"/>
                <w:tcMar>
                  <w:top w:w="0" w:type="dxa"/>
                  <w:left w:w="108" w:type="dxa"/>
                  <w:bottom w:w="0" w:type="dxa"/>
                  <w:right w:w="108" w:type="dxa"/>
                </w:tcMar>
                <w:hideMark/>
              </w:tcPr>
              <w:p>
                <w:pPr>
                  <w:rPr>
                    <w:szCs w:val="24"/>
                    <w:lang w:eastAsia="lt-LT"/>
                  </w:rPr>
                </w:pPr>
                <w:r>
                  <w:rPr>
                    <w:b/>
                    <w:bCs/>
                    <w:szCs w:val="24"/>
                    <w:shd w:val="clear" w:color="auto" w:fill="DBE5F1"/>
                    <w:lang w:eastAsia="lt-LT"/>
                  </w:rPr>
                  <w:t>Projekto rengėjas</w:t>
                </w:r>
              </w:p>
            </w:tc>
            <w:tc>
              <w:tcPr>
                <w:tcW w:w="7337" w:type="dxa"/>
                <w:shd w:val="clear" w:color="auto" w:fill="DBE5F1"/>
                <w:tcMar>
                  <w:top w:w="0" w:type="dxa"/>
                  <w:left w:w="108" w:type="dxa"/>
                  <w:bottom w:w="0" w:type="dxa"/>
                  <w:right w:w="108" w:type="dxa"/>
                </w:tcMar>
                <w:hideMark/>
              </w:tcPr>
              <w:p>
                <w:pPr>
                  <w:spacing w:line="276" w:lineRule="auto"/>
                  <w:jc w:val="both"/>
                  <w:rPr>
                    <w:szCs w:val="24"/>
                    <w:lang w:eastAsia="lt-LT"/>
                  </w:rPr>
                </w:pPr>
                <w:r>
                  <w:rPr>
                    <w:szCs w:val="24"/>
                    <w:lang w:eastAsia="lt-LT"/>
                  </w:rPr>
                  <w:t>Lietuvos Respublikos aplinkos ministerija</w:t>
                </w:r>
              </w:p>
              <w:p>
                <w:pPr>
                  <w:spacing w:line="276" w:lineRule="auto"/>
                  <w:jc w:val="both"/>
                  <w:rPr>
                    <w:szCs w:val="24"/>
                    <w:lang w:eastAsia="lt-LT"/>
                  </w:rPr>
                </w:pPr>
              </w:p>
            </w:tc>
          </w:tr>
          <w:tr>
            <w:tc>
              <w:tcPr>
                <w:tcW w:w="2235" w:type="dxa"/>
                <w:shd w:val="clear" w:color="auto" w:fill="DBE5F1"/>
                <w:tcMar>
                  <w:top w:w="0" w:type="dxa"/>
                  <w:left w:w="108" w:type="dxa"/>
                  <w:bottom w:w="0" w:type="dxa"/>
                  <w:right w:w="108" w:type="dxa"/>
                </w:tcMar>
                <w:hideMark/>
              </w:tcPr>
              <w:p>
                <w:pPr>
                  <w:rPr>
                    <w:szCs w:val="24"/>
                    <w:lang w:eastAsia="lt-LT"/>
                  </w:rPr>
                </w:pPr>
                <w:r>
                  <w:rPr>
                    <w:b/>
                    <w:bCs/>
                    <w:szCs w:val="24"/>
                    <w:lang w:eastAsia="lt-LT"/>
                  </w:rPr>
                  <w:t>Projekto tikslas</w:t>
                </w:r>
              </w:p>
            </w:tc>
            <w:tc>
              <w:tcPr>
                <w:tcW w:w="7337" w:type="dxa"/>
                <w:shd w:val="clear" w:color="auto" w:fill="DBE5F1"/>
                <w:tcMar>
                  <w:top w:w="0" w:type="dxa"/>
                  <w:left w:w="108" w:type="dxa"/>
                  <w:bottom w:w="0" w:type="dxa"/>
                  <w:right w:w="108" w:type="dxa"/>
                </w:tcMar>
                <w:hideMark/>
              </w:tcPr>
              <w:p>
                <w:pPr>
                  <w:spacing w:line="276" w:lineRule="auto"/>
                  <w:ind w:firstLine="567"/>
                  <w:jc w:val="both"/>
                  <w:rPr>
                    <w:bCs/>
                    <w:szCs w:val="24"/>
                    <w:lang w:eastAsia="lt-LT"/>
                  </w:rPr>
                </w:pPr>
                <w:r>
                  <w:rPr>
                    <w:rFonts w:eastAsia="Calibri"/>
                    <w:szCs w:val="24"/>
                    <w:lang w:eastAsia="lt-LT"/>
                  </w:rPr>
                  <w:t>Įsakymo projektą rengti paskatinusios priežastys – pagal šiuo metu galiojančius reikalavimus, norint įsirengti vietinę nuotekų valyklą privaloma gauti statybą leidžiantį dokumentą. Siekiant kad gyventojai, kurie neturi galimybės prisijungti prie centralizuotų nuotekų valymo tinklų, galėtų sparčiau ir paprasčiau įsirengti vietinius valymo įrenginius ir pagerinti gyvenamųjų teritorijų ekologinę būklę, parengtas įsakymo pakeitimo projektas, kuriuo atsižvelgiant į statybą leidžiančio dokumento gavimo ir statybos užbaigimo procedūrų sukeliamą biurokratinę naštą ir kaštus statant nesudėtingųjų statinių II grupei priskirtas nuotekų valyklas ir (ar) kaupimo rezervuarus, siūloma atsisakyti statybą leidžiančio dokumento ir statybų užbaigimo procedūrų. Taip pat Įsakymo projekte atsisakoma statybą leidžiančio dokumento ir statybų užbaigimo procedūrų D</w:t>
                </w:r>
                <w:r>
                  <w:rPr>
                    <w:rFonts w:eastAsia="Calibri"/>
                    <w:szCs w:val="24"/>
                    <w:vertAlign w:val="subscript"/>
                    <w:lang w:eastAsia="lt-LT"/>
                  </w:rPr>
                  <w:t>s</w:t>
                </w:r>
                <w:r>
                  <w:rPr>
                    <w:rFonts w:eastAsia="Calibri"/>
                    <w:szCs w:val="24"/>
                    <w:vertAlign w:val="superscript"/>
                    <w:lang w:eastAsia="lt-LT"/>
                  </w:rPr>
                  <w:t>*</w:t>
                </w:r>
                <w:r>
                  <w:rPr>
                    <w:rFonts w:eastAsia="Calibri"/>
                    <w:szCs w:val="24"/>
                    <w:lang w:eastAsia="lt-LT"/>
                  </w:rPr>
                  <w:t xml:space="preserve"> kategorijos gatvėms (gatvės susiformavusiose mėgėjų sodų teritorijose). Siekiama palengvinti biurokratinę naštą gyventojams norintiems patiems įsirengti mėgėjų sodų teritorijoje gatves ar  atlikti jų rekonstrukciją. Įsakymo projektu keičiamos </w:t>
                </w:r>
                <w:r>
                  <w:rPr>
                    <w:szCs w:val="24"/>
                    <w:lang w:eastAsia="lt-LT"/>
                  </w:rPr>
                  <w:t xml:space="preserve">Leidimo, Prašymo išduoti leidimą, Pažymos apie statinio (-ių) statybą be nukrypimų nuo esminių statinio projekto sprendinių, Pažymos apie nebaigto statyti ar rekonstruoti nesudėtingojo statinio statybą, Pažymos apie nebaigto statyti ar rekonstruoti statinio (-ių) nugriovimą formas, atsisakant projekto bendraautorių, o tam tikrais atvejais ir prašymų / dokumentų pateikėjų asmens kodo rodymo. </w:t>
                </w:r>
                <w:r>
                  <w:rPr>
                    <w:rFonts w:eastAsia="Calibri"/>
                    <w:szCs w:val="24"/>
                    <w:lang w:eastAsia="lt-LT"/>
                  </w:rPr>
                  <w:t>Statybos įstatymo 53 straipsnio 5 dalyje numatyta, kad dokumentai, susiję su statybinių tyrimų, statinių projektavimo, statybos, statybos užbaigimo, griovimo ir kitais procesais ir jų viešojo administravimo procedūromis gali būti pasirašomi elektroniniu parašu, išskyrus įstatyme numatytus atvejus, todėl Įsakymo projektas koreguojamas ir Statybos įstatymo numatytais atvejais paliekama galimybė dokumentus pasirašyti ne tik elektroniniu parašu.</w:t>
                </w:r>
              </w:p>
            </w:tc>
          </w:tr>
        </w:tbl>
        <w:p>
          <w:pPr>
            <w:rPr>
              <w:sz w:val="16"/>
              <w:szCs w:val="16"/>
              <w:lang w:eastAsia="lt-LT"/>
            </w:rPr>
          </w:pPr>
        </w:p>
        <w:tbl>
          <w:tblPr>
            <w:tblW w:w="0" w:type="auto"/>
            <w:tblCellMar>
              <w:left w:w="0" w:type="dxa"/>
              <w:right w:w="0" w:type="dxa"/>
            </w:tblCellMar>
            <w:tblLook w:val="04A0" w:firstRow="1" w:lastRow="0" w:firstColumn="1" w:lastColumn="0" w:noHBand="0" w:noVBand="1"/>
          </w:tblPr>
          <w:tblGrid>
            <w:gridCol w:w="2164"/>
            <w:gridCol w:w="7442"/>
          </w:tblGrid>
          <w:tr>
            <w:trPr>
              <w:trHeight w:val="415"/>
            </w:trPr>
            <w:tc>
              <w:tcPr>
                <w:tcW w:w="2164" w:type="dxa"/>
                <w:shd w:val="clear" w:color="auto" w:fill="DBE5F1"/>
                <w:tcMar>
                  <w:top w:w="0" w:type="dxa"/>
                  <w:left w:w="108" w:type="dxa"/>
                  <w:bottom w:w="0" w:type="dxa"/>
                  <w:right w:w="108" w:type="dxa"/>
                </w:tcMar>
                <w:hideMark/>
              </w:tcPr>
              <w:p>
                <w:pPr>
                  <w:ind w:firstLine="62"/>
                  <w:rPr>
                    <w:szCs w:val="24"/>
                    <w:lang w:eastAsia="lt-LT"/>
                  </w:rPr>
                </w:pPr>
              </w:p>
            </w:tc>
            <w:tc>
              <w:tcPr>
                <w:tcW w:w="7442" w:type="dxa"/>
                <w:shd w:val="clear" w:color="auto" w:fill="DBE5F1"/>
                <w:tcMar>
                  <w:top w:w="0" w:type="dxa"/>
                  <w:left w:w="108" w:type="dxa"/>
                  <w:bottom w:w="0" w:type="dxa"/>
                  <w:right w:w="108" w:type="dxa"/>
                </w:tcMar>
                <w:hideMark/>
              </w:tcPr>
              <w:p>
                <w:pPr>
                  <w:jc w:val="center"/>
                  <w:rPr>
                    <w:szCs w:val="24"/>
                    <w:lang w:eastAsia="lt-LT"/>
                  </w:rPr>
                </w:pPr>
                <w:r>
                  <w:rPr>
                    <w:b/>
                    <w:bCs/>
                    <w:szCs w:val="24"/>
                    <w:lang w:eastAsia="lt-LT"/>
                  </w:rPr>
                  <w:t xml:space="preserve">Siūlomo projekto poveikio įvertinimas </w:t>
                </w:r>
              </w:p>
              <w:p>
                <w:pPr>
                  <w:jc w:val="center"/>
                  <w:rPr>
                    <w:szCs w:val="24"/>
                    <w:lang w:eastAsia="lt-LT"/>
                  </w:rPr>
                </w:pPr>
                <w:r>
                  <w:rPr>
                    <w:b/>
                    <w:bCs/>
                    <w:szCs w:val="24"/>
                    <w:lang w:eastAsia="lt-LT"/>
                  </w:rPr>
                  <w:t>(teigiamos ir (ar) neigiamos pasekmės)*</w:t>
                </w:r>
              </w:p>
            </w:tc>
          </w:tr>
        </w:tbl>
        <w:p>
          <w:pPr>
            <w:rPr>
              <w:sz w:val="16"/>
              <w:szCs w:val="16"/>
              <w:lang w:eastAsia="lt-LT"/>
            </w:rPr>
          </w:pPr>
        </w:p>
        <w:tbl>
          <w:tblPr>
            <w:tblW w:w="0" w:type="auto"/>
            <w:tblCellMar>
              <w:left w:w="0" w:type="dxa"/>
              <w:right w:w="0" w:type="dxa"/>
            </w:tblCellMar>
            <w:tblLook w:val="04A0" w:firstRow="1" w:lastRow="0" w:firstColumn="1" w:lastColumn="0" w:noHBand="0" w:noVBand="1"/>
          </w:tblPr>
          <w:tblGrid>
            <w:gridCol w:w="2943"/>
            <w:gridCol w:w="6663"/>
          </w:tblGrid>
          <w:tr>
            <w:tc>
              <w:tcPr>
                <w:tcW w:w="2943" w:type="dxa"/>
                <w:shd w:val="clear" w:color="auto" w:fill="DBE5F1"/>
                <w:tcMar>
                  <w:top w:w="0" w:type="dxa"/>
                  <w:left w:w="108" w:type="dxa"/>
                  <w:bottom w:w="0" w:type="dxa"/>
                  <w:right w:w="108" w:type="dxa"/>
                </w:tcMar>
                <w:hideMark/>
              </w:tcPr>
              <w:p>
                <w:pPr>
                  <w:rPr>
                    <w:szCs w:val="24"/>
                    <w:lang w:eastAsia="lt-LT"/>
                  </w:rPr>
                </w:pPr>
                <w:r>
                  <w:rPr>
                    <w:b/>
                    <w:bCs/>
                    <w:szCs w:val="24"/>
                    <w:lang w:eastAsia="lt-LT"/>
                  </w:rPr>
                  <w:t xml:space="preserve">Poveikis </w:t>
                </w:r>
                <w:r>
                  <w:rPr>
                    <w:b/>
                    <w:color w:val="000000"/>
                    <w:szCs w:val="24"/>
                    <w:lang w:eastAsia="lt-LT"/>
                  </w:rPr>
                  <w:t>statybos teisinio reguliavimo sričiai</w:t>
                </w:r>
              </w:p>
            </w:tc>
            <w:tc>
              <w:tcPr>
                <w:tcW w:w="6663" w:type="dxa"/>
                <w:tcMar>
                  <w:top w:w="0" w:type="dxa"/>
                  <w:left w:w="108" w:type="dxa"/>
                  <w:bottom w:w="0" w:type="dxa"/>
                  <w:right w:w="108" w:type="dxa"/>
                </w:tcMar>
                <w:hideMark/>
              </w:tcPr>
              <w:p>
                <w:pPr>
                  <w:jc w:val="both"/>
                  <w:rPr>
                    <w:szCs w:val="24"/>
                    <w:lang w:eastAsia="lt-LT"/>
                  </w:rPr>
                </w:pPr>
                <w:r>
                  <w:rPr>
                    <w:szCs w:val="24"/>
                    <w:lang w:eastAsia="lt-LT"/>
                  </w:rPr>
                  <w:t xml:space="preserve">Neigiamas poveikis nenumatomas. </w:t>
                </w:r>
              </w:p>
            </w:tc>
          </w:tr>
        </w:tbl>
        <w:p>
          <w:pPr>
            <w:rPr>
              <w:sz w:val="16"/>
              <w:szCs w:val="16"/>
              <w:lang w:eastAsia="lt-LT"/>
            </w:rPr>
          </w:pPr>
        </w:p>
        <w:tbl>
          <w:tblPr>
            <w:tblW w:w="9464" w:type="dxa"/>
            <w:tblCellMar>
              <w:left w:w="0" w:type="dxa"/>
              <w:right w:w="0" w:type="dxa"/>
            </w:tblCellMar>
            <w:tblLook w:val="04A0" w:firstRow="1" w:lastRow="0" w:firstColumn="1" w:lastColumn="0" w:noHBand="0" w:noVBand="1"/>
          </w:tblPr>
          <w:tblGrid>
            <w:gridCol w:w="2943"/>
            <w:gridCol w:w="6521"/>
          </w:tblGrid>
          <w:tr>
            <w:tc>
              <w:tcPr>
                <w:tcW w:w="2943" w:type="dxa"/>
                <w:shd w:val="clear" w:color="auto" w:fill="DBE5F1"/>
                <w:tcMar>
                  <w:top w:w="0" w:type="dxa"/>
                  <w:left w:w="108" w:type="dxa"/>
                  <w:bottom w:w="0" w:type="dxa"/>
                  <w:right w:w="108" w:type="dxa"/>
                </w:tcMar>
                <w:hideMark/>
              </w:tcPr>
              <w:p>
                <w:pPr>
                  <w:rPr>
                    <w:szCs w:val="24"/>
                    <w:lang w:eastAsia="lt-LT"/>
                  </w:rPr>
                </w:pPr>
                <w:r>
                  <w:rPr>
                    <w:b/>
                    <w:bCs/>
                    <w:szCs w:val="24"/>
                    <w:lang w:eastAsia="lt-LT"/>
                  </w:rPr>
                  <w:t xml:space="preserve">Poveikis </w:t>
                </w:r>
              </w:p>
              <w:p>
                <w:pPr>
                  <w:rPr>
                    <w:b/>
                    <w:bCs/>
                    <w:szCs w:val="24"/>
                    <w:lang w:eastAsia="lt-LT"/>
                  </w:rPr>
                </w:pPr>
                <w:r>
                  <w:rPr>
                    <w:b/>
                    <w:bCs/>
                    <w:szCs w:val="24"/>
                    <w:lang w:eastAsia="lt-LT"/>
                  </w:rPr>
                  <w:t>valstybės finansams</w:t>
                </w:r>
              </w:p>
              <w:p>
                <w:pPr>
                  <w:rPr>
                    <w:szCs w:val="24"/>
                    <w:lang w:eastAsia="lt-LT"/>
                  </w:rPr>
                </w:pPr>
              </w:p>
            </w:tc>
            <w:tc>
              <w:tcPr>
                <w:tcW w:w="6521" w:type="dxa"/>
                <w:tcMar>
                  <w:top w:w="0" w:type="dxa"/>
                  <w:left w:w="108" w:type="dxa"/>
                  <w:bottom w:w="0" w:type="dxa"/>
                  <w:right w:w="108" w:type="dxa"/>
                </w:tcMar>
                <w:hideMark/>
              </w:tcPr>
              <w:p>
                <w:pPr>
                  <w:jc w:val="both"/>
                  <w:rPr>
                    <w:szCs w:val="24"/>
                    <w:lang w:eastAsia="lt-LT"/>
                  </w:rPr>
                </w:pPr>
                <w:r>
                  <w:rPr>
                    <w:szCs w:val="24"/>
                    <w:lang w:eastAsia="lt-LT"/>
                  </w:rPr>
                  <w:t>Poveikis valstybės finansams nenumatomas.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gridAfter w:val="1"/>
              <w:wAfter w:w="6521" w:type="dxa"/>
            </w:trPr>
            <w:tc>
              <w:tcPr>
                <w:tcW w:w="2943" w:type="dxa"/>
                <w:tcBorders>
                  <w:top w:val="nil"/>
                  <w:left w:val="nil"/>
                  <w:bottom w:val="nil"/>
                  <w:right w:val="nil"/>
                </w:tcBorders>
                <w:shd w:val="clear" w:color="auto" w:fill="DBE5F1"/>
              </w:tcPr>
              <w:p>
                <w:pPr>
                  <w:shd w:val="clear" w:color="auto" w:fill="DBE5F1"/>
                  <w:rPr>
                    <w:b/>
                    <w:szCs w:val="24"/>
                    <w:lang w:eastAsia="lt-LT"/>
                  </w:rPr>
                </w:pPr>
                <w:r>
                  <w:rPr>
                    <w:b/>
                    <w:szCs w:val="24"/>
                    <w:lang w:eastAsia="lt-LT"/>
                  </w:rPr>
                  <w:t>Poveikis administracinei naštai</w:t>
                </w:r>
              </w:p>
            </w:tc>
          </w:tr>
        </w:tbl>
        <w:p>
          <w:pPr>
            <w:rPr>
              <w:sz w:val="16"/>
              <w:szCs w:val="16"/>
              <w:lang w:eastAsia="lt-LT"/>
            </w:rPr>
          </w:pPr>
          <w:r>
            <w:rPr>
              <w:szCs w:val="24"/>
              <w:lang w:eastAsia="lt-LT"/>
            </w:rPr>
            <w:t>Poveikis administracinei naštai sumažės.</w:t>
          </w:r>
          <w:r>
            <w:rPr>
              <w:sz w:val="16"/>
              <w:szCs w:val="16"/>
              <w:lang w:eastAsia="lt-LT"/>
            </w:rPr>
            <w:br w:type="textWrapping" w:clear="all"/>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3"/>
            <w:gridCol w:w="6344"/>
          </w:tblGrid>
          <w:tr>
            <w:tc>
              <w:tcPr>
                <w:tcW w:w="2943" w:type="dxa"/>
                <w:tcBorders>
                  <w:top w:val="nil"/>
                  <w:left w:val="nil"/>
                  <w:bottom w:val="nil"/>
                  <w:right w:val="nil"/>
                </w:tcBorders>
                <w:shd w:val="clear" w:color="auto" w:fill="DBE5F1"/>
              </w:tcPr>
              <w:p>
                <w:pPr>
                  <w:shd w:val="clear" w:color="auto" w:fill="DBE5F1"/>
                  <w:rPr>
                    <w:b/>
                    <w:szCs w:val="24"/>
                    <w:lang w:eastAsia="lt-LT"/>
                  </w:rPr>
                </w:pPr>
                <w:r>
                  <w:rPr>
                    <w:b/>
                    <w:szCs w:val="24"/>
                    <w:lang w:eastAsia="lt-LT"/>
                  </w:rPr>
                  <w:t>Poveikis aplinkai ir klimato kaitai</w:t>
                </w:r>
              </w:p>
            </w:tc>
            <w:tc>
              <w:tcPr>
                <w:tcW w:w="6344" w:type="dxa"/>
                <w:tcBorders>
                  <w:top w:val="nil"/>
                  <w:left w:val="nil"/>
                  <w:bottom w:val="nil"/>
                  <w:right w:val="nil"/>
                </w:tcBorders>
                <w:hideMark/>
              </w:tcPr>
              <w:p>
                <w:pPr>
                  <w:spacing w:line="276" w:lineRule="auto"/>
                  <w:jc w:val="both"/>
                  <w:rPr>
                    <w:sz w:val="22"/>
                    <w:szCs w:val="22"/>
                    <w:lang w:eastAsia="lt-LT"/>
                  </w:rPr>
                </w:pPr>
                <w:r>
                  <w:rPr>
                    <w:szCs w:val="24"/>
                    <w:lang w:eastAsia="lt-LT"/>
                  </w:rPr>
                  <w:t xml:space="preserve">Poveikis nepasikeis.  </w:t>
                </w:r>
              </w:p>
            </w:tc>
          </w:tr>
        </w:tbl>
        <w:p>
          <w:pPr>
            <w:rPr>
              <w:sz w:val="16"/>
              <w:szCs w:val="16"/>
              <w:lang w:eastAsia="lt-LT"/>
            </w:rPr>
          </w:pPr>
        </w:p>
        <w:tbl>
          <w:tblPr>
            <w:tblW w:w="9656" w:type="dxa"/>
            <w:tblLook w:val="00A0" w:firstRow="1" w:lastRow="0" w:firstColumn="1" w:lastColumn="0" w:noHBand="0" w:noVBand="0"/>
          </w:tblPr>
          <w:tblGrid>
            <w:gridCol w:w="9656"/>
          </w:tblGrid>
          <w:tr>
            <w:trPr>
              <w:trHeight w:val="711"/>
            </w:trPr>
            <w:tc>
              <w:tcPr>
                <w:tcW w:w="9656" w:type="dxa"/>
                <w:shd w:val="clear" w:color="auto" w:fill="DBE5F1"/>
                <w:hideMark/>
              </w:tcPr>
              <w:p>
                <w:pPr>
                  <w:spacing w:line="276" w:lineRule="auto"/>
                  <w:rPr>
                    <w:b/>
                    <w:szCs w:val="24"/>
                    <w:lang w:eastAsia="lt-LT"/>
                  </w:rPr>
                </w:pPr>
                <w:r>
                  <w:rPr>
                    <w:b/>
                    <w:szCs w:val="24"/>
                    <w:lang w:eastAsia="lt-LT"/>
                  </w:rPr>
                  <w:t xml:space="preserve">Kita svarbi informacija       </w:t>
                </w:r>
                <w:r>
                  <w:rPr>
                    <w:rFonts w:eastAsia="Lucida Sans Unicode"/>
                    <w:i/>
                    <w:color w:val="000000"/>
                    <w:sz w:val="22"/>
                    <w:szCs w:val="24"/>
                    <w:lang w:eastAsia="lt-LT"/>
                  </w:rPr>
                  <w:t xml:space="preserve"> </w:t>
                </w:r>
                <w:r>
                  <w:rPr>
                    <w:rFonts w:eastAsia="Lucida Sans Unicode"/>
                    <w:color w:val="000000"/>
                    <w:szCs w:val="24"/>
                    <w:lang w:eastAsia="lt-LT"/>
                  </w:rPr>
                  <w:t>Nėra</w:t>
                </w:r>
              </w:p>
              <w:p>
                <w:pPr>
                  <w:rPr>
                    <w:sz w:val="6"/>
                    <w:szCs w:val="6"/>
                  </w:rPr>
                </w:pPr>
              </w:p>
              <w:p>
                <w:pPr>
                  <w:jc w:val="both"/>
                  <w:rPr>
                    <w:rFonts w:eastAsia="Lucida Sans Unicode"/>
                    <w:i/>
                    <w:color w:val="000000"/>
                    <w:szCs w:val="24"/>
                    <w:lang w:eastAsia="lt-LT"/>
                  </w:rPr>
                </w:pPr>
              </w:p>
            </w:tc>
          </w:tr>
        </w:tbl>
        <w:sdt>
          <w:sdtPr>
            <w:alias w:val="lentele"/>
            <w:tag w:val="part_0ebdc1d0410545cb80b87b86a1d1603f"/>
            <w:lock w:val="sdtLocked"/>
            <w:richText/>
          </w:sdtPr>
          <w:sdtContent>
            <w:p>
              <w:pPr>
                <w:jc w:val="both"/>
                <w:rPr>
                  <w:b/>
                  <w:bCs/>
                  <w:szCs w:val="24"/>
                  <w:lang w:eastAsia="lt-LT"/>
                </w:rPr>
              </w:pPr>
              <w:sdt>
                <w:sdtPr>
                  <w:alias w:val="Pavadinimas"/>
                  <w:tag w:val="title_0ebdc1d0410545cb80b87b86a1d1603f"/>
                  <w:lock w:val="sdtLocked"/>
                  <w:richText/>
                </w:sdtPr>
                <w:sdtContent>
                  <w:r>
                    <w:rPr>
                      <w:b/>
                      <w:bCs/>
                      <w:szCs w:val="24"/>
                      <w:lang w:eastAsia="lt-LT"/>
                    </w:rPr>
                    <w:t>Informacija apie asmenį ir instituciją, atsakingą už poveikio vertinimą</w:t>
                  </w:r>
                </w:sdtContent>
              </w:sdt>
            </w:p>
            <w:tbl>
              <w:tblPr>
                <w:tblW w:w="4874"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34"/>
                <w:gridCol w:w="6772"/>
              </w:tblGrid>
              <w:tr>
                <w:tc>
                  <w:tcPr>
                    <w:tcW w:w="1475" w:type="pct"/>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hideMark/>
                  </w:tcPr>
                  <w:p>
                    <w:pPr>
                      <w:ind w:firstLine="62"/>
                      <w:rPr>
                        <w:szCs w:val="24"/>
                        <w:lang w:eastAsia="lt-LT"/>
                      </w:rPr>
                    </w:pPr>
                    <w:r>
                      <w:rPr>
                        <w:szCs w:val="24"/>
                        <w:lang w:eastAsia="lt-LT"/>
                      </w:rPr>
                      <w:t>Vardas ir pavardė</w:t>
                    </w:r>
                  </w:p>
                </w:tc>
                <w:tc>
                  <w:tcPr>
                    <w:tcW w:w="3525" w:type="pct"/>
                    <w:tcBorders>
                      <w:top w:val="single" w:sz="8" w:space="0" w:color="auto"/>
                      <w:left w:val="nil"/>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Aurelija Bielskytė-Petrenko</w:t>
                    </w:r>
                  </w:p>
                </w:tc>
              </w:tr>
              <w:tr>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Pareigos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pPr>
                      <w:jc w:val="both"/>
                      <w:rPr>
                        <w:szCs w:val="24"/>
                        <w:lang w:eastAsia="lt-LT"/>
                      </w:rPr>
                    </w:pPr>
                    <w:r>
                      <w:rPr>
                        <w:szCs w:val="24"/>
                        <w:lang w:eastAsia="lt-LT"/>
                      </w:rPr>
                      <w:t>Statybos ir būsto politikos skyriaus patarėja</w:t>
                    </w:r>
                  </w:p>
                </w:tc>
              </w:tr>
              <w:tr>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Institucija (padalinys)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pPr>
                      <w:jc w:val="both"/>
                      <w:rPr>
                        <w:szCs w:val="24"/>
                        <w:lang w:eastAsia="lt-LT"/>
                      </w:rPr>
                    </w:pPr>
                    <w:r>
                      <w:rPr>
                        <w:bCs/>
                        <w:szCs w:val="24"/>
                        <w:lang w:eastAsia="lt-LT"/>
                      </w:rPr>
                      <w:t>Lietuvos Respublikos aplinkos ministerijos Statybos ir teritorijų planavimo politikos grupė</w:t>
                    </w:r>
                  </w:p>
                </w:tc>
              </w:tr>
              <w:tr>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Telefono numeris ir elektroninio pašto adresas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pPr>
                      <w:widowControl w:val="0"/>
                      <w:suppressAutoHyphens/>
                      <w:jc w:val="both"/>
                      <w:rPr>
                        <w:rFonts w:eastAsia="Andale Sans UI"/>
                        <w:szCs w:val="24"/>
                        <w:lang w:eastAsia="lt-LT" w:bidi="en-US"/>
                      </w:rPr>
                    </w:pPr>
                    <w:r>
                      <w:rPr>
                        <w:rFonts w:eastAsia="Andale Sans UI" w:cs="Tahoma"/>
                        <w:szCs w:val="24"/>
                        <w:lang w:eastAsia="lt-LT" w:bidi="en-US"/>
                      </w:rPr>
                      <w:t>8 696 82448</w:t>
                    </w:r>
                    <w:r>
                      <w:rPr>
                        <w:rFonts w:eastAsia="Andale Sans UI" w:cs="Tahoma"/>
                        <w:color w:val="000000"/>
                        <w:szCs w:val="24"/>
                        <w:lang w:eastAsia="lt-LT" w:bidi="en-US"/>
                      </w:rPr>
                      <w:t xml:space="preserve">, el. p. </w:t>
                    </w:r>
                    <w:r>
                      <w:rPr>
                        <w:rFonts w:eastAsia="Andale Sans UI" w:cs="Tahoma"/>
                        <w:color w:val="0000FF"/>
                        <w:szCs w:val="24"/>
                        <w:u w:val="single"/>
                        <w:lang w:eastAsia="lt-LT" w:bidi="en-US"/>
                      </w:rPr>
                      <w:t>aurelija.bielskytė</w:t>
                    </w:r>
                    <w:r>
                      <w:rPr>
                        <w:rFonts w:eastAsia="Andale Sans UI" w:cs="Tahoma"/>
                        <w:color w:val="0000FF"/>
                        <w:szCs w:val="24"/>
                        <w:u w:val="single"/>
                        <w:lang w:val="en-US" w:eastAsia="lt-LT" w:bidi="en-US"/>
                      </w:rPr>
                      <w:t>@</w:t>
                    </w:r>
                    <w:r>
                      <w:rPr>
                        <w:rFonts w:eastAsia="Andale Sans UI" w:cs="Tahoma"/>
                        <w:color w:val="0000FF"/>
                        <w:szCs w:val="24"/>
                        <w:u w:val="single"/>
                        <w:lang w:eastAsia="lt-LT" w:bidi="en-US"/>
                      </w:rPr>
                      <w:t>am.lt</w:t>
                    </w:r>
                  </w:p>
                </w:tc>
              </w:tr>
            </w:tbl>
            <w:p/>
          </w:sdtContent>
        </w:sdt>
        <w:sdt>
          <w:sdtPr>
            <w:alias w:val="pabaiga"/>
            <w:tag w:val="part_fe910c096e984da5906a2b9d5582ac34"/>
            <w:lock w:val="sdtLocked"/>
            <w:richText/>
          </w:sdtPr>
          <w:sdtContent>
            <w:p>
              <w:pPr>
                <w:jc w:val="center"/>
                <w:rPr>
                  <w:szCs w:val="24"/>
                  <w:lang w:eastAsia="lt-LT"/>
                </w:rPr>
              </w:pPr>
              <w:r>
                <w:rPr>
                  <w:szCs w:val="22"/>
                  <w:lang w:eastAsia="lt-LT"/>
                </w:rPr>
                <w:t>––––––––––––––––</w:t>
              </w:r>
            </w:p>
          </w:sdtContent>
        </w:sdt>
      </w:sdtContent>
    </w:sdt>
    <w:sectPr>
      <w:pgSz w:w="11906" w:h="16838"/>
      <w:pgMar w:top="1418" w:right="567" w:bottom="709"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Andale Sans UI">
    <w:altName w:val="Cambria"/>
    <w:charset w:val="00"/>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3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3EB9FA4-BD47-4AE3-B443-4A25BF68D8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7504973">
      <w:bodyDiv w:val="1"/>
      <w:marLeft w:val="225"/>
      <w:marRight w:val="225"/>
      <w:marTop w:val="0"/>
      <w:marBottom w:val="0"/>
      <w:divBdr>
        <w:top w:val="none" w:sz="0" w:space="0" w:color="auto"/>
        <w:left w:val="none" w:sz="0" w:space="0" w:color="auto"/>
        <w:bottom w:val="none" w:sz="0" w:space="0" w:color="auto"/>
        <w:right w:val="none" w:sz="0" w:space="0" w:color="auto"/>
      </w:divBdr>
      <w:divsChild>
        <w:div w:id="1163207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718103c1caf49a6ab235753f868c4eb" PartId="deaaab3cb5014370b4f229929378d4ad">
    <Part Type="lentele" Title="Informacija apie asmenį ir instituciją, atsakingą už poveikio vertinimą" DocPartId="22d130c5ec904f9bbfce2374ea70ade2" PartId="0ebdc1d0410545cb80b87b86a1d1603f"/>
    <Part Type="pabaiga" DocPartId="0a597687a8f94df1bab0e474d2f8c6a3" PartId="fe910c096e984da5906a2b9d5582ac34"/>
  </Part>
</Parts>
</file>

<file path=customXml/itemProps1.xml><?xml version="1.0" encoding="utf-8"?>
<ds:datastoreItem xmlns:ds="http://schemas.openxmlformats.org/officeDocument/2006/customXml" ds:itemID="{2589BCAF-CB7F-46EE-A5DC-CC11E97244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389</Words>
  <Characters>2996</Characters>
  <Application>Microsoft Office Word</Application>
  <DocSecurity>4</DocSecurity>
  <Lines>83</Lines>
  <Paragraphs>32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3353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2023-09-07T13:20:00Z</dcterms:created>
  <dc:creator>v.siaudinyte</dc:creator>
  <lastModifiedBy>adlibuser</lastModifiedBy>
  <lastPrinted>2019-02-05T08:15:00Z</lastPrinted>
  <dcterms:modified xsi:type="dcterms:W3CDTF">2023-09-07T13:20:00Z</dcterms:modified>
  <revision>2</revision>
</coreProperties>
</file>