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11325f8db9745fb89d961260d20d97d"/>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tbl>
                <w:tblPr>
                  <w:tblW w:w="0" w:type="auto"/>
                  <w:tblLayout w:type="fixed"/>
                  <w:tblLook w:val="06A0" w:firstRow="1" w:lastRow="0" w:firstColumn="1" w:lastColumn="0" w:noHBand="1" w:noVBand="1"/>
                </w:tblPr>
                <w:tblGrid>
                  <w:gridCol w:w="3210"/>
                  <w:gridCol w:w="3210"/>
                  <w:gridCol w:w="3210"/>
                </w:tblGrid>
                <w:tr>
                  <w:tc>
                    <w:tcPr>
                      <w:tcW w:w="3210" w:type="dxa"/>
                    </w:tcPr>
                    <w:p>
                      <w:pPr>
                        <w:suppressLineNumbers/>
                        <w:tabs>
                          <w:tab w:val="center" w:pos="4800"/>
                          <w:tab w:val="right" w:pos="9601"/>
                        </w:tabs>
                        <w:ind w:left="-115"/>
                        <w:rPr>
                          <w:rFonts w:eastAsia="Andale Sans UI" w:cs="Tahoma"/>
                          <w:szCs w:val="24"/>
                          <w:lang w:bidi="en-US"/>
                        </w:rPr>
                      </w:pPr>
                    </w:p>
                  </w:tc>
                  <w:tc>
                    <w:tcPr>
                      <w:tcW w:w="3210" w:type="dxa"/>
                    </w:tcPr>
                    <w:p>
                      <w:pPr>
                        <w:suppressLineNumbers/>
                        <w:tabs>
                          <w:tab w:val="center" w:pos="4800"/>
                          <w:tab w:val="right" w:pos="9601"/>
                        </w:tabs>
                        <w:jc w:val="center"/>
                        <w:rPr>
                          <w:rFonts w:eastAsia="Andale Sans UI" w:cs="Tahoma"/>
                          <w:szCs w:val="24"/>
                          <w:lang w:bidi="en-US"/>
                        </w:rPr>
                      </w:pPr>
                    </w:p>
                  </w:tc>
                  <w:tc>
                    <w:tcPr>
                      <w:tcW w:w="3210" w:type="dxa"/>
                    </w:tcPr>
                    <w:p>
                      <w:pPr>
                        <w:suppressLineNumbers/>
                        <w:tabs>
                          <w:tab w:val="center" w:pos="4800"/>
                          <w:tab w:val="right" w:pos="9601"/>
                        </w:tabs>
                        <w:ind w:right="-115"/>
                        <w:jc w:val="right"/>
                        <w:rPr>
                          <w:rFonts w:eastAsia="Andale Sans UI" w:cs="Tahoma"/>
                          <w:szCs w:val="24"/>
                          <w:lang w:bidi="en-US"/>
                        </w:rPr>
                      </w:pPr>
                    </w:p>
                  </w:tc>
                </w:tr>
              </w:tbl>
              <w:p>
                <w:pPr>
                  <w:suppressLineNumbers/>
                  <w:tabs>
                    <w:tab w:val="center" w:pos="4800"/>
                    <w:tab w:val="right" w:pos="9601"/>
                  </w:tabs>
                  <w:jc w:val="both"/>
                  <w:rPr>
                    <w:rFonts w:eastAsia="Andale Sans UI" w:cs="Tahoma"/>
                    <w:szCs w:val="24"/>
                    <w:lang w:bidi="en-US"/>
                  </w:rPr>
                </w:pPr>
              </w:p>
              <w:p>
                <w:pPr>
                  <w:suppressLineNumbers/>
                  <w:jc w:val="center"/>
                  <w:rPr>
                    <w:rFonts w:eastAsia="Andale Sans UI"/>
                    <w:b/>
                    <w:bCs/>
                    <w:spacing w:val="20"/>
                    <w:sz w:val="28"/>
                    <w:szCs w:val="28"/>
                    <w:lang w:bidi="en-US"/>
                  </w:rPr>
                </w:pPr>
                <w:r>
                  <w:rPr>
                    <w:rFonts w:eastAsia="Andale Sans UI"/>
                    <w:b/>
                    <w:bCs/>
                    <w:spacing w:val="20"/>
                    <w:sz w:val="26"/>
                    <w:szCs w:val="26"/>
                    <w:lang w:val="en-US"/>
                  </w:rPr>
                  <w:drawing>
                    <wp:inline distT="0" distB="0" distL="0" distR="0" wp14:anchorId="68D647D6" wp14:editId="7F8EC437">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b/>
                    <w:bCs/>
                    <w:spacing w:val="20"/>
                    <w:sz w:val="28"/>
                    <w:szCs w:val="28"/>
                    <w:lang w:bidi="en-US"/>
                  </w:rPr>
                </w:pPr>
                <w:r>
                  <w:rPr>
                    <w:rFonts w:eastAsia="Andale Sans UI"/>
                    <w:b/>
                    <w:bCs/>
                    <w:spacing w:val="20"/>
                    <w:sz w:val="28"/>
                    <w:szCs w:val="28"/>
                    <w:lang w:bidi="en-US"/>
                  </w:rPr>
                  <w:t>LIETUVOS RESPUBLIKOS APLINKOS MINISTERIJA</w:t>
                </w:r>
              </w:p>
              <w:p>
                <w:pPr>
                  <w:rPr>
                    <w:sz w:val="10"/>
                    <w:szCs w:val="10"/>
                  </w:rPr>
                </w:pPr>
              </w:p>
              <w:p>
                <w:pPr>
                  <w:suppressLineNumbers/>
                  <w:jc w:val="center"/>
                  <w:rPr>
                    <w:rFonts w:eastAsia="Andale Sans UI"/>
                    <w:b/>
                    <w:bCs/>
                    <w:spacing w:val="12"/>
                    <w:sz w:val="14"/>
                    <w:szCs w:val="14"/>
                    <w:lang w:bidi="en-US"/>
                  </w:rPr>
                </w:pPr>
                <w:r>
                  <w:rPr>
                    <w:rFonts w:eastAsia="Andale Sans UI"/>
                    <w:b/>
                    <w:bCs/>
                    <w:spacing w:val="12"/>
                    <w:sz w:val="14"/>
                    <w:szCs w:val="14"/>
                    <w:lang w:bidi="en-US"/>
                  </w:rPr>
                  <w:t>Biudžetinė įstaiga, A. Jakšto g. 4, LT-01105 Vilnius,</w:t>
                </w:r>
              </w:p>
              <w:p>
                <w:pPr>
                  <w:suppressLineNumbers/>
                  <w:jc w:val="center"/>
                  <w:rPr>
                    <w:rFonts w:eastAsia="Andale Sans UI"/>
                    <w:b/>
                    <w:bCs/>
                    <w:spacing w:val="12"/>
                    <w:sz w:val="14"/>
                    <w:szCs w:val="14"/>
                    <w:lang w:bidi="en-US"/>
                  </w:rPr>
                </w:pPr>
                <w:r>
                  <w:rPr>
                    <w:rFonts w:eastAsia="Andale Sans UI"/>
                    <w:b/>
                    <w:bCs/>
                    <w:spacing w:val="12"/>
                    <w:sz w:val="14"/>
                    <w:szCs w:val="14"/>
                    <w:lang w:bidi="en-US"/>
                  </w:rPr>
                  <w:t>tel. 8 626 22252, el. p. info@am.lt, https://am.lrv.lt.</w:t>
                </w:r>
              </w:p>
              <w:p>
                <w:pPr>
                  <w:suppressLineNumbers/>
                  <w:jc w:val="center"/>
                  <w:rPr>
                    <w:rFonts w:eastAsia="Andale Sans UI"/>
                    <w:b/>
                    <w:bCs/>
                    <w:spacing w:val="12"/>
                    <w:sz w:val="14"/>
                    <w:szCs w:val="14"/>
                    <w:lang w:bidi="en-US"/>
                  </w:rPr>
                </w:pPr>
                <w:r>
                  <w:rPr>
                    <w:rFonts w:eastAsia="Andale Sans UI"/>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szCs w:val="24"/>
                    <w:lang w:bidi="en-US"/>
                  </w:rPr>
                </w:pPr>
              </w:p>
            </w:tc>
          </w:tr>
          <w:tr>
            <w:trPr>
              <w:cantSplit/>
              <w:trHeight w:val="340"/>
            </w:trPr>
            <w:tc>
              <w:tcPr>
                <w:tcW w:w="4817" w:type="dxa"/>
                <w:vMerge w:val="restart"/>
                <w:tcMar>
                  <w:top w:w="0" w:type="dxa"/>
                  <w:left w:w="0" w:type="dxa"/>
                  <w:bottom w:w="0" w:type="dxa"/>
                  <w:right w:w="0" w:type="dxa"/>
                </w:tcMar>
              </w:tcPr>
              <w:p>
                <w:pPr>
                  <w:jc w:val="both"/>
                  <w:rPr>
                    <w:rFonts w:eastAsia="Andale Sans UI" w:cs="Tahoma"/>
                    <w:szCs w:val="24"/>
                    <w:lang w:bidi="en-US"/>
                  </w:rPr>
                </w:pPr>
                <w:r>
                  <w:rPr>
                    <w:rFonts w:eastAsia="Andale Sans UI" w:cs="Tahoma"/>
                    <w:szCs w:val="24"/>
                    <w:lang w:bidi="en-US"/>
                  </w:rPr>
                  <w:t>Adresatams pagal sąrašą</w:t>
                </w:r>
              </w:p>
              <w:p>
                <w:pPr>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szCs w:val="24"/>
                    <w:lang w:bidi="en-US"/>
                  </w:rPr>
                  <w:t>2023-</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r>
                  <w:rPr>
                    <w:rFonts w:eastAsia="Andale Sans UI" w:cs="Tahoma"/>
                    <w:szCs w:val="24"/>
                    <w:lang w:bidi="en-US"/>
                  </w:rPr>
                  <w:t>(14)-D8(E)</w:t>
                </w: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Height w:val="635"/>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jc w:val="both"/>
                  <w:rPr>
                    <w:rFonts w:cs="Tahoma"/>
                    <w:b/>
                    <w:bCs/>
                    <w:color w:val="000000"/>
                    <w:szCs w:val="24"/>
                    <w:lang w:eastAsia="lt-LT" w:bidi="en-US"/>
                  </w:rPr>
                </w:pPr>
                <w:r>
                  <w:rPr>
                    <w:rFonts w:cs="Tahoma"/>
                    <w:b/>
                    <w:bCs/>
                    <w:szCs w:val="24"/>
                    <w:lang w:eastAsia="lt-LT" w:bidi="en-US"/>
                  </w:rPr>
                  <w:t xml:space="preserve">DĖL </w:t>
                </w:r>
                <w:r>
                  <w:rPr>
                    <w:rFonts w:cs="Tahoma"/>
                    <w:b/>
                    <w:bCs/>
                    <w:color w:val="000000"/>
                    <w:szCs w:val="24"/>
                    <w:lang w:eastAsia="lt-LT" w:bidi="en-US"/>
                  </w:rPr>
                  <w:t xml:space="preserve">LIETUVOS RESPUBLIKOS APLINKOS MINISTRO 2016 M. GRUODŽIO 12 D. ĮSAKYMO NR. D1-878 </w:t>
                </w:r>
                <w:r>
                  <w:rPr>
                    <w:rFonts w:eastAsia="Andale Sans UI" w:cs="Tahoma"/>
                    <w:b/>
                    <w:szCs w:val="24"/>
                    <w:lang w:bidi="en-US"/>
                  </w:rPr>
                  <w:t>„DĖL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suppressLineNumbers/>
                  <w:jc w:val="both"/>
                  <w:rPr>
                    <w:rFonts w:eastAsia="Andale Sans UI"/>
                    <w:b/>
                    <w:bCs/>
                    <w:szCs w:val="24"/>
                    <w:lang w:bidi="en-US"/>
                  </w:rPr>
                </w:pPr>
              </w:p>
            </w:tc>
          </w:tr>
        </w:tbl>
        <w:p/>
      </w:sdtContent>
    </w:sdt>
    <w:sdt>
      <w:sdtPr>
        <w:alias w:val="pastraipa"/>
        <w:tag w:val="part_0d5b418ae6f54312898156732828243c"/>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 xml:space="preserve">Aplinkos ministerija parengė Lietuvos Respublikos aplinkos ministro įsakymo „Dėl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 projektą (toliau – Įsakymo projektas). </w:t>
          </w:r>
        </w:p>
      </w:sdtContent>
    </w:sdt>
    <w:sdt>
      <w:sdtPr>
        <w:alias w:val="pastraipa"/>
        <w:tag w:val="part_086c024809654a11825550458ab079a8"/>
        <w:lock w:val="sdtLocked"/>
        <w:richText/>
      </w:sdtPr>
      <w:sdtContent>
        <w:p>
          <w:pPr>
            <w:ind w:firstLine="567"/>
            <w:jc w:val="both"/>
            <w:rPr>
              <w:rFonts w:eastAsia="Calibri" w:cs="Tahoma"/>
              <w:szCs w:val="22"/>
              <w:lang w:bidi="en-US"/>
            </w:rPr>
          </w:pPr>
          <w:r>
            <w:rPr>
              <w:rFonts w:eastAsia="Calibri" w:cs="Tahoma"/>
              <w:szCs w:val="22"/>
              <w:lang w:bidi="en-US"/>
            </w:rPr>
            <w:t>Įsakymo projektą rengti paskatinusios priežastys – pagal šiuo metu galiojančius reikalavimus, norint įsirengti vietinę nuotekų valyklą privaloma gauti statybą leidžiantį dokumentą. Siekiant kad gyventojai, kurie neturi galimybės prisijungti prie centralizuotų nuotekų valymo tinklų, galėtų sparčiau ir paprasčiau įsirengti vietinius valymo įrenginius ir pagerinti gyvenamųjų teritorijų ekologinę būklę, parengtas įsakymo pakeitimo projektas, kuriuo atsižvelgiant į statybą leidžiančio dokumento gavimo ir statybos užbaigimo procedūrų sukeliamą biurokratinę naštą ir kaštus statant nesudėtingųjų statinių II grupei priskirtas nuotekų valyklas ir (ar) kaupimo rezervuarus, siūloma atsisakyti statybą leidžiančio dokumento ir statybų užbaigimo procedūrų. Taip pat Įsakymo projekte atsisakoma statybą leidžiančio dokumento ir statybų užbaigimo procedūrų D</w:t>
          </w:r>
          <w:r>
            <w:rPr>
              <w:rFonts w:eastAsia="Calibri" w:cs="Tahoma"/>
              <w:szCs w:val="22"/>
              <w:vertAlign w:val="subscript"/>
              <w:lang w:bidi="en-US"/>
            </w:rPr>
            <w:t>s</w:t>
          </w:r>
          <w:r>
            <w:rPr>
              <w:rFonts w:eastAsia="Calibri" w:cs="Tahoma"/>
              <w:szCs w:val="22"/>
              <w:vertAlign w:val="superscript"/>
              <w:lang w:bidi="en-US"/>
            </w:rPr>
            <w:t>*</w:t>
          </w:r>
          <w:r>
            <w:rPr>
              <w:rFonts w:eastAsia="Calibri" w:cs="Tahoma"/>
              <w:szCs w:val="22"/>
              <w:lang w:bidi="en-US"/>
            </w:rPr>
            <w:t xml:space="preserve"> kategorijos gatvėms (gatvės susiformavusiose mėgėjų sodų teritorijose). Siekiama palengvinti biurokratinę naštą gyventojams norintiems patiems įsirengti mėgėjų sodų teritorijoje gatves ar  atlikti jų rekonstrukciją. </w:t>
          </w:r>
        </w:p>
      </w:sdtContent>
    </w:sdt>
    <w:sdt>
      <w:sdtPr>
        <w:alias w:val="pastraipa"/>
        <w:tag w:val="part_7670493d4a004dd5b3a237b2991e7eb9"/>
        <w:lock w:val="sdtLocked"/>
        <w:richText/>
      </w:sdtPr>
      <w:sdtContent>
        <w:p>
          <w:pPr>
            <w:ind w:firstLine="567"/>
            <w:jc w:val="both"/>
            <w:rPr>
              <w:rFonts w:eastAsia="Andale Sans UI" w:cs="Tahoma"/>
              <w:szCs w:val="24"/>
              <w:lang w:bidi="en-US"/>
            </w:rPr>
          </w:pPr>
          <w:r>
            <w:rPr>
              <w:rFonts w:eastAsia="Calibri" w:cs="Tahoma"/>
              <w:szCs w:val="22"/>
              <w:lang w:bidi="en-US"/>
            </w:rPr>
            <w:t xml:space="preserve">Įsakymo projektu keičiamos </w:t>
          </w:r>
          <w:r>
            <w:rPr>
              <w:rFonts w:eastAsia="Andale Sans UI" w:cs="Tahoma"/>
              <w:szCs w:val="24"/>
              <w:lang w:bidi="en-US"/>
            </w:rPr>
            <w:t xml:space="preserve">Leidimo, Prašymo išduoti leidimą, Pažymos apie statinio (-ių) statybą be nukrypimų nuo esminių statinio projekto sprendinių, Pažymos apie nebaigto statyti ar rekonstruoti nesudėtingojo statinio statybą, Pažymos apie nebaigto statyti ar rekonstruoti statinio (-ių) nugriovimą formas, atsisakant projekto bendraautorių, o tam tikrais atvejais ir prašymų / dokumentų pateikėjų asmens kodo rodymo. </w:t>
          </w:r>
          <w:r>
            <w:rPr>
              <w:rFonts w:eastAsia="Calibri" w:cs="Tahoma"/>
              <w:szCs w:val="22"/>
              <w:lang w:bidi="en-US"/>
            </w:rPr>
            <w:t>Statybos įstatymo 53 straipsnio 5 dalyje numatyta, kad dokumentai, susiję su statybinių tyrimų, statinių projektavimo, statybos, statybos užbaigimo, griovimo ir kitais procesais ir jų viešojo administravimo procedūromis gali būti pasirašomi elektroniniu parašu, išskyrus įstatyme numatytus atvejus, todėl Įsakymo projektas koreguojamas ir Statybos įstatymo numatytais atvejais paliekama galimybė dokumentus pasirašyti ne tik elektroniniu parašu.</w:t>
          </w:r>
        </w:p>
      </w:sdtContent>
    </w:sdt>
    <w:sdt>
      <w:sdtPr>
        <w:alias w:val="pastraipa"/>
        <w:tag w:val="part_9d009c890a1b4693b9258cba730b3003"/>
        <w:lock w:val="sdtLocked"/>
        <w:richText/>
      </w:sdtPr>
      <w:sdtContent>
        <w:p>
          <w:pPr>
            <w:ind w:firstLine="567"/>
            <w:jc w:val="both"/>
            <w:rPr>
              <w:rFonts w:eastAsia="Calibri" w:cs="Tahoma"/>
              <w:color w:val="000000"/>
              <w:szCs w:val="22"/>
              <w:lang w:bidi="en-US"/>
            </w:rPr>
          </w:pPr>
          <w:r>
            <w:rPr>
              <w:rFonts w:eastAsia="Calibri" w:cs="Tahoma"/>
              <w:szCs w:val="24"/>
              <w:lang w:bidi="en-US"/>
            </w:rPr>
            <w:t>Įsakymo projektu ne</w:t>
          </w:r>
          <w:r>
            <w:rPr>
              <w:rFonts w:eastAsia="Calibri" w:cs="Tahoma"/>
              <w:color w:val="000000"/>
              <w:szCs w:val="22"/>
              <w:lang w:bidi="en-US"/>
            </w:rPr>
            <w:t>perkeliami ir neįgyvendinami Europos Sąjungos teisės aktai.</w:t>
          </w:r>
        </w:p>
      </w:sdtContent>
    </w:sdt>
    <w:sdt>
      <w:sdtPr>
        <w:alias w:val="pastraipa"/>
        <w:tag w:val="part_70fa33b31a1940ec8479da8a70fdb228"/>
        <w:lock w:val="sdtLocked"/>
        <w:richText/>
      </w:sdtPr>
      <w:sdtContent>
        <w:p>
          <w:pPr>
            <w:widowControl w:val="0"/>
            <w:tabs>
              <w:tab w:val="left" w:pos="571"/>
            </w:tabs>
            <w:suppressAutoHyphens/>
            <w:ind w:firstLine="571"/>
            <w:jc w:val="both"/>
            <w:rPr>
              <w:rFonts w:eastAsia="Andale Sans UI" w:cs="Tahoma"/>
              <w:color w:val="000000"/>
              <w:szCs w:val="24"/>
              <w:lang w:bidi="en-US"/>
            </w:rPr>
          </w:pPr>
          <w:r>
            <w:rPr>
              <w:rFonts w:eastAsia="Andale Sans UI" w:cs="Tahoma"/>
              <w:color w:val="000000"/>
              <w:szCs w:val="24"/>
              <w:lang w:bidi="en-US"/>
            </w:rPr>
            <w:t xml:space="preserve">Priėmus Įsakymo projektą, keisti galiojančių ar priimti naujų teisės aktų  nereikės.</w:t>
          </w:r>
        </w:p>
      </w:sdtContent>
    </w:sdt>
    <w:sdt>
      <w:sdtPr>
        <w:alias w:val="pastraipa"/>
        <w:tag w:val="part_ebc9cd6e0d88416d9d47e3d0dd7a1593"/>
        <w:lock w:val="sdtLocked"/>
        <w:richText/>
      </w:sdtPr>
      <w:sdtContent>
        <w:p>
          <w:pPr>
            <w:widowControl w:val="0"/>
            <w:tabs>
              <w:tab w:val="left" w:pos="571"/>
            </w:tabs>
            <w:suppressAutoHyphens/>
            <w:ind w:firstLine="571"/>
            <w:jc w:val="both"/>
            <w:rPr>
              <w:rFonts w:eastAsia="Andale Sans UI" w:cs="Tahoma"/>
              <w:color w:val="000000"/>
              <w:szCs w:val="24"/>
              <w:lang w:bidi="en-US"/>
            </w:rPr>
          </w:pPr>
          <w:r>
            <w:rPr>
              <w:rFonts w:eastAsia="Andale Sans UI" w:cs="Tahoma"/>
              <w:color w:val="000000"/>
              <w:szCs w:val="24"/>
              <w:lang w:bidi="en-US"/>
            </w:rPr>
            <w:t>Įsakymo projekte nėra apibrėžiamų naujų sąvokų.</w:t>
          </w:r>
        </w:p>
      </w:sdtContent>
    </w:sdt>
    <w:sdt>
      <w:sdtPr>
        <w:alias w:val="pastraipa"/>
        <w:tag w:val="part_1753d2d3af7144f2ad3e3d304095fed0"/>
        <w:lock w:val="sdtLocked"/>
        <w:richText/>
      </w:sdtPr>
      <w:sdtContent>
        <w:p>
          <w:pPr>
            <w:widowControl w:val="0"/>
            <w:suppressAutoHyphens/>
            <w:ind w:firstLine="567"/>
            <w:jc w:val="both"/>
            <w:rPr>
              <w:rFonts w:eastAsia="Andale Sans UI" w:cs="Tahoma"/>
              <w:color w:val="000000"/>
              <w:szCs w:val="24"/>
              <w:shd w:val="clear" w:color="auto" w:fill="FFFFFF"/>
              <w:lang w:bidi="en-US"/>
            </w:rPr>
          </w:pPr>
          <w:r>
            <w:rPr>
              <w:rFonts w:eastAsia="Andale Sans UI" w:cs="Tahoma"/>
              <w:color w:val="000000"/>
              <w:szCs w:val="24"/>
              <w:lang w:bidi="en-US"/>
            </w:rPr>
            <w:t xml:space="preserve">Įsakymo projektas derinamas jį paskelbus Lietuvos Respublikos Seimo kanceliarijos teisės aktų informacinėje sistemoje (TAIS). Prašome pastabas ir pasiūlymus dėl Įsakymo projekto pateikti per 10 darbo dienų. </w:t>
          </w:r>
        </w:p>
      </w:sdtContent>
    </w:sdt>
    <w:sdt>
      <w:sdtPr>
        <w:alias w:val="pastraipa"/>
        <w:tag w:val="part_720266b0c5484ffebf3ad35b9c48299b"/>
        <w:lock w:val="sdtLocked"/>
        <w:richText/>
      </w:sdtPr>
      <w:sdtContent>
        <w:p>
          <w:pPr>
            <w:widowControl w:val="0"/>
            <w:suppressAutoHyphens/>
            <w:ind w:firstLine="567"/>
            <w:jc w:val="both"/>
            <w:rPr>
              <w:rFonts w:eastAsia="Andale Sans UI" w:cs="Tahoma"/>
              <w:color w:val="000000"/>
              <w:szCs w:val="24"/>
              <w:lang w:bidi="en-US"/>
            </w:rPr>
          </w:pPr>
          <w:r>
            <w:rPr>
              <w:rFonts w:eastAsia="Andale Sans UI" w:cs="Tahoma"/>
              <w:szCs w:val="24"/>
              <w:lang w:bidi="en-US"/>
            </w:rPr>
            <w:t xml:space="preserve">Įsakymo projektą parengė Aplinkos ministerijos </w:t>
          </w:r>
          <w:r>
            <w:rPr>
              <w:rFonts w:eastAsia="Andale Sans UI" w:cs="Tahoma"/>
              <w:color w:val="000000"/>
              <w:szCs w:val="24"/>
              <w:lang w:bidi="en-US"/>
            </w:rPr>
            <w:t xml:space="preserve">Statybos ir būsto politikos grupės (vadovas – Dainius Čergelis, tel. 8 616 98 137, el. p. </w:t>
          </w:r>
          <w:r>
            <w:rPr>
              <w:rFonts w:eastAsia="Andale Sans UI" w:cs="Tahoma"/>
              <w:szCs w:val="24"/>
              <w:lang w:bidi="en-US"/>
            </w:rPr>
            <w:t>dainius.cergelis@am.lt</w:t>
          </w:r>
          <w:r>
            <w:rPr>
              <w:rFonts w:eastAsia="Andale Sans UI" w:cs="Tahoma"/>
              <w:color w:val="000000"/>
              <w:szCs w:val="24"/>
              <w:lang w:bidi="en-US"/>
            </w:rPr>
            <w:t xml:space="preserve">) patarėja Aurelija Bielskytė-Petrenko (tel. </w:t>
          </w:r>
          <w:r>
            <w:rPr>
              <w:rFonts w:eastAsia="Andale Sans UI" w:cs="Tahoma"/>
              <w:szCs w:val="24"/>
              <w:lang w:bidi="en-US"/>
            </w:rPr>
            <w:t>8 696 82 448</w:t>
          </w:r>
          <w:r>
            <w:rPr>
              <w:rFonts w:eastAsia="Andale Sans UI" w:cs="Tahoma"/>
              <w:color w:val="000000"/>
              <w:szCs w:val="24"/>
              <w:lang w:bidi="en-US"/>
            </w:rPr>
            <w:t xml:space="preserve">, el. p. </w:t>
          </w:r>
          <w:r>
            <w:rPr>
              <w:rFonts w:eastAsia="Andale Sans UI" w:cs="Tahoma"/>
              <w:color w:val="000080"/>
              <w:szCs w:val="24"/>
              <w:u w:val="single"/>
              <w:lang w:bidi="en-US"/>
            </w:rPr>
            <w:t>aurelija.bielskytė</w:t>
          </w:r>
          <w:r>
            <w:rPr>
              <w:rFonts w:eastAsia="Andale Sans UI" w:cs="Tahoma"/>
              <w:color w:val="000080"/>
              <w:szCs w:val="24"/>
              <w:u w:val="single"/>
              <w:lang w:val="en-US" w:bidi="en-US"/>
            </w:rPr>
            <w:t>@</w:t>
          </w:r>
          <w:r>
            <w:rPr>
              <w:rFonts w:eastAsia="Andale Sans UI" w:cs="Tahoma"/>
              <w:color w:val="000080"/>
              <w:szCs w:val="24"/>
              <w:u w:val="single"/>
              <w:lang w:bidi="en-US"/>
            </w:rPr>
            <w:t>am.lt</w:t>
          </w:r>
          <w:r>
            <w:rPr>
              <w:rFonts w:eastAsia="Andale Sans UI" w:cs="Tahoma"/>
              <w:color w:val="000000"/>
              <w:szCs w:val="24"/>
              <w:lang w:bidi="en-US"/>
            </w:rPr>
            <w:t xml:space="preserve">).      </w:t>
          </w:r>
        </w:p>
      </w:sdtContent>
    </w:sdt>
    <w:sdt>
      <w:sdtPr>
        <w:alias w:val="pastraipa"/>
        <w:tag w:val="part_64a83b8ca6a64f76a5c19fc100bd2bd7"/>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PRIDEDAMA:</w:t>
          </w:r>
        </w:p>
        <w:sdt>
          <w:sdtPr>
            <w:alias w:val="1 p."/>
            <w:tag w:val="part_40854b2827524855b7094181b87f8acd"/>
            <w:lock w:val="sdtLocked"/>
            <w:richText/>
          </w:sdtPr>
          <w:sdtContent>
            <w:p>
              <w:pPr>
                <w:widowControl w:val="0"/>
                <w:tabs>
                  <w:tab w:val="left" w:pos="851"/>
                </w:tabs>
                <w:suppressAutoHyphens/>
                <w:ind w:firstLine="567"/>
                <w:jc w:val="both"/>
                <w:rPr>
                  <w:rFonts w:eastAsia="Andale Sans UI" w:cs="Tahoma"/>
                  <w:szCs w:val="24"/>
                  <w:lang w:bidi="en-US"/>
                </w:rPr>
              </w:pPr>
              <w:sdt>
                <w:sdtPr>
                  <w:alias w:val="Numeris"/>
                  <w:tag w:val="nr_40854b2827524855b7094181b87f8acd"/>
                  <w:lock w:val="sdtLocked"/>
                  <w:richText/>
                </w:sdtPr>
                <w:sdtContent>
                  <w:r>
                    <w:rPr>
                      <w:rFonts w:eastAsia="Andale Sans UI" w:cs="Tahoma"/>
                      <w:szCs w:val="24"/>
                      <w:lang w:bidi="en-US"/>
                    </w:rPr>
                    <w:t>1</w:t>
                  </w:r>
                </w:sdtContent>
              </w:sdt>
              <w:r>
                <w:rPr>
                  <w:rFonts w:eastAsia="Andale Sans UI" w:cs="Tahoma"/>
                  <w:szCs w:val="24"/>
                  <w:lang w:bidi="en-US"/>
                </w:rPr>
                <w:t>.</w:t>
                <w:tab/>
                <w:t>Įsakymo projektas, 4 lapai;</w:t>
              </w:r>
            </w:p>
          </w:sdtContent>
        </w:sdt>
        <w:sdt>
          <w:sdtPr>
            <w:alias w:val="2 p."/>
            <w:tag w:val="part_ada21f2a415a4c518eb7eccb363e6dea"/>
            <w:lock w:val="sdtLocked"/>
            <w:richText/>
          </w:sdtPr>
          <w:sdtContent>
            <w:p>
              <w:pPr>
                <w:widowControl w:val="0"/>
                <w:tabs>
                  <w:tab w:val="left" w:pos="851"/>
                </w:tabs>
                <w:suppressAutoHyphens/>
                <w:ind w:firstLine="567"/>
                <w:jc w:val="both"/>
                <w:rPr>
                  <w:rFonts w:eastAsia="Andale Sans UI" w:cs="Tahoma"/>
                  <w:szCs w:val="24"/>
                  <w:lang w:bidi="en-US"/>
                </w:rPr>
              </w:pPr>
              <w:sdt>
                <w:sdtPr>
                  <w:alias w:val="Numeris"/>
                  <w:tag w:val="nr_ada21f2a415a4c518eb7eccb363e6dea"/>
                  <w:lock w:val="sdtLocked"/>
                  <w:richText/>
                </w:sdtPr>
                <w:sdtContent>
                  <w:r>
                    <w:rPr>
                      <w:rFonts w:eastAsia="Andale Sans UI" w:cs="Tahoma"/>
                      <w:szCs w:val="24"/>
                      <w:lang w:bidi="en-US"/>
                    </w:rPr>
                    <w:t>2</w:t>
                  </w:r>
                </w:sdtContent>
              </w:sdt>
              <w:r>
                <w:rPr>
                  <w:rFonts w:eastAsia="Andale Sans UI" w:cs="Tahoma"/>
                  <w:szCs w:val="24"/>
                  <w:lang w:bidi="en-US"/>
                </w:rPr>
                <w:t>.</w:t>
                <w:tab/>
                <w:t>Įsakymo projekto lyginamasis variantas, 5 lapai;</w:t>
              </w:r>
            </w:p>
          </w:sdtContent>
        </w:sdt>
        <w:sdt>
          <w:sdtPr>
            <w:alias w:val="3 p."/>
            <w:tag w:val="part_167d626462f446e8a2c952587cb66aa8"/>
            <w:lock w:val="sdtLocked"/>
            <w:richText/>
          </w:sdtPr>
          <w:sdtContent>
            <w:p>
              <w:pPr>
                <w:ind w:left="397" w:firstLine="170"/>
                <w:jc w:val="both"/>
                <w:rPr>
                  <w:rFonts w:eastAsia="Andale Sans UI" w:cs="Tahoma"/>
                  <w:color w:val="000000"/>
                  <w:szCs w:val="24"/>
                  <w:lang w:bidi="en-US"/>
                </w:rPr>
              </w:pPr>
              <w:sdt>
                <w:sdtPr>
                  <w:alias w:val="Numeris"/>
                  <w:tag w:val="nr_167d626462f446e8a2c952587cb66aa8"/>
                  <w:lock w:val="sdtLocked"/>
                  <w:richText/>
                </w:sdtPr>
                <w:sdtContent>
                  <w:r>
                    <w:rPr>
                      <w:rFonts w:eastAsia="Andale Sans UI" w:cs="Tahoma"/>
                      <w:szCs w:val="24"/>
                      <w:lang w:bidi="en-US"/>
                    </w:rPr>
                    <w:t>3</w:t>
                  </w:r>
                </w:sdtContent>
              </w:sdt>
              <w:r>
                <w:rPr>
                  <w:rFonts w:eastAsia="Andale Sans UI" w:cs="Tahoma"/>
                  <w:szCs w:val="24"/>
                  <w:lang w:bidi="en-US"/>
                </w:rPr>
                <w:t>. N</w:t>
              </w:r>
              <w:r>
                <w:rPr>
                  <w:rFonts w:eastAsia="Andale Sans UI" w:cs="Tahoma"/>
                  <w:color w:val="000000"/>
                  <w:szCs w:val="24"/>
                  <w:lang w:bidi="en-US"/>
                </w:rPr>
                <w:t>umatomo teisinio reguliavimo poveikio vertinimo pažyma, 2 lapai;</w:t>
              </w:r>
            </w:p>
          </w:sdtContent>
        </w:sdt>
        <w:sdt>
          <w:sdtPr>
            <w:alias w:val="4 p."/>
            <w:tag w:val="part_61586bd3b3a442dcaadfa09b02350d28"/>
            <w:lock w:val="sdtLocked"/>
            <w:richText/>
          </w:sdtPr>
          <w:sdtContent>
            <w:p>
              <w:pPr>
                <w:ind w:left="397" w:firstLine="170"/>
                <w:jc w:val="both"/>
                <w:rPr>
                  <w:rFonts w:eastAsia="Andale Sans UI" w:cs="Tahoma"/>
                  <w:color w:val="000000"/>
                  <w:szCs w:val="24"/>
                  <w:lang w:bidi="en-US"/>
                </w:rPr>
              </w:pPr>
              <w:sdt>
                <w:sdtPr>
                  <w:alias w:val="Numeris"/>
                  <w:tag w:val="nr_61586bd3b3a442dcaadfa09b02350d28"/>
                  <w:lock w:val="sdtLocked"/>
                  <w:richText/>
                </w:sdtPr>
                <w:sdtContent>
                  <w:r>
                    <w:rPr>
                      <w:rFonts w:eastAsia="Andale Sans UI" w:cs="Tahoma"/>
                      <w:color w:val="000000"/>
                      <w:szCs w:val="24"/>
                      <w:lang w:bidi="en-US"/>
                    </w:rPr>
                    <w:t>4</w:t>
                  </w:r>
                </w:sdtContent>
              </w:sdt>
              <w:r>
                <w:rPr>
                  <w:rFonts w:eastAsia="Andale Sans UI" w:cs="Tahoma"/>
                  <w:color w:val="000000"/>
                  <w:szCs w:val="24"/>
                  <w:lang w:bidi="en-US"/>
                </w:rPr>
                <w:t xml:space="preserve">. Antikorupcinio vertinimo pažyma, 6 lapai. </w:t>
              </w: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397" w:firstLine="170"/>
                <w:jc w:val="both"/>
                <w:rPr>
                  <w:rFonts w:eastAsia="Andale Sans UI" w:cs="Tahoma"/>
                  <w:szCs w:val="24"/>
                  <w:lang w:bidi="en-US"/>
                </w:rPr>
              </w:pPr>
            </w:p>
            <w:p>
              <w:pPr>
                <w:ind w:left="720" w:hanging="360"/>
                <w:jc w:val="both"/>
                <w:rPr>
                  <w:rFonts w:eastAsia="Andale Sans UI" w:cs="Tahoma"/>
                  <w:szCs w:val="24"/>
                  <w:lang w:val="en-US" w:bidi="en-US"/>
                </w:rPr>
              </w:pPr>
              <w:r>
                <w:rPr>
                  <w:rFonts w:eastAsia="Andale Sans UI" w:cs="Tahoma"/>
                  <w:szCs w:val="24"/>
                  <w:lang w:val="en-US" w:bidi="en-US"/>
                </w:rPr>
                <w:t>A.</w:t>
                <w:tab/>
              </w:r>
              <w:r>
                <w:rPr>
                  <w:rFonts w:eastAsia="Andale Sans UI" w:cs="Tahoma"/>
                  <w:szCs w:val="24"/>
                  <w:lang w:bidi="en-US"/>
                </w:rPr>
                <w:t xml:space="preserve">Bielskytė-Petrenko, 8 696 82448, el. p. </w:t>
              </w:r>
              <w:r>
                <w:rPr>
                  <w:rFonts w:eastAsia="Andale Sans UI" w:cs="Tahoma"/>
                  <w:color w:val="000080"/>
                  <w:szCs w:val="24"/>
                  <w:u w:val="single"/>
                  <w:lang w:bidi="en-US"/>
                </w:rPr>
                <w:t>aurelija.bielskyte</w:t>
              </w:r>
              <w:r>
                <w:rPr>
                  <w:rFonts w:eastAsia="Andale Sans UI" w:cs="Tahoma"/>
                  <w:color w:val="000080"/>
                  <w:szCs w:val="24"/>
                  <w:u w:val="single"/>
                  <w:lang w:val="en-US" w:bidi="en-US"/>
                </w:rPr>
                <w:t>@am.lt</w:t>
              </w:r>
            </w:p>
            <w:p>
              <w:pPr>
                <w:ind w:firstLine="567"/>
                <w:jc w:val="both"/>
                <w:rPr>
                  <w:rFonts w:eastAsia="Andale Sans UI" w:cs="Tahoma"/>
                  <w:szCs w:val="24"/>
                  <w:lang w:val="en-US" w:bidi="en-US"/>
                </w:rPr>
              </w:pPr>
            </w:p>
            <w:p>
              <w:pPr>
                <w:widowControl w:val="0"/>
                <w:suppressAutoHyphens/>
                <w:ind w:firstLine="567"/>
                <w:jc w:val="center"/>
                <w:rPr>
                  <w:rFonts w:eastAsia="Andale Sans UI" w:cs="Tahoma"/>
                  <w:szCs w:val="24"/>
                  <w:lang w:bidi="en-US"/>
                </w:rPr>
              </w:pPr>
              <w:r>
                <w:rPr>
                  <w:rFonts w:eastAsia="Andale Sans UI" w:cs="Tahoma"/>
                  <w:szCs w:val="24"/>
                  <w:lang w:bidi="en-US"/>
                </w:rPr>
                <w:t>ADRESATŲ SĄRAŠAS:</w:t>
              </w:r>
            </w:p>
            <w:p>
              <w:pPr>
                <w:widowControl w:val="0"/>
                <w:suppressAutoHyphens/>
                <w:ind w:firstLine="567"/>
                <w:jc w:val="center"/>
                <w:rPr>
                  <w:rFonts w:eastAsia="Andale Sans UI" w:cs="Tahoma"/>
                  <w:szCs w:val="24"/>
                  <w:lang w:bidi="en-US"/>
                </w:rPr>
              </w:pPr>
            </w:p>
          </w:sdtContent>
        </w:sdt>
        <w:sdt>
          <w:sdtPr>
            <w:alias w:val="1 p."/>
            <w:tag w:val="part_7479917158644e759fed45b6ab0d380e"/>
            <w:lock w:val="sdtLocked"/>
            <w:richText/>
          </w:sdtPr>
          <w:sdtContent>
            <w:p>
              <w:pPr>
                <w:widowControl w:val="0"/>
                <w:suppressAutoHyphens/>
                <w:ind w:firstLine="567"/>
                <w:jc w:val="both"/>
                <w:rPr>
                  <w:rFonts w:eastAsia="Andale Sans UI" w:cs="Tahoma"/>
                  <w:szCs w:val="24"/>
                  <w:lang w:bidi="en-US"/>
                </w:rPr>
              </w:pPr>
              <w:sdt>
                <w:sdtPr>
                  <w:alias w:val="Numeris"/>
                  <w:tag w:val="nr_7479917158644e759fed45b6ab0d380e"/>
                  <w:lock w:val="sdtLocked"/>
                  <w:richText/>
                </w:sdtPr>
                <w:sdtContent>
                  <w:r>
                    <w:rPr>
                      <w:rFonts w:eastAsia="Andale Sans UI" w:cs="Tahoma"/>
                      <w:szCs w:val="24"/>
                      <w:lang w:bidi="en-US"/>
                    </w:rPr>
                    <w:t>1</w:t>
                  </w:r>
                </w:sdtContent>
              </w:sdt>
              <w:r>
                <w:rPr>
                  <w:rFonts w:eastAsia="Andale Sans UI" w:cs="Tahoma"/>
                  <w:szCs w:val="24"/>
                  <w:lang w:bidi="en-US"/>
                </w:rPr>
                <w:t>. Kultūros paveldo departamentas, centras@kpd.lt</w:t>
              </w:r>
            </w:p>
          </w:sdtContent>
        </w:sdt>
        <w:sdt>
          <w:sdtPr>
            <w:alias w:val="2 p."/>
            <w:tag w:val="part_e0da41f2eb79450c912665a092fb53ab"/>
            <w:lock w:val="sdtLocked"/>
            <w:richText/>
          </w:sdtPr>
          <w:sdtContent>
            <w:p>
              <w:pPr>
                <w:widowControl w:val="0"/>
                <w:suppressAutoHyphens/>
                <w:ind w:firstLine="567"/>
                <w:jc w:val="both"/>
                <w:rPr>
                  <w:rFonts w:eastAsia="Andale Sans UI" w:cs="Tahoma"/>
                  <w:szCs w:val="24"/>
                  <w:lang w:bidi="en-US"/>
                </w:rPr>
              </w:pPr>
              <w:sdt>
                <w:sdtPr>
                  <w:alias w:val="Numeris"/>
                  <w:tag w:val="nr_e0da41f2eb79450c912665a092fb53ab"/>
                  <w:lock w:val="sdtLocked"/>
                  <w:richText/>
                </w:sdtPr>
                <w:sdtContent>
                  <w:r>
                    <w:rPr>
                      <w:rFonts w:eastAsia="Andale Sans UI" w:cs="Tahoma"/>
                      <w:szCs w:val="24"/>
                      <w:lang w:bidi="en-US"/>
                    </w:rPr>
                    <w:t>2</w:t>
                  </w:r>
                </w:sdtContent>
              </w:sdt>
              <w:r>
                <w:rPr>
                  <w:rFonts w:eastAsia="Andale Sans UI" w:cs="Tahoma"/>
                  <w:szCs w:val="24"/>
                  <w:lang w:bidi="en-US"/>
                </w:rPr>
                <w:t xml:space="preserve">. Lietuvos nekilnojamojo turto plėtros asociacija, info@lntpa.lt </w:t>
              </w:r>
            </w:p>
          </w:sdtContent>
        </w:sdt>
        <w:sdt>
          <w:sdtPr>
            <w:alias w:val="3 p."/>
            <w:tag w:val="part_7f9fa5dbbe5b43539a91a07a392a40ef"/>
            <w:lock w:val="sdtLocked"/>
            <w:richText/>
          </w:sdtPr>
          <w:sdtContent>
            <w:p>
              <w:pPr>
                <w:widowControl w:val="0"/>
                <w:suppressAutoHyphens/>
                <w:ind w:firstLine="567"/>
                <w:jc w:val="both"/>
                <w:rPr>
                  <w:rFonts w:eastAsia="Andale Sans UI" w:cs="Tahoma"/>
                  <w:szCs w:val="24"/>
                  <w:lang w:bidi="en-US"/>
                </w:rPr>
              </w:pPr>
              <w:sdt>
                <w:sdtPr>
                  <w:alias w:val="Numeris"/>
                  <w:tag w:val="nr_7f9fa5dbbe5b43539a91a07a392a40ef"/>
                  <w:lock w:val="sdtLocked"/>
                  <w:richText/>
                </w:sdtPr>
                <w:sdtContent>
                  <w:r>
                    <w:rPr>
                      <w:rFonts w:eastAsia="Andale Sans UI" w:cs="Tahoma"/>
                      <w:szCs w:val="24"/>
                      <w:lang w:bidi="en-US"/>
                    </w:rPr>
                    <w:t>3</w:t>
                  </w:r>
                </w:sdtContent>
              </w:sdt>
              <w:r>
                <w:rPr>
                  <w:rFonts w:eastAsia="Andale Sans UI" w:cs="Tahoma"/>
                  <w:szCs w:val="24"/>
                  <w:lang w:bidi="en-US"/>
                </w:rPr>
                <w:t xml:space="preserve">. Lietuvos projektavimo įmonių asociacija, lpia@lacc.lt </w:t>
              </w:r>
            </w:p>
          </w:sdtContent>
        </w:sdt>
        <w:sdt>
          <w:sdtPr>
            <w:alias w:val="4 p."/>
            <w:tag w:val="part_91de5077084840b58f5576a318090bf9"/>
            <w:lock w:val="sdtLocked"/>
            <w:richText/>
          </w:sdtPr>
          <w:sdtContent>
            <w:p>
              <w:pPr>
                <w:widowControl w:val="0"/>
                <w:suppressAutoHyphens/>
                <w:ind w:firstLine="567"/>
                <w:jc w:val="both"/>
                <w:rPr>
                  <w:rFonts w:eastAsia="Andale Sans UI" w:cs="Tahoma"/>
                  <w:szCs w:val="24"/>
                  <w:lang w:bidi="en-US"/>
                </w:rPr>
              </w:pPr>
              <w:sdt>
                <w:sdtPr>
                  <w:alias w:val="Numeris"/>
                  <w:tag w:val="nr_91de5077084840b58f5576a318090bf9"/>
                  <w:lock w:val="sdtLocked"/>
                  <w:richText/>
                </w:sdtPr>
                <w:sdtContent>
                  <w:r>
                    <w:rPr>
                      <w:rFonts w:eastAsia="Andale Sans UI" w:cs="Tahoma"/>
                      <w:szCs w:val="24"/>
                      <w:lang w:bidi="en-US"/>
                    </w:rPr>
                    <w:t>4</w:t>
                  </w:r>
                </w:sdtContent>
              </w:sdt>
              <w:r>
                <w:rPr>
                  <w:rFonts w:eastAsia="Andale Sans UI" w:cs="Tahoma"/>
                  <w:szCs w:val="24"/>
                  <w:lang w:bidi="en-US"/>
                </w:rPr>
                <w:t xml:space="preserve">. Lietuvos savivaldybių asociacija, bendras@lsa.lt </w:t>
              </w:r>
            </w:p>
          </w:sdtContent>
        </w:sdt>
        <w:sdt>
          <w:sdtPr>
            <w:alias w:val="5 p."/>
            <w:tag w:val="part_4c18de8e5ede47a4ad353c54002e6931"/>
            <w:lock w:val="sdtLocked"/>
            <w:richText/>
          </w:sdtPr>
          <w:sdtContent>
            <w:p>
              <w:pPr>
                <w:widowControl w:val="0"/>
                <w:suppressAutoHyphens/>
                <w:ind w:firstLine="567"/>
                <w:jc w:val="both"/>
                <w:rPr>
                  <w:rFonts w:eastAsia="Andale Sans UI" w:cs="Tahoma"/>
                  <w:szCs w:val="24"/>
                  <w:lang w:bidi="en-US"/>
                </w:rPr>
              </w:pPr>
              <w:sdt>
                <w:sdtPr>
                  <w:alias w:val="Numeris"/>
                  <w:tag w:val="nr_4c18de8e5ede47a4ad353c54002e6931"/>
                  <w:lock w:val="sdtLocked"/>
                  <w:richText/>
                </w:sdtPr>
                <w:sdtContent>
                  <w:r>
                    <w:rPr>
                      <w:rFonts w:eastAsia="Andale Sans UI" w:cs="Tahoma"/>
                      <w:szCs w:val="24"/>
                      <w:lang w:bidi="en-US"/>
                    </w:rPr>
                    <w:t>5</w:t>
                  </w:r>
                </w:sdtContent>
              </w:sdt>
              <w:r>
                <w:rPr>
                  <w:rFonts w:eastAsia="Andale Sans UI" w:cs="Tahoma"/>
                  <w:szCs w:val="24"/>
                  <w:lang w:bidi="en-US"/>
                </w:rPr>
                <w:t xml:space="preserve">. Lietuvos statybininkų asociacija, info@statybininkai.lt. </w:t>
              </w:r>
            </w:p>
          </w:sdtContent>
        </w:sdt>
        <w:sdt>
          <w:sdtPr>
            <w:alias w:val="6 p."/>
            <w:tag w:val="part_ddbd1b29e52f4f49abfcb056d01fdfbc"/>
            <w:lock w:val="sdtLocked"/>
            <w:richText/>
          </w:sdtPr>
          <w:sdtContent>
            <w:p>
              <w:pPr>
                <w:widowControl w:val="0"/>
                <w:suppressAutoHyphens/>
                <w:ind w:firstLine="567"/>
                <w:jc w:val="both"/>
                <w:rPr>
                  <w:rFonts w:eastAsia="Andale Sans UI" w:cs="Tahoma"/>
                  <w:szCs w:val="24"/>
                  <w:lang w:bidi="en-US"/>
                </w:rPr>
              </w:pPr>
              <w:sdt>
                <w:sdtPr>
                  <w:alias w:val="Numeris"/>
                  <w:tag w:val="nr_ddbd1b29e52f4f49abfcb056d01fdfbc"/>
                  <w:lock w:val="sdtLocked"/>
                  <w:richText/>
                </w:sdtPr>
                <w:sdtContent>
                  <w:r>
                    <w:rPr>
                      <w:rFonts w:eastAsia="Andale Sans UI" w:cs="Tahoma"/>
                      <w:szCs w:val="24"/>
                      <w:lang w:bidi="en-US"/>
                    </w:rPr>
                    <w:t>6</w:t>
                  </w:r>
                </w:sdtContent>
              </w:sdt>
              <w:r>
                <w:rPr>
                  <w:rFonts w:eastAsia="Andale Sans UI" w:cs="Tahoma"/>
                  <w:szCs w:val="24"/>
                  <w:lang w:bidi="en-US"/>
                </w:rPr>
                <w:t xml:space="preserve">. Lietuvos statybos inžinierių sąjunga, lsis@lsis.lt </w:t>
              </w:r>
            </w:p>
          </w:sdtContent>
        </w:sdt>
        <w:sdt>
          <w:sdtPr>
            <w:alias w:val="7 p."/>
            <w:tag w:val="part_722708b2d7504efab991dd705dff44ce"/>
            <w:lock w:val="sdtLocked"/>
            <w:richText/>
          </w:sdtPr>
          <w:sdtContent>
            <w:p>
              <w:pPr>
                <w:widowControl w:val="0"/>
                <w:suppressAutoHyphens/>
                <w:ind w:firstLine="567"/>
                <w:jc w:val="both"/>
                <w:rPr>
                  <w:rFonts w:eastAsia="Andale Sans UI" w:cs="Tahoma"/>
                  <w:szCs w:val="24"/>
                  <w:lang w:bidi="en-US"/>
                </w:rPr>
              </w:pPr>
              <w:sdt>
                <w:sdtPr>
                  <w:alias w:val="Numeris"/>
                  <w:tag w:val="nr_722708b2d7504efab991dd705dff44ce"/>
                  <w:lock w:val="sdtLocked"/>
                  <w:richText/>
                </w:sdtPr>
                <w:sdtContent>
                  <w:r>
                    <w:rPr>
                      <w:rFonts w:eastAsia="Andale Sans UI" w:cs="Tahoma"/>
                      <w:szCs w:val="24"/>
                      <w:lang w:bidi="en-US"/>
                    </w:rPr>
                    <w:t>7</w:t>
                  </w:r>
                </w:sdtContent>
              </w:sdt>
              <w:r>
                <w:rPr>
                  <w:rFonts w:eastAsia="Andale Sans UI" w:cs="Tahoma"/>
                  <w:szCs w:val="24"/>
                  <w:lang w:bidi="en-US"/>
                </w:rPr>
                <w:t>. Nacionalinis visuomenės sveikatos centras prie Sveikatos apsaugos ministerijos, info@nvsc.lt</w:t>
              </w:r>
            </w:p>
          </w:sdtContent>
        </w:sdt>
        <w:sdt>
          <w:sdtPr>
            <w:alias w:val="8 p."/>
            <w:tag w:val="part_9026370d6a79469d86a40481e34a6fd4"/>
            <w:lock w:val="sdtLocked"/>
            <w:richText/>
          </w:sdtPr>
          <w:sdtContent>
            <w:p>
              <w:pPr>
                <w:widowControl w:val="0"/>
                <w:suppressAutoHyphens/>
                <w:ind w:firstLine="567"/>
                <w:jc w:val="both"/>
                <w:rPr>
                  <w:rFonts w:eastAsia="Andale Sans UI" w:cs="Tahoma"/>
                  <w:szCs w:val="24"/>
                  <w:lang w:bidi="en-US"/>
                </w:rPr>
              </w:pPr>
              <w:sdt>
                <w:sdtPr>
                  <w:alias w:val="Numeris"/>
                  <w:tag w:val="nr_9026370d6a79469d86a40481e34a6fd4"/>
                  <w:lock w:val="sdtLocked"/>
                  <w:richText/>
                </w:sdtPr>
                <w:sdtContent>
                  <w:r>
                    <w:rPr>
                      <w:rFonts w:eastAsia="Andale Sans UI" w:cs="Tahoma"/>
                      <w:szCs w:val="24"/>
                      <w:lang w:bidi="en-US"/>
                    </w:rPr>
                    <w:t>8</w:t>
                  </w:r>
                </w:sdtContent>
              </w:sdt>
              <w:r>
                <w:rPr>
                  <w:rFonts w:eastAsia="Andale Sans UI" w:cs="Tahoma"/>
                  <w:szCs w:val="24"/>
                  <w:lang w:bidi="en-US"/>
                </w:rPr>
                <w:t>. Ekonomikos ir inovacijų ministerija, kanc@eimin.lt</w:t>
              </w:r>
            </w:p>
          </w:sdtContent>
        </w:sdt>
        <w:sdt>
          <w:sdtPr>
            <w:alias w:val="9 p."/>
            <w:tag w:val="part_1e5c1b2d42ce4700b4536eb254e77465"/>
            <w:lock w:val="sdtLocked"/>
            <w:richText/>
          </w:sdtPr>
          <w:sdtContent>
            <w:p>
              <w:pPr>
                <w:widowControl w:val="0"/>
                <w:suppressAutoHyphens/>
                <w:ind w:firstLine="567"/>
                <w:jc w:val="both"/>
                <w:rPr>
                  <w:rFonts w:eastAsia="Andale Sans UI" w:cs="Tahoma"/>
                  <w:szCs w:val="24"/>
                  <w:lang w:bidi="en-US"/>
                </w:rPr>
              </w:pPr>
              <w:sdt>
                <w:sdtPr>
                  <w:alias w:val="Numeris"/>
                  <w:tag w:val="nr_1e5c1b2d42ce4700b4536eb254e77465"/>
                  <w:lock w:val="sdtLocked"/>
                  <w:richText/>
                </w:sdtPr>
                <w:sdtContent>
                  <w:r>
                    <w:rPr>
                      <w:rFonts w:eastAsia="Andale Sans UI" w:cs="Tahoma"/>
                      <w:szCs w:val="24"/>
                      <w:lang w:bidi="en-US"/>
                    </w:rPr>
                    <w:t>9</w:t>
                  </w:r>
                </w:sdtContent>
              </w:sdt>
              <w:r>
                <w:rPr>
                  <w:rFonts w:eastAsia="Andale Sans UI" w:cs="Tahoma"/>
                  <w:szCs w:val="24"/>
                  <w:lang w:bidi="en-US"/>
                </w:rPr>
                <w:t>. Projektų ekspertizės ir gaisro saugos įmonių asociacija, prezidentas@ekspertize.com</w:t>
              </w:r>
            </w:p>
          </w:sdtContent>
        </w:sdt>
        <w:sdt>
          <w:sdtPr>
            <w:alias w:val="10 p."/>
            <w:tag w:val="part_e1faabd10d4b4c6fb9a2026654b909b7"/>
            <w:lock w:val="sdtLocked"/>
            <w:richText/>
          </w:sdtPr>
          <w:sdtContent>
            <w:p>
              <w:pPr>
                <w:widowControl w:val="0"/>
                <w:suppressAutoHyphens/>
                <w:ind w:firstLine="567"/>
                <w:jc w:val="both"/>
                <w:rPr>
                  <w:rFonts w:eastAsia="Andale Sans UI" w:cs="Tahoma"/>
                  <w:szCs w:val="24"/>
                  <w:lang w:bidi="en-US"/>
                </w:rPr>
              </w:pPr>
              <w:sdt>
                <w:sdtPr>
                  <w:alias w:val="Numeris"/>
                  <w:tag w:val="nr_e1faabd10d4b4c6fb9a2026654b909b7"/>
                  <w:lock w:val="sdtLocked"/>
                  <w:richText/>
                </w:sdtPr>
                <w:sdtContent>
                  <w:r>
                    <w:rPr>
                      <w:rFonts w:eastAsia="Andale Sans UI" w:cs="Tahoma"/>
                      <w:szCs w:val="24"/>
                      <w:lang w:bidi="en-US"/>
                    </w:rPr>
                    <w:t>10</w:t>
                  </w:r>
                </w:sdtContent>
              </w:sdt>
              <w:r>
                <w:rPr>
                  <w:rFonts w:eastAsia="Andale Sans UI" w:cs="Tahoma"/>
                  <w:szCs w:val="24"/>
                  <w:lang w:bidi="en-US"/>
                </w:rPr>
                <w:t xml:space="preserve">. Energetikos ministerija, info@enmin.lt </w:t>
              </w:r>
            </w:p>
          </w:sdtContent>
        </w:sdt>
        <w:sdt>
          <w:sdtPr>
            <w:alias w:val="11 p."/>
            <w:tag w:val="part_27558de6c17a48daa7ad38ebdc825fb9"/>
            <w:lock w:val="sdtLocked"/>
            <w:richText/>
          </w:sdtPr>
          <w:sdtContent>
            <w:p>
              <w:pPr>
                <w:widowControl w:val="0"/>
                <w:suppressAutoHyphens/>
                <w:ind w:firstLine="567"/>
                <w:jc w:val="both"/>
                <w:rPr>
                  <w:rFonts w:eastAsia="Andale Sans UI" w:cs="Tahoma"/>
                  <w:szCs w:val="24"/>
                  <w:lang w:bidi="en-US"/>
                </w:rPr>
              </w:pPr>
              <w:sdt>
                <w:sdtPr>
                  <w:alias w:val="Numeris"/>
                  <w:tag w:val="nr_27558de6c17a48daa7ad38ebdc825fb9"/>
                  <w:lock w:val="sdtLocked"/>
                  <w:richText/>
                </w:sdtPr>
                <w:sdtContent>
                  <w:r>
                    <w:rPr>
                      <w:rFonts w:eastAsia="Andale Sans UI" w:cs="Tahoma"/>
                      <w:szCs w:val="24"/>
                      <w:lang w:bidi="en-US"/>
                    </w:rPr>
                    <w:t>11</w:t>
                  </w:r>
                </w:sdtContent>
              </w:sdt>
              <w:r>
                <w:rPr>
                  <w:rFonts w:eastAsia="Andale Sans UI" w:cs="Tahoma"/>
                  <w:szCs w:val="24"/>
                  <w:lang w:bidi="en-US"/>
                </w:rPr>
                <w:t>. Valstybinė teritorijų planavimo ir statybos inspekcija info@vtpsi.lt</w:t>
              </w:r>
            </w:p>
          </w:sdtContent>
        </w:sdt>
        <w:sdt>
          <w:sdtPr>
            <w:alias w:val="12 p."/>
            <w:tag w:val="part_8345fc9999d54beba0d704bf4d69e222"/>
            <w:lock w:val="sdtLocked"/>
            <w:richText/>
          </w:sdtPr>
          <w:sdtContent>
            <w:p>
              <w:pPr>
                <w:widowControl w:val="0"/>
                <w:suppressAutoHyphens/>
                <w:ind w:firstLine="567"/>
                <w:jc w:val="both"/>
                <w:rPr>
                  <w:rFonts w:eastAsia="Andale Sans UI" w:cs="Tahoma"/>
                  <w:szCs w:val="24"/>
                  <w:lang w:bidi="en-US"/>
                </w:rPr>
              </w:pPr>
              <w:sdt>
                <w:sdtPr>
                  <w:alias w:val="Numeris"/>
                  <w:tag w:val="nr_8345fc9999d54beba0d704bf4d69e222"/>
                  <w:lock w:val="sdtLocked"/>
                  <w:richText/>
                </w:sdtPr>
                <w:sdtContent>
                  <w:r>
                    <w:rPr>
                      <w:rFonts w:eastAsia="Andale Sans UI" w:cs="Tahoma"/>
                      <w:szCs w:val="24"/>
                      <w:lang w:bidi="en-US"/>
                    </w:rPr>
                    <w:t>12</w:t>
                  </w:r>
                </w:sdtContent>
              </w:sdt>
              <w:r>
                <w:rPr>
                  <w:rFonts w:eastAsia="Andale Sans UI" w:cs="Tahoma"/>
                  <w:szCs w:val="24"/>
                  <w:lang w:bidi="en-US"/>
                </w:rPr>
                <w:t>. Valstybinė saugomų teritorijų tarnyba vstt@vstt.lt</w:t>
              </w:r>
            </w:p>
          </w:sdtContent>
        </w:sdt>
        <w:sdt>
          <w:sdtPr>
            <w:alias w:val="13 p."/>
            <w:tag w:val="part_e5da9d073b72449ba00fb261ddf45b29"/>
            <w:lock w:val="sdtLocked"/>
            <w:richText/>
          </w:sdtPr>
          <w:sdtContent>
            <w:p>
              <w:pPr>
                <w:widowControl w:val="0"/>
                <w:suppressAutoHyphens/>
                <w:ind w:firstLine="567"/>
                <w:jc w:val="both"/>
                <w:rPr>
                  <w:rFonts w:eastAsia="Andale Sans UI" w:cs="Tahoma"/>
                  <w:szCs w:val="24"/>
                  <w:lang w:bidi="en-US"/>
                </w:rPr>
              </w:pPr>
              <w:sdt>
                <w:sdtPr>
                  <w:alias w:val="Numeris"/>
                  <w:tag w:val="nr_e5da9d073b72449ba00fb261ddf45b29"/>
                  <w:lock w:val="sdtLocked"/>
                  <w:richText/>
                </w:sdtPr>
                <w:sdtContent>
                  <w:r>
                    <w:rPr>
                      <w:rFonts w:eastAsia="Andale Sans UI" w:cs="Tahoma"/>
                      <w:szCs w:val="24"/>
                      <w:lang w:bidi="en-US"/>
                    </w:rPr>
                    <w:t>13</w:t>
                  </w:r>
                </w:sdtContent>
              </w:sdt>
              <w:r>
                <w:rPr>
                  <w:rFonts w:eastAsia="Andale Sans UI" w:cs="Tahoma"/>
                  <w:szCs w:val="24"/>
                  <w:lang w:bidi="en-US"/>
                </w:rPr>
                <w:t>. Priešgaisrinės apsaugos ir gelbėjimo departamentas prie Vidaus reikalų ministerijos pagd@vpgt.lt</w:t>
              </w:r>
            </w:p>
          </w:sdtContent>
        </w:sdt>
        <w:sdt>
          <w:sdtPr>
            <w:alias w:val="14 p."/>
            <w:tag w:val="part_74d6cfec92a1480eb309857ee12554aa"/>
            <w:lock w:val="sdtLocked"/>
            <w:richText/>
          </w:sdtPr>
          <w:sdtContent>
            <w:p>
              <w:pPr>
                <w:widowControl w:val="0"/>
                <w:suppressAutoHyphens/>
                <w:ind w:firstLine="567"/>
                <w:jc w:val="both"/>
                <w:rPr>
                  <w:rFonts w:eastAsia="Andale Sans UI" w:cs="Tahoma"/>
                  <w:szCs w:val="24"/>
                  <w:lang w:bidi="en-US"/>
                </w:rPr>
              </w:pPr>
              <w:sdt>
                <w:sdtPr>
                  <w:alias w:val="Numeris"/>
                  <w:tag w:val="nr_74d6cfec92a1480eb309857ee12554aa"/>
                  <w:lock w:val="sdtLocked"/>
                  <w:richText/>
                </w:sdtPr>
                <w:sdtContent>
                  <w:r>
                    <w:rPr>
                      <w:rFonts w:eastAsia="Andale Sans UI" w:cs="Tahoma"/>
                      <w:szCs w:val="24"/>
                      <w:lang w:bidi="en-US"/>
                    </w:rPr>
                    <w:t>14</w:t>
                  </w:r>
                </w:sdtContent>
              </w:sdt>
              <w:r>
                <w:rPr>
                  <w:rFonts w:eastAsia="Andale Sans UI" w:cs="Tahoma"/>
                  <w:szCs w:val="24"/>
                  <w:lang w:bidi="en-US"/>
                </w:rPr>
                <w:t>. Vį Registrų centras info@registrucentras.lt</w:t>
              </w:r>
            </w:p>
          </w:sdtContent>
        </w:sdt>
        <w:sdt>
          <w:sdtPr>
            <w:alias w:val="15 p."/>
            <w:tag w:val="part_f7be639e08c549fbba890a85b3066422"/>
            <w:lock w:val="sdtLocked"/>
            <w:richText/>
          </w:sdtPr>
          <w:sdtContent>
            <w:p>
              <w:pPr>
                <w:widowControl w:val="0"/>
                <w:suppressAutoHyphens/>
                <w:ind w:firstLine="567"/>
                <w:jc w:val="both"/>
                <w:rPr>
                  <w:rFonts w:eastAsia="Andale Sans UI" w:cs="Tahoma"/>
                  <w:szCs w:val="24"/>
                  <w:lang w:bidi="en-US"/>
                </w:rPr>
              </w:pPr>
              <w:sdt>
                <w:sdtPr>
                  <w:alias w:val="Numeris"/>
                  <w:tag w:val="nr_f7be639e08c549fbba890a85b3066422"/>
                  <w:lock w:val="sdtLocked"/>
                  <w:richText/>
                </w:sdtPr>
                <w:sdtContent>
                  <w:r>
                    <w:rPr>
                      <w:rFonts w:eastAsia="Andale Sans UI" w:cs="Tahoma"/>
                      <w:szCs w:val="24"/>
                      <w:lang w:bidi="en-US"/>
                    </w:rPr>
                    <w:t>15</w:t>
                  </w:r>
                </w:sdtContent>
              </w:sdt>
              <w:r>
                <w:rPr>
                  <w:rFonts w:eastAsia="Andale Sans UI" w:cs="Tahoma"/>
                  <w:szCs w:val="24"/>
                  <w:lang w:bidi="en-US"/>
                </w:rPr>
                <w:t xml:space="preserve">. Kultūros ministerija, </w:t>
              </w:r>
              <w:r>
                <w:rPr>
                  <w:rFonts w:eastAsia="Andale Sans UI" w:cs="Tahoma"/>
                  <w:color w:val="000080"/>
                  <w:szCs w:val="24"/>
                  <w:u w:val="single"/>
                  <w:lang w:bidi="en-US"/>
                </w:rPr>
                <w:t>dmm@lrkm.lt</w:t>
              </w:r>
            </w:p>
          </w:sdtContent>
        </w:sdt>
        <w:sdt>
          <w:sdtPr>
            <w:alias w:val="16 p."/>
            <w:tag w:val="part_31489889c09748cfb2d8622958dbdf6b"/>
            <w:lock w:val="sdtLocked"/>
            <w:richText/>
          </w:sdtPr>
          <w:sdtContent>
            <w:p>
              <w:pPr>
                <w:widowControl w:val="0"/>
                <w:suppressAutoHyphens/>
                <w:ind w:firstLine="567"/>
                <w:jc w:val="both"/>
                <w:rPr>
                  <w:rFonts w:eastAsia="Andale Sans UI" w:cs="Tahoma"/>
                  <w:szCs w:val="24"/>
                  <w:lang w:bidi="en-US"/>
                </w:rPr>
              </w:pPr>
              <w:sdt>
                <w:sdtPr>
                  <w:alias w:val="Numeris"/>
                  <w:tag w:val="nr_31489889c09748cfb2d8622958dbdf6b"/>
                  <w:lock w:val="sdtLocked"/>
                  <w:richText/>
                </w:sdtPr>
                <w:sdtContent>
                  <w:r>
                    <w:rPr>
                      <w:rFonts w:eastAsia="Andale Sans UI" w:cs="Tahoma"/>
                      <w:szCs w:val="24"/>
                      <w:lang w:bidi="en-US"/>
                    </w:rPr>
                    <w:t>16</w:t>
                  </w:r>
                </w:sdtContent>
              </w:sdt>
              <w:r>
                <w:rPr>
                  <w:rFonts w:eastAsia="Andale Sans UI" w:cs="Tahoma"/>
                  <w:szCs w:val="24"/>
                  <w:lang w:bidi="en-US"/>
                </w:rPr>
                <w:t xml:space="preserve">. Aplinkos apsaugos agentūra, </w:t>
              </w:r>
              <w:r>
                <w:rPr>
                  <w:rFonts w:eastAsia="Andale Sans UI" w:cs="Tahoma"/>
                  <w:color w:val="000080"/>
                  <w:szCs w:val="24"/>
                  <w:u w:val="single"/>
                  <w:lang w:bidi="en-US"/>
                </w:rPr>
                <w:t>aaa@gamta.lt</w:t>
              </w:r>
            </w:p>
          </w:sdtContent>
        </w:sdt>
        <w:sdt>
          <w:sdtPr>
            <w:alias w:val="17 p."/>
            <w:tag w:val="part_36c81feb522c4200b5779ea9f9d5a03d"/>
            <w:lock w:val="sdtLocked"/>
            <w:richText/>
          </w:sdtPr>
          <w:sdtContent>
            <w:p>
              <w:pPr>
                <w:widowControl w:val="0"/>
                <w:suppressAutoHyphens/>
                <w:ind w:firstLine="567"/>
                <w:jc w:val="both"/>
                <w:rPr>
                  <w:rFonts w:eastAsia="Andale Sans UI" w:cs="Tahoma"/>
                  <w:szCs w:val="24"/>
                  <w:lang w:bidi="en-US"/>
                </w:rPr>
              </w:pPr>
              <w:sdt>
                <w:sdtPr>
                  <w:alias w:val="Numeris"/>
                  <w:tag w:val="nr_36c81feb522c4200b5779ea9f9d5a03d"/>
                  <w:lock w:val="sdtLocked"/>
                  <w:richText/>
                </w:sdtPr>
                <w:sdtContent>
                  <w:r>
                    <w:rPr>
                      <w:rFonts w:eastAsia="Andale Sans UI" w:cs="Tahoma"/>
                      <w:szCs w:val="24"/>
                      <w:lang w:bidi="en-US"/>
                    </w:rPr>
                    <w:t>17</w:t>
                  </w:r>
                </w:sdtContent>
              </w:sdt>
              <w:r>
                <w:rPr>
                  <w:rFonts w:eastAsia="Andale Sans UI" w:cs="Tahoma"/>
                  <w:szCs w:val="24"/>
                  <w:lang w:bidi="en-US"/>
                </w:rPr>
                <w:t xml:space="preserve">. Susisiekimo ministerija, </w:t>
              </w:r>
              <w:r>
                <w:rPr>
                  <w:rFonts w:eastAsia="Andale Sans UI" w:cs="Tahoma"/>
                  <w:color w:val="000080"/>
                  <w:szCs w:val="24"/>
                  <w:u w:val="single"/>
                  <w:lang w:bidi="en-US"/>
                </w:rPr>
                <w:t>sumin@sumin.lt</w:t>
              </w:r>
            </w:p>
          </w:sdtContent>
        </w:sdt>
        <w:sdt>
          <w:sdtPr>
            <w:alias w:val="18 p."/>
            <w:tag w:val="part_dae5f301fbcd4bb89800b2d59fcb0389"/>
            <w:lock w:val="sdtLocked"/>
            <w:richText/>
          </w:sdtPr>
          <w:sdtContent>
            <w:p>
              <w:pPr>
                <w:widowControl w:val="0"/>
                <w:suppressAutoHyphens/>
                <w:ind w:firstLine="567"/>
                <w:jc w:val="both"/>
                <w:rPr>
                  <w:rFonts w:eastAsia="Andale Sans UI" w:cs="Tahoma"/>
                  <w:szCs w:val="24"/>
                  <w:lang w:bidi="en-US"/>
                </w:rPr>
              </w:pPr>
              <w:sdt>
                <w:sdtPr>
                  <w:alias w:val="Numeris"/>
                  <w:tag w:val="nr_dae5f301fbcd4bb89800b2d59fcb0389"/>
                  <w:lock w:val="sdtLocked"/>
                  <w:richText/>
                </w:sdtPr>
                <w:sdtContent>
                  <w:r>
                    <w:rPr>
                      <w:rFonts w:eastAsia="Andale Sans UI" w:cs="Tahoma"/>
                      <w:szCs w:val="24"/>
                      <w:lang w:bidi="en-US"/>
                    </w:rPr>
                    <w:t>18</w:t>
                  </w:r>
                </w:sdtContent>
              </w:sdt>
              <w:r>
                <w:rPr>
                  <w:rFonts w:eastAsia="Andale Sans UI" w:cs="Tahoma"/>
                  <w:szCs w:val="24"/>
                  <w:lang w:bidi="en-US"/>
                </w:rPr>
                <w:t xml:space="preserve">. Socialinės apsaugos ir darbo ministerija, </w:t>
              </w:r>
              <w:r>
                <w:rPr>
                  <w:rFonts w:eastAsia="Andale Sans UI" w:cs="Tahoma"/>
                  <w:color w:val="000080"/>
                  <w:szCs w:val="24"/>
                  <w:u w:val="single"/>
                  <w:lang w:bidi="en-US"/>
                </w:rPr>
                <w:t>post@socmin.lt</w:t>
              </w:r>
            </w:p>
          </w:sdtContent>
        </w:sdt>
        <w:sdt>
          <w:sdtPr>
            <w:alias w:val="19 p."/>
            <w:tag w:val="part_cb165b73c6314b56be86b924f666bdca"/>
            <w:lock w:val="sdtLocked"/>
            <w:richText/>
          </w:sdtPr>
          <w:sdtContent>
            <w:p>
              <w:pPr>
                <w:widowControl w:val="0"/>
                <w:suppressAutoHyphens/>
                <w:ind w:firstLine="567"/>
                <w:jc w:val="both"/>
                <w:rPr>
                  <w:rFonts w:eastAsia="Andale Sans UI" w:cs="Tahoma"/>
                  <w:szCs w:val="24"/>
                  <w:lang w:val="en-US" w:bidi="en-US"/>
                </w:rPr>
              </w:pPr>
              <w:sdt>
                <w:sdtPr>
                  <w:alias w:val="Numeris"/>
                  <w:tag w:val="nr_cb165b73c6314b56be86b924f666bdca"/>
                  <w:lock w:val="sdtLocked"/>
                  <w:richText/>
                </w:sdtPr>
                <w:sdtContent>
                  <w:r>
                    <w:rPr>
                      <w:rFonts w:eastAsia="Andale Sans UI" w:cs="Tahoma"/>
                      <w:szCs w:val="24"/>
                      <w:lang w:bidi="en-US"/>
                    </w:rPr>
                    <w:t>19</w:t>
                  </w:r>
                </w:sdtContent>
              </w:sdt>
              <w:r>
                <w:rPr>
                  <w:rFonts w:eastAsia="Andale Sans UI" w:cs="Tahoma"/>
                  <w:szCs w:val="24"/>
                  <w:lang w:bidi="en-US"/>
                </w:rPr>
                <w:t xml:space="preserve">. Lietuvos Respublikos specialiųjų tyrimų tarnyba, </w:t>
              </w:r>
              <w:r>
                <w:rPr>
                  <w:rFonts w:eastAsia="Andale Sans UI" w:cs="Tahoma"/>
                  <w:color w:val="000080"/>
                  <w:szCs w:val="24"/>
                  <w:u w:val="single"/>
                  <w:lang w:bidi="en-US"/>
                </w:rPr>
                <w:t>dokumentai</w:t>
              </w:r>
              <w:r>
                <w:rPr>
                  <w:rFonts w:eastAsia="Andale Sans UI" w:cs="Tahoma"/>
                  <w:color w:val="000080"/>
                  <w:szCs w:val="24"/>
                  <w:u w:val="single"/>
                  <w:lang w:val="en-US" w:bidi="en-US"/>
                </w:rPr>
                <w:t>@stt.lt</w:t>
              </w:r>
            </w:p>
            <w:p>
              <w:pPr>
                <w:widowControl w:val="0"/>
                <w:suppressAutoHyphens/>
                <w:ind w:firstLine="567"/>
                <w:jc w:val="both"/>
                <w:rPr>
                  <w:rFonts w:eastAsia="Andale Sans UI" w:cs="Tahoma"/>
                  <w:szCs w:val="24"/>
                  <w:lang w:val="en-US" w:bidi="en-US"/>
                </w:rPr>
              </w:pPr>
            </w:p>
            <w:p>
              <w:pPr>
                <w:jc w:val="both"/>
                <w:rPr>
                  <w:rFonts w:eastAsia="Andale Sans UI" w:cs="Tahoma"/>
                  <w:szCs w:val="24"/>
                  <w:lang w:bidi="en-US"/>
                </w:rPr>
              </w:pPr>
            </w:p>
            <w:tbl>
              <w:tblPr>
                <w:tblW w:w="9631" w:type="dxa"/>
                <w:tblInd w:w="8" w:type="dxa"/>
                <w:tblLayout w:type="fixed"/>
                <w:tblCellMar>
                  <w:left w:w="0" w:type="dxa"/>
                  <w:right w:w="0" w:type="dxa"/>
                </w:tblCellMar>
                <w:tblLook w:val="0000" w:firstRow="0" w:lastRow="0" w:firstColumn="0" w:lastColumn="0" w:noHBand="0" w:noVBand="0"/>
              </w:tblPr>
              <w:tblGrid>
                <w:gridCol w:w="4817"/>
                <w:gridCol w:w="4814"/>
              </w:tblGrid>
              <w:tr>
                <w:trPr>
                  <w:trHeight w:val="340"/>
                </w:trPr>
                <w:tc>
                  <w:tcPr>
                    <w:tcW w:w="4817" w:type="dxa"/>
                    <w:vAlign w:val="bottom"/>
                  </w:tcPr>
                  <w:p>
                    <w:pPr>
                      <w:suppressLineNumbers/>
                      <w:jc w:val="both"/>
                      <w:rPr>
                        <w:rFonts w:eastAsia="Andale Sans UI" w:cs="Tahoma"/>
                        <w:szCs w:val="24"/>
                        <w:lang w:bidi="en-US"/>
                      </w:rPr>
                    </w:pPr>
                  </w:p>
                </w:tc>
                <w:tc>
                  <w:tcPr>
                    <w:tcW w:w="4814" w:type="dxa"/>
                    <w:vAlign w:val="bottom"/>
                  </w:tcPr>
                  <w:p>
                    <w:pPr>
                      <w:ind w:right="34"/>
                      <w:jc w:val="right"/>
                      <w:rPr>
                        <w:rFonts w:eastAsia="Andale Sans UI" w:cs="Tahoma"/>
                        <w:szCs w:val="24"/>
                        <w:lang w:bidi="en-US"/>
                      </w:rPr>
                    </w:pPr>
                  </w:p>
                </w:tc>
              </w:tr>
              <w:tr>
                <w:trPr>
                  <w:trHeight w:val="340"/>
                </w:trPr>
                <w:tc>
                  <w:tcPr>
                    <w:tcW w:w="4817" w:type="dxa"/>
                    <w:vAlign w:val="bottom"/>
                  </w:tcPr>
                  <w:p>
                    <w:pPr>
                      <w:suppressLineNumbers/>
                      <w:jc w:val="both"/>
                      <w:rPr>
                        <w:rFonts w:eastAsia="Andale Sans UI" w:cs="Tahoma"/>
                        <w:szCs w:val="24"/>
                        <w:lang w:bidi="en-US"/>
                      </w:rPr>
                    </w:pPr>
                  </w:p>
                </w:tc>
                <w:tc>
                  <w:tcPr>
                    <w:tcW w:w="4814" w:type="dxa"/>
                    <w:vAlign w:val="bottom"/>
                  </w:tcPr>
                  <w:p>
                    <w:pPr>
                      <w:ind w:right="34"/>
                      <w:jc w:val="right"/>
                      <w:rPr>
                        <w:rFonts w:eastAsia="Andale Sans UI" w:cs="Tahoma"/>
                        <w:szCs w:val="24"/>
                        <w:lang w:bidi="en-US"/>
                      </w:rPr>
                    </w:pPr>
                  </w:p>
                </w:tc>
              </w:tr>
            </w:tbl>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ind w:left="720"/>
                <w:jc w:val="both"/>
                <w:rPr>
                  <w:rFonts w:eastAsia="Andale Sans UI" w:cs="Tahoma"/>
                  <w:szCs w:val="24"/>
                  <w:lang w:bidi="en-US"/>
                </w:rPr>
              </w:pPr>
            </w:p>
          </w:sdtContent>
        </w:sdt>
      </w:sdtContent>
    </w:sdt>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mbria"/>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61441"/>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2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6190738">
      <w:bodyDiv w:val="1"/>
      <w:marLeft w:val="0"/>
      <w:marRight w:val="0"/>
      <w:marTop w:val="0"/>
      <w:marBottom w:val="0"/>
      <w:divBdr>
        <w:top w:val="none" w:sz="0" w:space="0" w:color="auto"/>
        <w:left w:val="none" w:sz="0" w:space="0" w:color="auto"/>
        <w:bottom w:val="none" w:sz="0" w:space="0" w:color="auto"/>
        <w:right w:val="none" w:sz="0" w:space="0" w:color="auto"/>
      </w:divBdr>
      <w:divsChild>
        <w:div w:id="632179457">
          <w:marLeft w:val="0"/>
          <w:marRight w:val="0"/>
          <w:marTop w:val="0"/>
          <w:marBottom w:val="0"/>
          <w:divBdr>
            <w:top w:val="none" w:sz="0" w:space="0" w:color="auto"/>
            <w:left w:val="none" w:sz="0" w:space="0" w:color="auto"/>
            <w:bottom w:val="none" w:sz="0" w:space="0" w:color="auto"/>
            <w:right w:val="none" w:sz="0" w:space="0" w:color="auto"/>
          </w:divBdr>
          <w:divsChild>
            <w:div w:id="235631298">
              <w:marLeft w:val="0"/>
              <w:marRight w:val="0"/>
              <w:marTop w:val="30"/>
              <w:marBottom w:val="30"/>
              <w:divBdr>
                <w:top w:val="none" w:sz="0" w:space="0" w:color="auto"/>
                <w:left w:val="none" w:sz="0" w:space="0" w:color="auto"/>
                <w:bottom w:val="none" w:sz="0" w:space="0" w:color="auto"/>
                <w:right w:val="none" w:sz="0" w:space="0" w:color="auto"/>
              </w:divBdr>
              <w:divsChild>
                <w:div w:id="1025863809">
                  <w:marLeft w:val="0"/>
                  <w:marRight w:val="0"/>
                  <w:marTop w:val="0"/>
                  <w:marBottom w:val="0"/>
                  <w:divBdr>
                    <w:top w:val="none" w:sz="0" w:space="0" w:color="auto"/>
                    <w:left w:val="none" w:sz="0" w:space="0" w:color="auto"/>
                    <w:bottom w:val="none" w:sz="0" w:space="0" w:color="auto"/>
                    <w:right w:val="none" w:sz="0" w:space="0" w:color="auto"/>
                  </w:divBdr>
                  <w:divsChild>
                    <w:div w:id="1407190652">
                      <w:marLeft w:val="0"/>
                      <w:marRight w:val="0"/>
                      <w:marTop w:val="0"/>
                      <w:marBottom w:val="0"/>
                      <w:divBdr>
                        <w:top w:val="none" w:sz="0" w:space="0" w:color="auto"/>
                        <w:left w:val="none" w:sz="0" w:space="0" w:color="auto"/>
                        <w:bottom w:val="none" w:sz="0" w:space="0" w:color="auto"/>
                        <w:right w:val="none" w:sz="0" w:space="0" w:color="auto"/>
                      </w:divBdr>
                    </w:div>
                  </w:divsChild>
                </w:div>
                <w:div w:id="1447776682">
                  <w:marLeft w:val="0"/>
                  <w:marRight w:val="0"/>
                  <w:marTop w:val="0"/>
                  <w:marBottom w:val="0"/>
                  <w:divBdr>
                    <w:top w:val="none" w:sz="0" w:space="0" w:color="auto"/>
                    <w:left w:val="none" w:sz="0" w:space="0" w:color="auto"/>
                    <w:bottom w:val="none" w:sz="0" w:space="0" w:color="auto"/>
                    <w:right w:val="none" w:sz="0" w:space="0" w:color="auto"/>
                  </w:divBdr>
                  <w:divsChild>
                    <w:div w:id="85658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46756">
          <w:marLeft w:val="0"/>
          <w:marRight w:val="0"/>
          <w:marTop w:val="0"/>
          <w:marBottom w:val="0"/>
          <w:divBdr>
            <w:top w:val="none" w:sz="0" w:space="0" w:color="auto"/>
            <w:left w:val="none" w:sz="0" w:space="0" w:color="auto"/>
            <w:bottom w:val="none" w:sz="0" w:space="0" w:color="auto"/>
            <w:right w:val="none" w:sz="0" w:space="0" w:color="auto"/>
          </w:divBdr>
        </w:div>
        <w:div w:id="1464538059">
          <w:marLeft w:val="0"/>
          <w:marRight w:val="0"/>
          <w:marTop w:val="0"/>
          <w:marBottom w:val="0"/>
          <w:divBdr>
            <w:top w:val="none" w:sz="0" w:space="0" w:color="auto"/>
            <w:left w:val="none" w:sz="0" w:space="0" w:color="auto"/>
            <w:bottom w:val="none" w:sz="0" w:space="0" w:color="auto"/>
            <w:right w:val="none" w:sz="0" w:space="0" w:color="auto"/>
          </w:divBdr>
        </w:div>
        <w:div w:id="1901019860">
          <w:marLeft w:val="0"/>
          <w:marRight w:val="0"/>
          <w:marTop w:val="0"/>
          <w:marBottom w:val="0"/>
          <w:divBdr>
            <w:top w:val="none" w:sz="0" w:space="0" w:color="auto"/>
            <w:left w:val="none" w:sz="0" w:space="0" w:color="auto"/>
            <w:bottom w:val="none" w:sz="0" w:space="0" w:color="auto"/>
            <w:right w:val="none" w:sz="0" w:space="0" w:color="auto"/>
          </w:divBdr>
        </w:div>
        <w:div w:id="1433933387">
          <w:marLeft w:val="0"/>
          <w:marRight w:val="0"/>
          <w:marTop w:val="0"/>
          <w:marBottom w:val="0"/>
          <w:divBdr>
            <w:top w:val="none" w:sz="0" w:space="0" w:color="auto"/>
            <w:left w:val="none" w:sz="0" w:space="0" w:color="auto"/>
            <w:bottom w:val="none" w:sz="0" w:space="0" w:color="auto"/>
            <w:right w:val="none" w:sz="0" w:space="0" w:color="auto"/>
          </w:divBdr>
        </w:div>
        <w:div w:id="952592415">
          <w:marLeft w:val="0"/>
          <w:marRight w:val="0"/>
          <w:marTop w:val="0"/>
          <w:marBottom w:val="0"/>
          <w:divBdr>
            <w:top w:val="none" w:sz="0" w:space="0" w:color="auto"/>
            <w:left w:val="none" w:sz="0" w:space="0" w:color="auto"/>
            <w:bottom w:val="none" w:sz="0" w:space="0" w:color="auto"/>
            <w:right w:val="none" w:sz="0" w:space="0" w:color="auto"/>
          </w:divBdr>
        </w:div>
        <w:div w:id="554393146">
          <w:marLeft w:val="0"/>
          <w:marRight w:val="0"/>
          <w:marTop w:val="0"/>
          <w:marBottom w:val="0"/>
          <w:divBdr>
            <w:top w:val="none" w:sz="0" w:space="0" w:color="auto"/>
            <w:left w:val="none" w:sz="0" w:space="0" w:color="auto"/>
            <w:bottom w:val="none" w:sz="0" w:space="0" w:color="auto"/>
            <w:right w:val="none" w:sz="0" w:space="0" w:color="auto"/>
          </w:divBdr>
        </w:div>
        <w:div w:id="1842968921">
          <w:marLeft w:val="0"/>
          <w:marRight w:val="0"/>
          <w:marTop w:val="0"/>
          <w:marBottom w:val="0"/>
          <w:divBdr>
            <w:top w:val="none" w:sz="0" w:space="0" w:color="auto"/>
            <w:left w:val="none" w:sz="0" w:space="0" w:color="auto"/>
            <w:bottom w:val="none" w:sz="0" w:space="0" w:color="auto"/>
            <w:right w:val="none" w:sz="0" w:space="0" w:color="auto"/>
          </w:divBdr>
        </w:div>
        <w:div w:id="21561992">
          <w:marLeft w:val="0"/>
          <w:marRight w:val="0"/>
          <w:marTop w:val="0"/>
          <w:marBottom w:val="0"/>
          <w:divBdr>
            <w:top w:val="none" w:sz="0" w:space="0" w:color="auto"/>
            <w:left w:val="none" w:sz="0" w:space="0" w:color="auto"/>
            <w:bottom w:val="none" w:sz="0" w:space="0" w:color="auto"/>
            <w:right w:val="none" w:sz="0" w:space="0" w:color="auto"/>
          </w:divBdr>
        </w:div>
        <w:div w:id="923564607">
          <w:marLeft w:val="0"/>
          <w:marRight w:val="0"/>
          <w:marTop w:val="0"/>
          <w:marBottom w:val="0"/>
          <w:divBdr>
            <w:top w:val="none" w:sz="0" w:space="0" w:color="auto"/>
            <w:left w:val="none" w:sz="0" w:space="0" w:color="auto"/>
            <w:bottom w:val="none" w:sz="0" w:space="0" w:color="auto"/>
            <w:right w:val="none" w:sz="0" w:space="0" w:color="auto"/>
          </w:divBdr>
        </w:div>
        <w:div w:id="1952472444">
          <w:marLeft w:val="0"/>
          <w:marRight w:val="0"/>
          <w:marTop w:val="0"/>
          <w:marBottom w:val="0"/>
          <w:divBdr>
            <w:top w:val="none" w:sz="0" w:space="0" w:color="auto"/>
            <w:left w:val="none" w:sz="0" w:space="0" w:color="auto"/>
            <w:bottom w:val="none" w:sz="0" w:space="0" w:color="auto"/>
            <w:right w:val="none" w:sz="0" w:space="0" w:color="auto"/>
          </w:divBdr>
        </w:div>
        <w:div w:id="2074421830">
          <w:marLeft w:val="0"/>
          <w:marRight w:val="0"/>
          <w:marTop w:val="0"/>
          <w:marBottom w:val="0"/>
          <w:divBdr>
            <w:top w:val="none" w:sz="0" w:space="0" w:color="auto"/>
            <w:left w:val="none" w:sz="0" w:space="0" w:color="auto"/>
            <w:bottom w:val="none" w:sz="0" w:space="0" w:color="auto"/>
            <w:right w:val="none" w:sz="0" w:space="0" w:color="auto"/>
          </w:divBdr>
        </w:div>
        <w:div w:id="1383867403">
          <w:marLeft w:val="0"/>
          <w:marRight w:val="0"/>
          <w:marTop w:val="0"/>
          <w:marBottom w:val="0"/>
          <w:divBdr>
            <w:top w:val="none" w:sz="0" w:space="0" w:color="auto"/>
            <w:left w:val="none" w:sz="0" w:space="0" w:color="auto"/>
            <w:bottom w:val="none" w:sz="0" w:space="0" w:color="auto"/>
            <w:right w:val="none" w:sz="0" w:space="0" w:color="auto"/>
          </w:divBdr>
        </w:div>
        <w:div w:id="1322655923">
          <w:marLeft w:val="0"/>
          <w:marRight w:val="0"/>
          <w:marTop w:val="0"/>
          <w:marBottom w:val="0"/>
          <w:divBdr>
            <w:top w:val="none" w:sz="0" w:space="0" w:color="auto"/>
            <w:left w:val="none" w:sz="0" w:space="0" w:color="auto"/>
            <w:bottom w:val="none" w:sz="0" w:space="0" w:color="auto"/>
            <w:right w:val="none" w:sz="0" w:space="0" w:color="auto"/>
          </w:divBdr>
        </w:div>
        <w:div w:id="1965237058">
          <w:marLeft w:val="0"/>
          <w:marRight w:val="0"/>
          <w:marTop w:val="0"/>
          <w:marBottom w:val="0"/>
          <w:divBdr>
            <w:top w:val="none" w:sz="0" w:space="0" w:color="auto"/>
            <w:left w:val="none" w:sz="0" w:space="0" w:color="auto"/>
            <w:bottom w:val="none" w:sz="0" w:space="0" w:color="auto"/>
            <w:right w:val="none" w:sz="0" w:space="0" w:color="auto"/>
          </w:divBdr>
        </w:div>
      </w:divsChild>
    </w:div>
    <w:div w:id="528494746">
      <w:bodyDiv w:val="1"/>
      <w:marLeft w:val="0"/>
      <w:marRight w:val="0"/>
      <w:marTop w:val="0"/>
      <w:marBottom w:val="0"/>
      <w:divBdr>
        <w:top w:val="none" w:sz="0" w:space="0" w:color="auto"/>
        <w:left w:val="none" w:sz="0" w:space="0" w:color="auto"/>
        <w:bottom w:val="none" w:sz="0" w:space="0" w:color="auto"/>
        <w:right w:val="none" w:sz="0" w:space="0" w:color="auto"/>
      </w:divBdr>
      <w:divsChild>
        <w:div w:id="1903252911">
          <w:marLeft w:val="864"/>
          <w:marRight w:val="0"/>
          <w:marTop w:val="0"/>
          <w:marBottom w:val="0"/>
          <w:divBdr>
            <w:top w:val="none" w:sz="0" w:space="0" w:color="auto"/>
            <w:left w:val="none" w:sz="0" w:space="0" w:color="auto"/>
            <w:bottom w:val="none" w:sz="0" w:space="0" w:color="auto"/>
            <w:right w:val="none" w:sz="0" w:space="0" w:color="auto"/>
          </w:divBdr>
        </w:div>
        <w:div w:id="266432439">
          <w:marLeft w:val="864"/>
          <w:marRight w:val="0"/>
          <w:marTop w:val="0"/>
          <w:marBottom w:val="0"/>
          <w:divBdr>
            <w:top w:val="none" w:sz="0" w:space="0" w:color="auto"/>
            <w:left w:val="none" w:sz="0" w:space="0" w:color="auto"/>
            <w:bottom w:val="none" w:sz="0" w:space="0" w:color="auto"/>
            <w:right w:val="none" w:sz="0" w:space="0" w:color="auto"/>
          </w:divBdr>
        </w:div>
        <w:div w:id="2099670643">
          <w:marLeft w:val="864"/>
          <w:marRight w:val="0"/>
          <w:marTop w:val="0"/>
          <w:marBottom w:val="0"/>
          <w:divBdr>
            <w:top w:val="none" w:sz="0" w:space="0" w:color="auto"/>
            <w:left w:val="none" w:sz="0" w:space="0" w:color="auto"/>
            <w:bottom w:val="none" w:sz="0" w:space="0" w:color="auto"/>
            <w:right w:val="none" w:sz="0" w:space="0" w:color="auto"/>
          </w:divBdr>
        </w:div>
        <w:div w:id="882058982">
          <w:marLeft w:val="864"/>
          <w:marRight w:val="0"/>
          <w:marTop w:val="0"/>
          <w:marBottom w:val="0"/>
          <w:divBdr>
            <w:top w:val="none" w:sz="0" w:space="0" w:color="auto"/>
            <w:left w:val="none" w:sz="0" w:space="0" w:color="auto"/>
            <w:bottom w:val="none" w:sz="0" w:space="0" w:color="auto"/>
            <w:right w:val="none" w:sz="0" w:space="0" w:color="auto"/>
          </w:divBdr>
        </w:div>
        <w:div w:id="544215977">
          <w:marLeft w:val="864"/>
          <w:marRight w:val="0"/>
          <w:marTop w:val="0"/>
          <w:marBottom w:val="0"/>
          <w:divBdr>
            <w:top w:val="none" w:sz="0" w:space="0" w:color="auto"/>
            <w:left w:val="none" w:sz="0" w:space="0" w:color="auto"/>
            <w:bottom w:val="none" w:sz="0" w:space="0" w:color="auto"/>
            <w:right w:val="none" w:sz="0" w:space="0" w:color="auto"/>
          </w:divBdr>
        </w:div>
        <w:div w:id="1571966869">
          <w:marLeft w:val="864"/>
          <w:marRight w:val="0"/>
          <w:marTop w:val="0"/>
          <w:marBottom w:val="0"/>
          <w:divBdr>
            <w:top w:val="none" w:sz="0" w:space="0" w:color="auto"/>
            <w:left w:val="none" w:sz="0" w:space="0" w:color="auto"/>
            <w:bottom w:val="none" w:sz="0" w:space="0" w:color="auto"/>
            <w:right w:val="none" w:sz="0" w:space="0" w:color="auto"/>
          </w:divBdr>
        </w:div>
      </w:divsChild>
    </w:div>
    <w:div w:id="533620720">
      <w:bodyDiv w:val="1"/>
      <w:marLeft w:val="0"/>
      <w:marRight w:val="0"/>
      <w:marTop w:val="0"/>
      <w:marBottom w:val="0"/>
      <w:divBdr>
        <w:top w:val="none" w:sz="0" w:space="0" w:color="auto"/>
        <w:left w:val="none" w:sz="0" w:space="0" w:color="auto"/>
        <w:bottom w:val="none" w:sz="0" w:space="0" w:color="auto"/>
        <w:right w:val="none" w:sz="0" w:space="0" w:color="auto"/>
      </w:divBdr>
      <w:divsChild>
        <w:div w:id="858857495">
          <w:marLeft w:val="288"/>
          <w:marRight w:val="0"/>
          <w:marTop w:val="0"/>
          <w:marBottom w:val="0"/>
          <w:divBdr>
            <w:top w:val="none" w:sz="0" w:space="0" w:color="auto"/>
            <w:left w:val="none" w:sz="0" w:space="0" w:color="auto"/>
            <w:bottom w:val="none" w:sz="0" w:space="0" w:color="auto"/>
            <w:right w:val="none" w:sz="0" w:space="0" w:color="auto"/>
          </w:divBdr>
        </w:div>
        <w:div w:id="870342182">
          <w:marLeft w:val="288"/>
          <w:marRight w:val="0"/>
          <w:marTop w:val="0"/>
          <w:marBottom w:val="0"/>
          <w:divBdr>
            <w:top w:val="none" w:sz="0" w:space="0" w:color="auto"/>
            <w:left w:val="none" w:sz="0" w:space="0" w:color="auto"/>
            <w:bottom w:val="none" w:sz="0" w:space="0" w:color="auto"/>
            <w:right w:val="none" w:sz="0" w:space="0" w:color="auto"/>
          </w:divBdr>
        </w:div>
        <w:div w:id="449128084">
          <w:marLeft w:val="288"/>
          <w:marRight w:val="0"/>
          <w:marTop w:val="0"/>
          <w:marBottom w:val="0"/>
          <w:divBdr>
            <w:top w:val="none" w:sz="0" w:space="0" w:color="auto"/>
            <w:left w:val="none" w:sz="0" w:space="0" w:color="auto"/>
            <w:bottom w:val="none" w:sz="0" w:space="0" w:color="auto"/>
            <w:right w:val="none" w:sz="0" w:space="0" w:color="auto"/>
          </w:divBdr>
        </w:div>
      </w:divsChild>
    </w:div>
    <w:div w:id="882060203">
      <w:bodyDiv w:val="1"/>
      <w:marLeft w:val="0"/>
      <w:marRight w:val="0"/>
      <w:marTop w:val="0"/>
      <w:marBottom w:val="0"/>
      <w:divBdr>
        <w:top w:val="none" w:sz="0" w:space="0" w:color="auto"/>
        <w:left w:val="none" w:sz="0" w:space="0" w:color="auto"/>
        <w:bottom w:val="none" w:sz="0" w:space="0" w:color="auto"/>
        <w:right w:val="none" w:sz="0" w:space="0" w:color="auto"/>
      </w:divBdr>
      <w:divsChild>
        <w:div w:id="298266463">
          <w:marLeft w:val="0"/>
          <w:marRight w:val="0"/>
          <w:marTop w:val="0"/>
          <w:marBottom w:val="0"/>
          <w:divBdr>
            <w:top w:val="none" w:sz="0" w:space="0" w:color="auto"/>
            <w:left w:val="none" w:sz="0" w:space="0" w:color="auto"/>
            <w:bottom w:val="none" w:sz="0" w:space="0" w:color="auto"/>
            <w:right w:val="none" w:sz="0" w:space="0" w:color="auto"/>
          </w:divBdr>
        </w:div>
        <w:div w:id="1828596935">
          <w:marLeft w:val="0"/>
          <w:marRight w:val="0"/>
          <w:marTop w:val="0"/>
          <w:marBottom w:val="0"/>
          <w:divBdr>
            <w:top w:val="none" w:sz="0" w:space="0" w:color="auto"/>
            <w:left w:val="none" w:sz="0" w:space="0" w:color="auto"/>
            <w:bottom w:val="none" w:sz="0" w:space="0" w:color="auto"/>
            <w:right w:val="none" w:sz="0" w:space="0" w:color="auto"/>
          </w:divBdr>
        </w:div>
        <w:div w:id="1393432162">
          <w:marLeft w:val="0"/>
          <w:marRight w:val="0"/>
          <w:marTop w:val="0"/>
          <w:marBottom w:val="0"/>
          <w:divBdr>
            <w:top w:val="none" w:sz="0" w:space="0" w:color="auto"/>
            <w:left w:val="none" w:sz="0" w:space="0" w:color="auto"/>
            <w:bottom w:val="none" w:sz="0" w:space="0" w:color="auto"/>
            <w:right w:val="none" w:sz="0" w:space="0" w:color="auto"/>
          </w:divBdr>
        </w:div>
      </w:divsChild>
    </w:div>
    <w:div w:id="167268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styles" Target="styles.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3b4a136f4d9543a3a3b8203d5de7d0aa" PartId="311325f8db9745fb89d961260d20d97d"/>
  <Part Type="pastraipa" DocPartId="f5e05b08c65f4930b7689fafde6cc212" PartId="0d5b418ae6f54312898156732828243c"/>
  <Part Type="pastraipa" DocPartId="2c4c0c13858e42108ecfe63ebf9aff03" PartId="086c024809654a11825550458ab079a8"/>
  <Part Type="pastraipa" DocPartId="c42940fd4615409c83e9de334ef95d9b" PartId="7670493d4a004dd5b3a237b2991e7eb9"/>
  <Part Type="pastraipa" DocPartId="f32c6e133e8d407f9e4a27e0e3add143" PartId="9d009c890a1b4693b9258cba730b3003"/>
  <Part Type="pastraipa" DocPartId="667679d521334ab6a156b8fc8f4eb346" PartId="70fa33b31a1940ec8479da8a70fdb228"/>
  <Part Type="pastraipa" DocPartId="421aac9a19a34dfaa621aa9e7d9c83de" PartId="ebc9cd6e0d88416d9d47e3d0dd7a1593"/>
  <Part Type="pastraipa" DocPartId="3f186f0e64a14de4834e33cd4e1d6d68" PartId="1753d2d3af7144f2ad3e3d304095fed0"/>
  <Part Type="pastraipa" DocPartId="c22182cfce0a43d9b7db59380a683b41" PartId="720266b0c5484ffebf3ad35b9c48299b"/>
  <Part Type="pastraipa" DocPartId="20e19d8ff06a4f809dfa183389a4eef8" PartId="64a83b8ca6a64f76a5c19fc100bd2bd7">
    <Part Type="punktas" Nr="1" Abbr="1 p." DocPartId="01ca67612bba4e2dbd4a462d283efd6b" PartId="40854b2827524855b7094181b87f8acd"/>
    <Part Type="punktas" Nr="2" Abbr="2 p." DocPartId="5ca715070aa7454fbf17579c9dfa1576" PartId="ada21f2a415a4c518eb7eccb363e6dea"/>
    <Part Type="punktas" Nr="3" Abbr="3 p." DocPartId="8c83d536918244d2a4cc534e12e29854" PartId="167d626462f446e8a2c952587cb66aa8"/>
    <Part Type="punktas" Nr="4" Abbr="4 p." DocPartId="9dff3a1c4d1f4153bfd1aaaab92f3418" PartId="61586bd3b3a442dcaadfa09b02350d28"/>
    <Part Type="punktas" Nr="1" Abbr="1 p." Notes="Numeris ne iš eilės. Trūksta dalių? [DocDalys]" DocPartId="3f0dc6c164824233907eaf5bfd6c3046" PartId="7479917158644e759fed45b6ab0d380e"/>
    <Part Type="punktas" Nr="2" Abbr="2 p." DocPartId="26f60535d50d4707b6f2808433fbab46" PartId="e0da41f2eb79450c912665a092fb53ab"/>
    <Part Type="punktas" Nr="3" Abbr="3 p." DocPartId="d659da4becd9449fab6c8362398943c3" PartId="7f9fa5dbbe5b43539a91a07a392a40ef"/>
    <Part Type="punktas" Nr="4" Abbr="4 p." DocPartId="9d3abd6b09784e3091953a4f4e832d46" PartId="91de5077084840b58f5576a318090bf9"/>
    <Part Type="punktas" Nr="5" Abbr="5 p." DocPartId="6c84db04516141b7b25b1f233da5a790" PartId="4c18de8e5ede47a4ad353c54002e6931"/>
    <Part Type="punktas" Nr="6" Abbr="6 p." DocPartId="b4d116f7c1fa4d31b6854c6414e52b65" PartId="ddbd1b29e52f4f49abfcb056d01fdfbc"/>
    <Part Type="punktas" Nr="7" Abbr="7 p." DocPartId="cd26374f58e2487288b79c41af99889e" PartId="722708b2d7504efab991dd705dff44ce"/>
    <Part Type="punktas" Nr="8" Abbr="8 p." DocPartId="8d306208cd0c474c86c0ad0e6c845ac4" PartId="9026370d6a79469d86a40481e34a6fd4"/>
    <Part Type="punktas" Nr="9" Abbr="9 p." DocPartId="c019c78a45914a8a948f8bdcf8c3d269" PartId="1e5c1b2d42ce4700b4536eb254e77465"/>
    <Part Type="punktas" Nr="10" Abbr="10 p." DocPartId="c651464f727149dca5f380cf517549ee" PartId="e1faabd10d4b4c6fb9a2026654b909b7"/>
    <Part Type="punktas" Nr="11" Abbr="11 p." DocPartId="7841697e42124defa04d87c2a254bf3f" PartId="27558de6c17a48daa7ad38ebdc825fb9"/>
    <Part Type="punktas" Nr="12" Abbr="12 p." DocPartId="f6e14ae3016c4b30a8b97d9114f5514d" PartId="8345fc9999d54beba0d704bf4d69e222"/>
    <Part Type="punktas" Nr="13" Abbr="13 p." DocPartId="0493996bc29a4d16a1f20fd037ae3b5b" PartId="e5da9d073b72449ba00fb261ddf45b29"/>
    <Part Type="punktas" Nr="14" Abbr="14 p." DocPartId="ff3ed408cebc43bb827ef4ba8cdbb0fd" PartId="74d6cfec92a1480eb309857ee12554aa"/>
    <Part Type="punktas" Nr="15" Abbr="15 p." DocPartId="d13d29d2372c43798a72e4a2b1e1d673" PartId="f7be639e08c549fbba890a85b3066422"/>
    <Part Type="punktas" Nr="16" Abbr="16 p." DocPartId="2996a70b11fa401193f20f74bdec80af" PartId="31489889c09748cfb2d8622958dbdf6b"/>
    <Part Type="punktas" Nr="17" Abbr="17 p." DocPartId="b1e68b2fcc9f4efdb8c7dd521308e113" PartId="36c81feb522c4200b5779ea9f9d5a03d"/>
    <Part Type="punktas" Nr="18" Abbr="18 p." DocPartId="4f73ec904d9a4de3ba1c5c5e054a7293" PartId="dae5f301fbcd4bb89800b2d59fcb0389"/>
    <Part Type="punktas" Nr="19" Abbr="19 p." DocPartId="3813c84894774123a6da11cab69ed615" PartId="cb165b73c6314b56be86b924f666bdca"/>
  </Part>
</Parts>
</file>

<file path=customXml/itemProps1.xml><?xml version="1.0" encoding="utf-8"?>
<ds:datastoreItem xmlns:ds="http://schemas.openxmlformats.org/officeDocument/2006/customXml" ds:itemID="{18F8D8A7-8EED-4B8E-A15E-DBB10D60C440}">
  <ds:schemaRefs>
    <ds:schemaRef ds:uri="http://schemas.openxmlformats.org/officeDocument/2006/bibliography"/>
  </ds:schemaRefs>
</ds:datastoreItem>
</file>

<file path=customXml/itemProps2.xml><?xml version="1.0" encoding="utf-8"?>
<ds:datastoreItem xmlns:ds="http://schemas.openxmlformats.org/officeDocument/2006/customXml" ds:itemID="{1149DC2D-FEFB-4F9E-A9C3-72A56ADA37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659</Words>
  <Characters>5013</Characters>
  <Application>Microsoft Office Word</Application>
  <DocSecurity>4</DocSecurity>
  <Lines>179</Lines>
  <Paragraphs>54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5618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2023-09-07T13:20:00Z</dcterms:created>
  <dcterms:modified xsi:type="dcterms:W3CDTF">2023-09-07T13:20:00Z</dcterms:modified>
  <revision>1</revision>
</coreProperties>
</file>