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8df59a2f1964c348395f472f3193b1f"/>
        <w:lock w:val="sdtLocked"/>
        <w:richText/>
      </w:sdtPr>
      <w:sdtContent>
        <w:p>
          <w:pPr>
            <w:spacing w:line="259" w:lineRule="auto"/>
            <w:jc w:val="center"/>
            <w:rPr>
              <w:b/>
              <w:bCs/>
              <w:color w:val="000000"/>
              <w:szCs w:val="24"/>
            </w:rPr>
          </w:pPr>
          <w:r>
            <w:rPr>
              <w:b/>
              <w:bCs/>
              <w:color w:val="000000"/>
              <w:szCs w:val="24"/>
            </w:rPr>
            <w:t>NUMATOMO TEISINIO REGULIAVIMO POVEIKIO VERTINIMO PAŽYMA</w:t>
          </w:r>
        </w:p>
        <w:p>
          <w:pPr>
            <w:spacing w:line="259" w:lineRule="auto"/>
            <w:jc w:val="center"/>
            <w:rPr>
              <w:b/>
              <w:bCs/>
              <w:color w:val="000000"/>
              <w:szCs w:val="24"/>
            </w:rPr>
          </w:pPr>
        </w:p>
        <w:tbl>
          <w:tblPr>
            <w:tblW w:w="0" w:type="auto"/>
            <w:tblLayout w:type="fixed"/>
            <w:tblLook w:val="00A0" w:firstRow="1" w:lastRow="0" w:firstColumn="1" w:lastColumn="0" w:noHBand="0" w:noVBand="0"/>
          </w:tblPr>
          <w:tblGrid>
            <w:gridCol w:w="4508"/>
            <w:gridCol w:w="4956"/>
          </w:tblGrid>
          <w:tr>
            <w:tc>
              <w:tcPr>
                <w:tcW w:w="4508" w:type="dxa"/>
                <w:shd w:val="clear" w:color="auto" w:fill="D9E2F3" w:themeFill="accent1" w:themeFillTint="33"/>
              </w:tcPr>
              <w:p>
                <w:pPr>
                  <w:spacing w:line="259" w:lineRule="auto"/>
                  <w:rPr>
                    <w:szCs w:val="24"/>
                  </w:rPr>
                </w:pPr>
                <w:r>
                  <w:rPr>
                    <w:b/>
                    <w:bCs/>
                    <w:szCs w:val="24"/>
                  </w:rPr>
                  <w:t>Projekto pavadinimas</w:t>
                </w:r>
              </w:p>
            </w:tc>
            <w:tc>
              <w:tcPr>
                <w:tcW w:w="4956" w:type="dxa"/>
                <w:shd w:val="clear" w:color="auto" w:fill="D9E2F3" w:themeFill="accent1" w:themeFillTint="33"/>
              </w:tcPr>
              <w:p>
                <w:pPr>
                  <w:spacing w:line="259" w:lineRule="auto"/>
                  <w:jc w:val="both"/>
                  <w:rPr>
                    <w:szCs w:val="24"/>
                  </w:rPr>
                </w:pPr>
                <w:r>
                  <w:rPr>
                    <w:szCs w:val="24"/>
                  </w:rPr>
                  <w:t>Lietuvos Respublikos aplinkos ministro įsakymo „Dėl žaliųjų pirkimų įgyvendinimo 2021–2025 metų priemonių plano patvirtinimo“ projektas</w:t>
                </w:r>
              </w:p>
            </w:tc>
          </w:tr>
        </w:tbl>
        <w:p>
          <w:pPr>
            <w:spacing w:line="259" w:lineRule="auto"/>
            <w:rPr>
              <w:color w:val="000000"/>
              <w:sz w:val="22"/>
              <w:szCs w:val="22"/>
            </w:rPr>
          </w:pPr>
        </w:p>
        <w:tbl>
          <w:tblPr>
            <w:tblW w:w="0" w:type="auto"/>
            <w:tblLayout w:type="fixed"/>
            <w:tblLook w:val="00A0" w:firstRow="1" w:lastRow="0" w:firstColumn="1" w:lastColumn="0" w:noHBand="0" w:noVBand="0"/>
          </w:tblPr>
          <w:tblGrid>
            <w:gridCol w:w="4508"/>
            <w:gridCol w:w="4956"/>
          </w:tblGrid>
          <w:tr>
            <w:tc>
              <w:tcPr>
                <w:tcW w:w="4508" w:type="dxa"/>
                <w:shd w:val="clear" w:color="auto" w:fill="D9E2F3" w:themeFill="accent1" w:themeFillTint="33"/>
              </w:tcPr>
              <w:p>
                <w:pPr>
                  <w:spacing w:line="259" w:lineRule="auto"/>
                  <w:rPr>
                    <w:szCs w:val="24"/>
                  </w:rPr>
                </w:pPr>
                <w:r>
                  <w:rPr>
                    <w:b/>
                    <w:bCs/>
                    <w:szCs w:val="24"/>
                  </w:rPr>
                  <w:t>Projekto rengėjas</w:t>
                </w:r>
              </w:p>
            </w:tc>
            <w:tc>
              <w:tcPr>
                <w:tcW w:w="4956" w:type="dxa"/>
                <w:shd w:val="clear" w:color="auto" w:fill="D9E2F3" w:themeFill="accent1" w:themeFillTint="33"/>
              </w:tcPr>
              <w:p>
                <w:pPr>
                  <w:spacing w:line="259" w:lineRule="auto"/>
                  <w:jc w:val="both"/>
                  <w:rPr>
                    <w:szCs w:val="24"/>
                  </w:rPr>
                </w:pPr>
                <w:r>
                  <w:rPr>
                    <w:szCs w:val="24"/>
                  </w:rPr>
                  <w:t>Lietuvos Respublikos aplinkos ministerija</w:t>
                </w:r>
              </w:p>
            </w:tc>
          </w:tr>
        </w:tbl>
        <w:p>
          <w:pPr>
            <w:spacing w:line="259" w:lineRule="auto"/>
            <w:rPr>
              <w:color w:val="000000"/>
              <w:sz w:val="22"/>
              <w:szCs w:val="22"/>
            </w:rPr>
          </w:pPr>
        </w:p>
        <w:tbl>
          <w:tblPr>
            <w:tblW w:w="0" w:type="auto"/>
            <w:tblLayout w:type="fixed"/>
            <w:tblLook w:val="00A0" w:firstRow="1" w:lastRow="0" w:firstColumn="1" w:lastColumn="0" w:noHBand="0" w:noVBand="0"/>
          </w:tblPr>
          <w:tblGrid>
            <w:gridCol w:w="4508"/>
            <w:gridCol w:w="4508"/>
            <w:gridCol w:w="448"/>
          </w:tblGrid>
          <w:tr>
            <w:tc>
              <w:tcPr>
                <w:tcW w:w="4508" w:type="dxa"/>
                <w:shd w:val="clear" w:color="auto" w:fill="D9E2F3" w:themeFill="accent1" w:themeFillTint="33"/>
              </w:tcPr>
              <w:p>
                <w:pPr>
                  <w:spacing w:line="259" w:lineRule="auto"/>
                  <w:rPr>
                    <w:szCs w:val="24"/>
                  </w:rPr>
                </w:pPr>
                <w:r>
                  <w:rPr>
                    <w:b/>
                    <w:bCs/>
                    <w:szCs w:val="24"/>
                  </w:rPr>
                  <w:t>Projekto tikslas</w:t>
                </w:r>
              </w:p>
            </w:tc>
            <w:tc>
              <w:tcPr>
                <w:tcW w:w="4956" w:type="dxa"/>
                <w:gridSpan w:val="2"/>
                <w:shd w:val="clear" w:color="auto" w:fill="D9E2F3" w:themeFill="accent1" w:themeFillTint="33"/>
              </w:tcPr>
              <w:p>
                <w:pPr>
                  <w:rPr>
                    <w:sz w:val="10"/>
                    <w:szCs w:val="10"/>
                  </w:rPr>
                </w:pPr>
              </w:p>
              <w:p>
                <w:pPr>
                  <w:spacing w:line="259" w:lineRule="auto"/>
                  <w:jc w:val="both"/>
                  <w:rPr>
                    <w:szCs w:val="24"/>
                  </w:rPr>
                </w:pPr>
                <w:r>
                  <w:rPr>
                    <w:szCs w:val="24"/>
                  </w:rPr>
                  <w:t>Įsakymo projekto tikslas – patvirtinti žaliųjų priemonių įgyvendinimo 2021</w:t>
                </w:r>
                <w:r>
                  <w:rPr>
                    <w:color w:val="000000"/>
                    <w:szCs w:val="24"/>
                    <w:lang w:val="lt"/>
                  </w:rPr>
                  <w:t>–</w:t>
                </w:r>
                <w:r>
                  <w:rPr>
                    <w:szCs w:val="24"/>
                  </w:rPr>
                  <w:t xml:space="preserve">2025 m. priemonių planą (toliau – priemonių planas), kurį Aplinkos ministerija įpareigota parengti Vyriausybės 2010 m. liepos 21 d. nutarimo Nr. 1133 „Dėl Žaliųjų pirkimų tikslų nustatymo ir įgyvendinimo“  projekto, 2021 m. gegužės 14 d. pateikto Vyriausybei, 6 punktu, įgyvendinant 2021</w:t>
                </w:r>
                <w:r>
                  <w:rPr>
                    <w:color w:val="000000"/>
                    <w:szCs w:val="24"/>
                    <w:lang w:val="lt"/>
                  </w:rPr>
                  <w:t>–</w:t>
                </w:r>
                <w:r>
                  <w:rPr>
                    <w:szCs w:val="24"/>
                  </w:rPr>
                  <w:t xml:space="preserve">2030 m. Nacionaliniame pažangos plane įtvirtintą siekį prisidėti prie horizontaliojo darnaus vystymosi principo įgyvendinimo, didinant žaliųjų viešųjų pirkimų (toliau – ŽVP) dalį, ir Vyriausybės programoje įtvirtintas nuostatas, kad nuo 2023 m. ŽVP turėtų tapti dominuojančia viešųjų pirkimų rūšimi, o valstybinės įstaigos bus įpareigotos prekes, darbus ir paslaugas įsigyti tik žaliųjų pirkimų būdu, </w:t>
                </w:r>
              </w:p>
              <w:p>
                <w:pPr>
                  <w:rPr>
                    <w:sz w:val="10"/>
                    <w:szCs w:val="10"/>
                  </w:rPr>
                </w:pPr>
              </w:p>
              <w:p>
                <w:pPr>
                  <w:spacing w:line="259" w:lineRule="auto"/>
                  <w:jc w:val="both"/>
                  <w:rPr>
                    <w:szCs w:val="24"/>
                  </w:rPr>
                </w:pPr>
                <w:r>
                  <w:rPr>
                    <w:szCs w:val="24"/>
                  </w:rPr>
                  <w:t>Priemonių plane įtvirtinami uždaviniai ir juos įgyvendinančios vienkartinės ir tęstinės priemonės, kurias priemonių plane nurodomos institucijos turės įgyvendinti 2021–2025 m. Šių priemonių įgyvendinimas leis tobulinti perkančiųjų organizacijų, perkančiųjų subjektų ir neperkančiųjų organizacijų kompetenciją žaliųjų pirkimų srityje, užtikrinti tinkamą konsultavimą žaliųjų pirkimų vykdymo klausimais; tęsti žaliųjų pirkimų teisinio reglamentavimo tobulinimą; skatinti informacijos apie žaliuosius pirkimus sklaidą ir stiprinti bendradarbiavimą su rinka; tobulinti informacines sistemas, kuriose vykdomi viešieji pirkimai, ir užtikrinti tinkamą informacijos apie žaliuosius pirkimus rinkimą ir sisteminimą; stebėti žaliųjų pirkimų vykdymo pažangą.</w:t>
                </w:r>
              </w:p>
            </w:tc>
          </w:tr>
          <w:tr>
            <w:trPr>
              <w:gridAfter w:val="1"/>
              <w:wAfter w:w="448" w:type="dxa"/>
            </w:trPr>
            <w:tc>
              <w:tcPr>
                <w:tcW w:w="4508" w:type="dxa"/>
              </w:tcPr>
              <w:p>
                <w:pPr>
                  <w:spacing w:line="259" w:lineRule="auto"/>
                  <w:rPr>
                    <w:szCs w:val="24"/>
                  </w:rPr>
                </w:pPr>
              </w:p>
            </w:tc>
            <w:tc>
              <w:tcPr>
                <w:tcW w:w="4508" w:type="dxa"/>
              </w:tcPr>
              <w:p>
                <w:pPr>
                  <w:spacing w:line="259" w:lineRule="auto"/>
                  <w:jc w:val="center"/>
                  <w:rPr>
                    <w:b/>
                    <w:bCs/>
                    <w:szCs w:val="24"/>
                  </w:rPr>
                </w:pPr>
              </w:p>
              <w:p>
                <w:pPr>
                  <w:spacing w:line="259" w:lineRule="auto"/>
                  <w:jc w:val="center"/>
                  <w:rPr>
                    <w:b/>
                    <w:bCs/>
                    <w:szCs w:val="24"/>
                  </w:rPr>
                </w:pPr>
              </w:p>
              <w:p>
                <w:pPr>
                  <w:spacing w:line="259" w:lineRule="auto"/>
                  <w:jc w:val="center"/>
                  <w:rPr>
                    <w:szCs w:val="24"/>
                  </w:rPr>
                </w:pPr>
                <w:r>
                  <w:rPr>
                    <w:b/>
                    <w:bCs/>
                    <w:szCs w:val="24"/>
                  </w:rPr>
                  <w:t xml:space="preserve">Siūlomo projekto poveikio įvertinimas </w:t>
                </w:r>
              </w:p>
              <w:p>
                <w:pPr>
                  <w:spacing w:line="259" w:lineRule="auto"/>
                  <w:jc w:val="center"/>
                  <w:rPr>
                    <w:szCs w:val="24"/>
                  </w:rPr>
                </w:pPr>
                <w:r>
                  <w:rPr>
                    <w:b/>
                    <w:bCs/>
                    <w:szCs w:val="24"/>
                  </w:rPr>
                  <w:t>(teigiamos ir (ar) neigiamos pasekmės)</w:t>
                </w:r>
              </w:p>
            </w:tc>
          </w:tr>
          <w:tr>
            <w:tc>
              <w:tcPr>
                <w:tcW w:w="4508" w:type="dxa"/>
                <w:shd w:val="clear" w:color="auto" w:fill="D9E2F3" w:themeFill="accent1" w:themeFillTint="33"/>
              </w:tcPr>
              <w:p>
                <w:pPr>
                  <w:spacing w:line="259" w:lineRule="auto"/>
                  <w:rPr>
                    <w:szCs w:val="24"/>
                  </w:rPr>
                </w:pPr>
                <w:r>
                  <w:rPr>
                    <w:b/>
                    <w:bCs/>
                    <w:szCs w:val="24"/>
                  </w:rPr>
                  <w:t>Poveikis aplinkai/klimato kaitai</w:t>
                </w:r>
              </w:p>
              <w:p>
                <w:pPr>
                  <w:rPr>
                    <w:sz w:val="14"/>
                    <w:szCs w:val="14"/>
                  </w:rPr>
                </w:pPr>
              </w:p>
              <w:p>
                <w:pPr>
                  <w:spacing w:line="259" w:lineRule="auto"/>
                  <w:rPr>
                    <w:szCs w:val="24"/>
                  </w:rPr>
                </w:pPr>
              </w:p>
            </w:tc>
            <w:tc>
              <w:tcPr>
                <w:tcW w:w="4956" w:type="dxa"/>
                <w:gridSpan w:val="2"/>
              </w:tcPr>
              <w:p>
                <w:pPr>
                  <w:spacing w:line="259" w:lineRule="auto"/>
                  <w:jc w:val="both"/>
                  <w:rPr>
                    <w:szCs w:val="24"/>
                  </w:rPr>
                </w:pPr>
                <w:r>
                  <w:rPr>
                    <w:szCs w:val="24"/>
                  </w:rPr>
                  <w:t xml:space="preserve">Numatomas teigiamas poveikis perėjimui prie klimatui neutralios ir žiedinės ekonomikos, taip pat ŽVP prisideda prie žaliosios transformacijos viešajame sektoriuje ir tuo pačiu skatina į rinką tiekti daugiau aplinkai palankių produktų. </w:t>
                </w:r>
              </w:p>
            </w:tc>
          </w:tr>
        </w:tbl>
        <w:p>
          <w:pPr>
            <w:spacing w:line="259" w:lineRule="auto"/>
            <w:rPr>
              <w:color w:val="000000"/>
              <w:szCs w:val="24"/>
            </w:rPr>
          </w:pPr>
        </w:p>
        <w:tbl>
          <w:tblPr>
            <w:tblW w:w="0" w:type="auto"/>
            <w:tblLayout w:type="fixed"/>
            <w:tblLook w:val="00A0" w:firstRow="1" w:lastRow="0" w:firstColumn="1" w:lastColumn="0" w:noHBand="0" w:noVBand="0"/>
          </w:tblPr>
          <w:tblGrid>
            <w:gridCol w:w="4508"/>
            <w:gridCol w:w="4956"/>
          </w:tblGrid>
          <w:tr>
            <w:tc>
              <w:tcPr>
                <w:tcW w:w="4508" w:type="dxa"/>
                <w:shd w:val="clear" w:color="auto" w:fill="D9E2F3" w:themeFill="accent1" w:themeFillTint="33"/>
              </w:tcPr>
              <w:p>
                <w:pPr>
                  <w:spacing w:line="259" w:lineRule="auto"/>
                  <w:rPr>
                    <w:szCs w:val="24"/>
                  </w:rPr>
                </w:pPr>
                <w:r>
                  <w:rPr>
                    <w:b/>
                    <w:bCs/>
                    <w:szCs w:val="24"/>
                  </w:rPr>
                  <w:t xml:space="preserve">Poveikis </w:t>
                </w:r>
              </w:p>
              <w:p>
                <w:pPr>
                  <w:spacing w:line="259" w:lineRule="auto"/>
                  <w:rPr>
                    <w:szCs w:val="24"/>
                  </w:rPr>
                </w:pPr>
                <w:r>
                  <w:rPr>
                    <w:b/>
                    <w:bCs/>
                    <w:szCs w:val="24"/>
                  </w:rPr>
                  <w:t>valstybės finansams</w:t>
                </w:r>
              </w:p>
            </w:tc>
            <w:tc>
              <w:tcPr>
                <w:tcW w:w="4956" w:type="dxa"/>
              </w:tcPr>
              <w:p>
                <w:pPr>
                  <w:spacing w:line="259" w:lineRule="auto"/>
                  <w:jc w:val="both"/>
                  <w:rPr>
                    <w:szCs w:val="24"/>
                  </w:rPr>
                </w:pPr>
                <w:r>
                  <w:rPr>
                    <w:szCs w:val="24"/>
                  </w:rPr>
                  <w:t xml:space="preserve">Perkant prekes, paslaugas ir darbus, kurie atitinka ŽVP kriterijus gali išaugti išlaidos, susijusios su šių gaminių tiekimu. Tačiau tikėtina, kad augant „žalesnių“ produktų paklausai, didės jų pasiūla ir kainos mažės. Be to, atsižvelgus į visas gyvavimo ciklo sąnaudas, „žalesnių“ produktų gamybos, valdymo ir šalinimo išlaidos yra mažesnės. </w:t>
                </w:r>
              </w:p>
            </w:tc>
          </w:tr>
        </w:tbl>
        <w:p>
          <w:pPr>
            <w:spacing w:line="259" w:lineRule="auto"/>
            <w:rPr>
              <w:color w:val="000000"/>
              <w:szCs w:val="24"/>
            </w:rPr>
          </w:pPr>
        </w:p>
        <w:tbl>
          <w:tblPr>
            <w:tblW w:w="0" w:type="auto"/>
            <w:tblLayout w:type="fixed"/>
            <w:tblLook w:val="00A0" w:firstRow="1" w:lastRow="0" w:firstColumn="1" w:lastColumn="0" w:noHBand="0" w:noVBand="0"/>
          </w:tblPr>
          <w:tblGrid>
            <w:gridCol w:w="4508"/>
            <w:gridCol w:w="4814"/>
          </w:tblGrid>
          <w:tr>
            <w:tc>
              <w:tcPr>
                <w:tcW w:w="4508" w:type="dxa"/>
                <w:shd w:val="clear" w:color="auto" w:fill="D9E2F3" w:themeFill="accent1" w:themeFillTint="33"/>
              </w:tcPr>
              <w:p>
                <w:pPr>
                  <w:spacing w:line="259" w:lineRule="auto"/>
                  <w:rPr>
                    <w:szCs w:val="24"/>
                  </w:rPr>
                </w:pPr>
                <w:r>
                  <w:rPr>
                    <w:b/>
                    <w:bCs/>
                    <w:szCs w:val="24"/>
                  </w:rPr>
                  <w:t>Poveikis administracinei naštai</w:t>
                </w:r>
              </w:p>
            </w:tc>
            <w:tc>
              <w:tcPr>
                <w:tcW w:w="4814" w:type="dxa"/>
              </w:tcPr>
              <w:p>
                <w:pPr>
                  <w:spacing w:line="259" w:lineRule="auto"/>
                  <w:jc w:val="both"/>
                  <w:rPr>
                    <w:szCs w:val="24"/>
                    <w:highlight w:val="yellow"/>
                  </w:rPr>
                </w:pPr>
                <w:r>
                  <w:rPr>
                    <w:szCs w:val="24"/>
                  </w:rPr>
                  <w:t xml:space="preserve">Viešųjų pirkimų tarnybai, administruojančioms institucijoms, asignavimų valdytojams išaugs administracinė našta dėl papildomų įsipareigojimų skatinant ŽVP. </w:t>
                </w:r>
              </w:p>
            </w:tc>
          </w:tr>
          <w:tr>
            <w:tc>
              <w:tcPr>
                <w:tcW w:w="4508" w:type="dxa"/>
              </w:tcPr>
              <w:p>
                <w:pPr>
                  <w:rPr>
                    <w:b/>
                    <w:bCs/>
                    <w:szCs w:val="24"/>
                  </w:rPr>
                </w:pPr>
              </w:p>
              <w:p>
                <w:pPr>
                  <w:rPr>
                    <w:szCs w:val="24"/>
                  </w:rPr>
                </w:pPr>
                <w:r>
                  <w:rPr>
                    <w:b/>
                    <w:bCs/>
                    <w:szCs w:val="24"/>
                  </w:rPr>
                  <w:t xml:space="preserve">Kita svarbi </w:t>
                </w:r>
              </w:p>
              <w:p>
                <w:pPr>
                  <w:rPr>
                    <w:szCs w:val="24"/>
                  </w:rPr>
                </w:pPr>
                <w:r>
                  <w:rPr>
                    <w:b/>
                    <w:bCs/>
                    <w:szCs w:val="24"/>
                  </w:rPr>
                  <w:t xml:space="preserve">informacija                   </w:t>
                </w:r>
                <w:r>
                  <w:rPr>
                    <w:szCs w:val="24"/>
                  </w:rPr>
                  <w:t>Nėra.</w:t>
                </w:r>
              </w:p>
            </w:tc>
            <w:tc>
              <w:tcPr>
                <w:tcW w:w="4814" w:type="dxa"/>
              </w:tcPr>
              <w:p>
                <w:pPr>
                  <w:rPr>
                    <w:szCs w:val="24"/>
                  </w:rPr>
                </w:pPr>
              </w:p>
            </w:tc>
          </w:tr>
          <w:tr>
            <w:tc>
              <w:tcPr>
                <w:tcW w:w="4508" w:type="dxa"/>
              </w:tcPr>
              <w:p>
                <w:pPr>
                  <w:rPr>
                    <w:color w:val="000000"/>
                    <w:szCs w:val="24"/>
                  </w:rPr>
                </w:pPr>
                <w:r>
                  <w:rPr>
                    <w:color w:val="000000"/>
                    <w:szCs w:val="24"/>
                  </w:rPr>
                  <w:t>Vardas ir pavardė</w:t>
                </w:r>
              </w:p>
            </w:tc>
            <w:tc>
              <w:tcPr>
                <w:tcW w:w="4814" w:type="dxa"/>
              </w:tcPr>
              <w:p>
                <w:pPr>
                  <w:rPr>
                    <w:color w:val="000000"/>
                    <w:szCs w:val="24"/>
                  </w:rPr>
                </w:pPr>
                <w:r>
                  <w:rPr>
                    <w:color w:val="000000"/>
                    <w:szCs w:val="24"/>
                  </w:rPr>
                  <w:t>Arnas Liauksminas</w:t>
                </w:r>
              </w:p>
            </w:tc>
          </w:tr>
          <w:tr>
            <w:tc>
              <w:tcPr>
                <w:tcW w:w="4508" w:type="dxa"/>
              </w:tcPr>
              <w:p>
                <w:pPr>
                  <w:rPr>
                    <w:color w:val="000000"/>
                    <w:szCs w:val="24"/>
                  </w:rPr>
                </w:pPr>
                <w:r>
                  <w:rPr>
                    <w:color w:val="000000"/>
                    <w:szCs w:val="24"/>
                  </w:rPr>
                  <w:t>Pareigos</w:t>
                </w:r>
              </w:p>
            </w:tc>
            <w:tc>
              <w:tcPr>
                <w:tcW w:w="4814" w:type="dxa"/>
              </w:tcPr>
              <w:p>
                <w:pPr>
                  <w:rPr>
                    <w:szCs w:val="24"/>
                  </w:rPr>
                </w:pPr>
                <w:r>
                  <w:rPr>
                    <w:color w:val="000000"/>
                    <w:szCs w:val="24"/>
                  </w:rPr>
                  <w:t xml:space="preserve">Strateginių pokyčių grupės vyr. specialistas </w:t>
                </w:r>
              </w:p>
            </w:tc>
          </w:tr>
          <w:tr>
            <w:tc>
              <w:tcPr>
                <w:tcW w:w="4508" w:type="dxa"/>
              </w:tcPr>
              <w:p>
                <w:pPr>
                  <w:rPr>
                    <w:color w:val="000000"/>
                    <w:szCs w:val="24"/>
                  </w:rPr>
                </w:pPr>
                <w:r>
                  <w:rPr>
                    <w:color w:val="000000"/>
                    <w:szCs w:val="24"/>
                  </w:rPr>
                  <w:t>Institucija (padalinys)</w:t>
                </w:r>
              </w:p>
            </w:tc>
            <w:tc>
              <w:tcPr>
                <w:tcW w:w="4814" w:type="dxa"/>
              </w:tcPr>
              <w:p>
                <w:pPr>
                  <w:rPr>
                    <w:color w:val="000000"/>
                    <w:szCs w:val="24"/>
                  </w:rPr>
                </w:pPr>
                <w:r>
                  <w:rPr>
                    <w:color w:val="000000"/>
                    <w:szCs w:val="24"/>
                  </w:rPr>
                  <w:t xml:space="preserve">AM Strateginių pokyčių grupė  </w:t>
                </w:r>
              </w:p>
            </w:tc>
          </w:tr>
          <w:tr>
            <w:tc>
              <w:tcPr>
                <w:tcW w:w="4508" w:type="dxa"/>
              </w:tcPr>
              <w:p>
                <w:pPr>
                  <w:rPr>
                    <w:color w:val="000000"/>
                    <w:szCs w:val="24"/>
                  </w:rPr>
                </w:pPr>
                <w:r>
                  <w:rPr>
                    <w:color w:val="000000"/>
                    <w:szCs w:val="24"/>
                  </w:rPr>
                  <w:t>Telefono numeris ir elektroninio pašto adresas</w:t>
                </w:r>
              </w:p>
            </w:tc>
            <w:tc>
              <w:tcPr>
                <w:tcW w:w="4814" w:type="dxa"/>
              </w:tcPr>
              <w:p>
                <w:pPr>
                  <w:rPr>
                    <w:rFonts w:ascii="Arial" w:hAnsi="Arial" w:cs="Arial"/>
                    <w:spacing w:val="5"/>
                    <w:sz w:val="23"/>
                    <w:szCs w:val="23"/>
                    <w:shd w:val="clear" w:color="auto" w:fill="212121"/>
                  </w:rPr>
                </w:pPr>
                <w:r>
                  <w:rPr>
                    <w:color w:val="000000"/>
                    <w:szCs w:val="24"/>
                  </w:rPr>
                  <w:t xml:space="preserve">+370 614 08012 </w:t>
                </w:r>
              </w:p>
              <w:p>
                <w:pPr>
                  <w:rPr>
                    <w:sz w:val="10"/>
                    <w:szCs w:val="10"/>
                  </w:rPr>
                </w:pPr>
              </w:p>
              <w:p>
                <w:pPr>
                  <w:rPr>
                    <w:color w:val="000000"/>
                    <w:szCs w:val="24"/>
                  </w:rPr>
                </w:pPr>
                <w:r>
                  <w:rPr>
                    <w:color w:val="0563C1"/>
                    <w:szCs w:val="24"/>
                    <w:u w:val="single"/>
                  </w:rPr>
                  <w:t>arnas.liauksminas@am.lt</w:t>
                </w:r>
                <w:r>
                  <w:rPr>
                    <w:color w:val="000000"/>
                    <w:szCs w:val="24"/>
                  </w:rPr>
                  <w:t xml:space="preserve"> </w:t>
                </w:r>
                <w:r>
                  <w:rPr>
                    <w:color w:val="000000"/>
                    <w:szCs w:val="24"/>
                  </w:rPr>
                  <w:t xml:space="preserve"> </w:t>
                </w:r>
              </w:p>
            </w:tc>
          </w:tr>
        </w:tbl>
        <w:sdt>
          <w:sdtPr>
            <w:alias w:val="pabaiga"/>
            <w:tag w:val="part_245326a335964cd480a359aced03a844"/>
            <w:lock w:val="sdtLocked"/>
            <w:richText/>
          </w:sdtPr>
          <w:sdtContent>
            <w:p>
              <w:pPr>
                <w:tabs>
                  <w:tab w:val="center" w:pos="4680"/>
                  <w:tab w:val="left" w:pos="6237"/>
                  <w:tab w:val="right" w:pos="9360"/>
                </w:tabs>
                <w:jc w:val="center"/>
                <w:rPr>
                  <w:sz w:val="22"/>
                  <w:szCs w:val="22"/>
                </w:rPr>
              </w:pPr>
              <w:r>
                <w:rPr>
                  <w:color w:val="000000"/>
                  <w:szCs w:val="24"/>
                </w:rPr>
                <w:t>__________________</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410B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9" ma:contentTypeDescription="Create a new document." ma:contentTypeScope="" ma:versionID="9e4d0c4ad520c4464afe70220765765c">
  <xsd:schema xmlns:xsd="http://www.w3.org/2001/XMLSchema" xmlns:xs="http://www.w3.org/2001/XMLSchema" xmlns:p="http://schemas.microsoft.com/office/2006/metadata/properties" xmlns:ns2="f5aad5d0-9c26-490e-8743-a6c7ceabd501" targetNamespace="http://schemas.microsoft.com/office/2006/metadata/properties" ma:root="true" ma:fieldsID="f0c14dbcd7e826adf5595f1080a29bfa" ns2:_="">
    <xsd:import namespace="f5aad5d0-9c26-490e-8743-a6c7ceabd5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93aa548f80634ed4a21f3453f650312e" PartId="88df59a2f1964c348395f472f3193b1f">
    <Part Type="pabaiga" DocPartId="d524d5a0a25140f8a2c99fa68a789059" PartId="245326a335964cd480a359aced03a844"/>
  </Part>
</Parts>
</file>

<file path=customXml/itemProps1.xml><?xml version="1.0" encoding="utf-8"?>
<ds:datastoreItem xmlns:ds="http://schemas.openxmlformats.org/officeDocument/2006/customXml" ds:itemID="{9A5A44E3-789A-4F0F-8339-F3FEF094358C}">
  <ds:schemaRefs>
    <ds:schemaRef ds:uri="http://schemas.microsoft.com/sharepoint/v3/contenttype/forms"/>
  </ds:schemaRefs>
</ds:datastoreItem>
</file>

<file path=customXml/itemProps2.xml><?xml version="1.0" encoding="utf-8"?>
<ds:datastoreItem xmlns:ds="http://schemas.openxmlformats.org/officeDocument/2006/customXml" ds:itemID="{883BD080-D10C-46EA-BE29-6362B6B57F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C7C7CA-4D24-45A6-AF3D-C98C8AA9D0C1}">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f5aad5d0-9c26-490e-8743-a6c7ceabd501"/>
    <ds:schemaRef ds:uri="http://www.w3.org/XML/1998/namespace"/>
  </ds:schemaRefs>
</ds:datastoreItem>
</file>

<file path=customXml/itemProps4.xml><?xml version="1.0" encoding="utf-8"?>
<ds:datastoreItem xmlns:ds="http://schemas.openxmlformats.org/officeDocument/2006/customXml" ds:itemID="{3C577468-7AD1-47A0-87E1-02418001A05A}">
  <ds:schemaRefs>
    <ds:schemaRef ds:uri="http://schemas.openxmlformats.org/officeDocument/2006/bibliography"/>
  </ds:schemaRefs>
</ds:datastoreItem>
</file>

<file path=customXml/itemProps5.xml><?xml version="1.0" encoding="utf-8"?>
<ds:datastoreItem xmlns:ds="http://schemas.openxmlformats.org/officeDocument/2006/customXml" ds:itemID="{7641AEFF-E7A6-4ECE-9108-238A11365A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2752</Characters>
  <Application>Microsoft Office Word</Application>
  <DocSecurity>4</DocSecurity>
  <Lines>94</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2021-05-26T13:28:00Z</dcterms:created>
  <dc:creator>Livija Šepetytė</dc:creator>
  <lastModifiedBy>adlibuser</lastModifiedBy>
  <dcterms:modified xsi:type="dcterms:W3CDTF">2021-05-26T13:28:00Z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