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ef7c293447eb4fdcb1d4e1b96942cd97"/>
        <w:lock w:val="sdtLocked"/>
        <w:richText/>
      </w:sdtPr>
      <w:sdtContent>
        <w:p w14:paraId="27E0B570" w14:textId="77777777">
          <w:pPr>
            <w:suppressAutoHyphens/>
          </w:pPr>
        </w:p>
        <w:sdt>
          <w:sdtPr>
            <w:alias w:val="skyrius"/>
            <w:tag w:val="part_beb32db513ac4dc892cfa32821e58d90"/>
            <w:lock w:val="sdtLocked"/>
            <w:richText/>
          </w:sdtPr>
          <w:sdtContent>
            <w:p w14:paraId="17BCAA1C" w14:textId="4B064FCE">
              <w:pPr>
                <w:suppressAutoHyphens/>
                <w:jc w:val="center"/>
                <w:rPr>
                  <w:b/>
                  <w:szCs w:val="24"/>
                </w:rPr>
              </w:pPr>
              <w:r>
                <w:rPr>
                  <w:b/>
                  <w:szCs w:val="24"/>
                </w:rPr>
                <w:t>ŠIAULIŲ MIESTO SAVIVALDYBĖS ŽEMĖS VALDYMO SKYRIUS</w:t>
              </w:r>
            </w:p>
            <w:p w14:paraId="17BCAA1D" w14:textId="77777777">
              <w:pPr>
                <w:tabs>
                  <w:tab w:val="left" w:pos="851"/>
                </w:tabs>
                <w:suppressAutoHyphens/>
                <w:ind w:hanging="180"/>
                <w:jc w:val="center"/>
                <w:rPr>
                  <w:szCs w:val="24"/>
                </w:rPr>
              </w:pPr>
            </w:p>
            <w:p w14:paraId="3247D41F" w14:textId="09578038">
              <w:pPr>
                <w:suppressAutoHyphens/>
                <w:ind w:right="-87"/>
                <w:jc w:val="center"/>
                <w:rPr>
                  <w:b/>
                  <w:bCs/>
                  <w:color w:val="000000"/>
                  <w:szCs w:val="24"/>
                  <w:shd w:val="clear" w:color="auto" w:fill="FFFFFF"/>
                </w:rPr>
              </w:pPr>
              <w:sdt>
                <w:sdtPr>
                  <w:alias w:val="Pavadinimas"/>
                  <w:tag w:val="title_beb32db513ac4dc892cfa32821e58d90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  <w:shd w:val="clear" w:color="auto" w:fill="FFFFFF"/>
                    </w:rPr>
                    <w:t>SPRENDIMO</w:t>
                  </w:r>
                  <w:r>
                    <w:rPr>
                      <w:b/>
                      <w:bCs/>
                      <w:color w:val="000000"/>
                      <w:szCs w:val="24"/>
                      <w:shd w:val="clear" w:color="auto" w:fill="FFFFFF"/>
                      <w:lang w:eastAsia="ar-SA"/>
                    </w:rPr>
                    <w:t>„</w:t>
                  </w:r>
                  <w:r>
                    <w:rPr>
                      <w:b/>
                      <w:bCs/>
                      <w:color w:val="000000"/>
                      <w:szCs w:val="24"/>
                      <w:shd w:val="clear" w:color="auto" w:fill="FFFFFF"/>
                    </w:rPr>
                    <w:t>DĖL PRITARIMO PERLEISTI NUOSAVYBĖS TEISE PRIKLAUSANČIĄ NEGYVENAMĄJĄ PATALPĄ – GARAŽO BOKSĄ NR. 308 ŽEMĖS SKLYPE S. DARIAUS IR S. GIRĖNO G. 1A, ŠIAULIŲ MIESTE</w:t>
                  </w:r>
                  <w:r>
                    <w:rPr>
                      <w:rFonts w:eastAsia="HG Mincho Light J"/>
                      <w:b/>
                      <w:color w:val="000000"/>
                      <w:szCs w:val="24"/>
                      <w:lang w:eastAsia="lt-LT"/>
                    </w:rPr>
                    <w:t>“</w:t>
                  </w:r>
                </w:sdtContent>
              </w:sdt>
            </w:p>
            <w:p w14:paraId="28B5D125" w14:textId="77777777">
              <w:pPr>
                <w:suppressAutoHyphens/>
                <w:ind w:right="-87"/>
                <w:jc w:val="center"/>
                <w:rPr>
                  <w:b/>
                  <w:szCs w:val="24"/>
                  <w:lang w:eastAsia="lt-LT"/>
                </w:rPr>
              </w:pPr>
            </w:p>
            <w:sdt>
              <w:sdtPr>
                <w:alias w:val="poskyris"/>
                <w:tag w:val="part_54e2054238594528b59ceef351b45b39"/>
                <w:lock w:val="sdtLocked"/>
                <w:richText/>
              </w:sdtPr>
              <w:sdtContent>
                <w:p w14:paraId="17BCAA1F" w14:textId="77777777">
                  <w:pPr>
                    <w:tabs>
                      <w:tab w:val="left" w:pos="851"/>
                    </w:tabs>
                    <w:suppressAutoHyphens/>
                    <w:jc w:val="center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54e2054238594528b59ceef351b45b39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AIŠKINAMASIS RAŠTAS</w:t>
                      </w:r>
                    </w:sdtContent>
                  </w:sdt>
                </w:p>
                <w:p w14:paraId="17BCAA20" w14:textId="77777777">
                  <w:pPr>
                    <w:tabs>
                      <w:tab w:val="left" w:pos="851"/>
                    </w:tabs>
                    <w:suppressAutoHyphens/>
                    <w:jc w:val="center"/>
                    <w:rPr>
                      <w:szCs w:val="24"/>
                      <w:lang w:eastAsia="lt-LT"/>
                    </w:rPr>
                  </w:pPr>
                </w:p>
                <w:p w14:paraId="17BCAA21" w14:textId="6C6843CF">
                  <w:pPr>
                    <w:tabs>
                      <w:tab w:val="left" w:pos="851"/>
                    </w:tabs>
                    <w:suppressAutoHyphens/>
                    <w:jc w:val="center"/>
                  </w:pPr>
                  <w:r>
                    <w:rPr>
                      <w:szCs w:val="24"/>
                      <w:lang w:eastAsia="lt-LT"/>
                    </w:rPr>
                    <w:t>2024 m. kovo___ d.</w:t>
                  </w:r>
                </w:p>
                <w:p w14:paraId="17BCAA22" w14:textId="77777777">
                  <w:pPr>
                    <w:tabs>
                      <w:tab w:val="left" w:pos="851"/>
                    </w:tabs>
                    <w:suppressAutoHyphens/>
                    <w:ind w:left="4820" w:hanging="4820"/>
                    <w:jc w:val="center"/>
                    <w:rPr>
                      <w:bCs/>
                      <w:szCs w:val="24"/>
                      <w:lang w:eastAsia="lt-LT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>Šiauliai</w:t>
                  </w:r>
                </w:p>
                <w:p w14:paraId="17BCAA24" w14:textId="7F852250">
                  <w:pPr>
                    <w:tabs>
                      <w:tab w:val="left" w:pos="851"/>
                    </w:tabs>
                    <w:suppressAutoHyphens/>
                    <w:ind w:firstLine="1440"/>
                    <w:jc w:val="both"/>
                    <w:rPr>
                      <w:b/>
                      <w:bCs/>
                      <w:lang w:eastAsia="lt-LT"/>
                    </w:rPr>
                  </w:pPr>
                </w:p>
              </w:sdtContent>
            </w:sdt>
            <w:sdt>
              <w:sdtPr>
                <w:alias w:val="poskyris"/>
                <w:tag w:val="part_626f267733f04c819023e3fac039e5c3"/>
                <w:lock w:val="sdtLocked"/>
                <w:richText/>
              </w:sdtPr>
              <w:sdtContent>
                <w:p w14:paraId="17BCAA25" w14:textId="1BBA73AC">
                  <w:pPr>
                    <w:tabs>
                      <w:tab w:val="left" w:pos="851"/>
                    </w:tabs>
                    <w:suppressAutoHyphens/>
                    <w:ind w:firstLine="851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626f267733f04c819023e3fac039e5c3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Parengto sprendimo projekto tikslai ir uždaviniai:</w:t>
                      </w:r>
                    </w:sdtContent>
                  </w:sdt>
                </w:p>
                <w:p w14:paraId="38721002" w14:textId="6934B0D6">
                  <w:pPr>
                    <w:suppressAutoHyphens/>
                    <w:ind w:firstLine="851"/>
                    <w:jc w:val="both"/>
                    <w:rPr>
                      <w:szCs w:val="24"/>
                      <w:lang w:eastAsia="ar-SA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 xml:space="preserve">Sprendimo tikslas gauti Šiaulių miesto savivaldybės tarybos pritarimą perleisti D. B. ir D. B. </w:t>
                  </w:r>
                  <w:r>
                    <w:rPr>
                      <w:rFonts w:eastAsia="HG Mincho Light J"/>
                      <w:bCs/>
                      <w:color w:val="000000"/>
                      <w:szCs w:val="24"/>
                    </w:rPr>
                    <w:t xml:space="preserve">nuosavybės teise priklausančią negyvenamąją patalpą – garažo boksą Nr. 308 (unikalus Nr. 2999-2001-0016:0313) pastate 1G2p (unikalus Nr. 2999-2001-0016), esančiame </w:t>
                  </w:r>
                  <w:r>
                    <w:rPr>
                      <w:szCs w:val="24"/>
                      <w:lang w:eastAsia="ar-SA"/>
                    </w:rPr>
                    <w:t xml:space="preserve">suformuotame 1,1942 ha ploto valstybinės žemės sklype (unikalus Nr. 2901-0029-0167, kadastro Nr. 2901/0029:167) </w:t>
                  </w:r>
                  <w:r>
                    <w:rPr>
                      <w:rFonts w:eastAsia="HG Mincho Light J"/>
                      <w:bCs/>
                      <w:color w:val="000000"/>
                      <w:szCs w:val="24"/>
                    </w:rPr>
                    <w:t>adresu S. Dariaus ir S. Girėno g. 1A, Šiaulių mieste</w:t>
                  </w:r>
                  <w:r>
                    <w:rPr>
                      <w:szCs w:val="24"/>
                      <w:lang w:eastAsia="ar-SA"/>
                    </w:rPr>
                    <w:t>.</w:t>
                  </w:r>
                </w:p>
              </w:sdtContent>
            </w:sdt>
            <w:sdt>
              <w:sdtPr>
                <w:alias w:val="poskyris"/>
                <w:tag w:val="part_63925338817b4a6fa872cd9005c8f919"/>
                <w:lock w:val="sdtLocked"/>
                <w:richText/>
              </w:sdtPr>
              <w:sdtContent>
                <w:p w14:paraId="17BCAA27" w14:textId="6B29AA2A">
                  <w:pPr>
                    <w:suppressAutoHyphens/>
                    <w:ind w:firstLine="851"/>
                    <w:jc w:val="both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63925338817b4a6fa872cd9005c8f919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Dabartinis sprendimo projekte aptariamų klausimų reguliavimas:</w:t>
                      </w:r>
                    </w:sdtContent>
                  </w:sdt>
                </w:p>
                <w:p w14:paraId="26C66002" w14:textId="7F2333C6">
                  <w:pPr>
                    <w:ind w:firstLine="861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 xml:space="preserve">D. B. ir D. B. nuosavybės teise priklausanti negyvenamoji patalpa </w:t>
                  </w:r>
                  <w:r>
                    <w:rPr>
                      <w:rFonts w:eastAsia="HG Mincho Light J"/>
                      <w:bCs/>
                      <w:color w:val="000000"/>
                      <w:szCs w:val="24"/>
                    </w:rPr>
                    <w:t>–</w:t>
                  </w:r>
                  <w:r>
                    <w:rPr>
                      <w:bCs/>
                      <w:szCs w:val="24"/>
                    </w:rPr>
                    <w:t xml:space="preserve"> garažo boksas Nr. 308 (unikalus Nr. 2999-2001-0016:0313) esanti pastate 1G2p </w:t>
                  </w:r>
                  <w:r>
                    <w:rPr>
                      <w:szCs w:val="24"/>
                    </w:rPr>
                    <w:t xml:space="preserve">(unikalus Nr. 2999-2001-0016), </w:t>
                  </w:r>
                  <w:r>
                    <w:rPr>
                      <w:bCs/>
                      <w:szCs w:val="24"/>
                    </w:rPr>
                    <w:t>yra suformuotame 1,1942 ha ploto valstybinės žemės sklype (unikalus Nr. 2901-0029-0167, kadastro Nr. 2901/0029:167), tačiau D. B. ir D. B. nėra sudarę valstybinės žemės nuomos sutarties.</w:t>
                  </w:r>
                </w:p>
                <w:p w14:paraId="4B4FAC4B" w14:textId="77777777">
                  <w:pPr>
                    <w:tabs>
                      <w:tab w:val="left" w:pos="709"/>
                      <w:tab w:val="left" w:pos="993"/>
                    </w:tabs>
                    <w:suppressAutoHyphens/>
                    <w:ind w:firstLine="851"/>
                    <w:jc w:val="both"/>
                    <w:rPr>
                      <w:rFonts w:eastAsia="HG Mincho Light J"/>
                      <w:bCs/>
                      <w:szCs w:val="24"/>
                    </w:rPr>
                  </w:pPr>
                  <w:r>
                    <w:rPr>
                      <w:rFonts w:eastAsia="HG Mincho Light J"/>
                      <w:bCs/>
                      <w:szCs w:val="24"/>
                    </w:rPr>
                    <w:t>Valstybinės žemės nuomą reglamentuoja Lietuvos Respublikos žemės įstatymas ir Naudojamų kitos paskirties valstybinės žemės sklypų nuomos taisyklės, patvirtintos Lietuvos Respublikos Vyriausybės 1999 m. kovo 9 d. nutarimu Nr. 260 „Dėl Naudojamų kitos paskirties valstybinės žemės sklypų pardavimo ir nuomos“ (toliau – Taisyklės).</w:t>
                  </w:r>
                </w:p>
                <w:p w14:paraId="1112CD18" w14:textId="77777777">
                  <w:pPr>
                    <w:ind w:firstLine="851"/>
                    <w:jc w:val="both"/>
                    <w:rPr>
                      <w:i/>
                      <w:iCs/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Taisyklių 28 punkte nurodyta, kad </w:t>
                  </w:r>
                  <w:r>
                    <w:rPr>
                      <w:i/>
                      <w:iCs/>
                      <w:color w:val="000000"/>
                    </w:rPr>
                    <w:t>valstybinės žemės sklypo, reikalingo daugiabučiams gyvenamiesiems namams ar kitos paskirties pastatams eksploatuoti, nuomos sutartį gali sudaryti bendrojo naudojimo objektų valdytojas, jeigu butų ir kitų patalpų arba kitos paskirties pastatų savininkai</w:t>
                  </w:r>
                  <w:r>
                    <w:rPr>
                      <w:b/>
                      <w:bCs/>
                      <w:i/>
                      <w:iCs/>
                      <w:color w:val="000000"/>
                    </w:rPr>
                    <w:t> </w:t>
                  </w:r>
                  <w:r>
                    <w:rPr>
                      <w:i/>
                      <w:iCs/>
                      <w:color w:val="000000"/>
                    </w:rPr>
                    <w:t>priima sprendimą pavesti bendrojo naudojimo objektų valdytojui sudaryti valstybinės žemės nuomos sutartį butų ir kitų patalpų (pastatų) savininkų vardu.</w:t>
                  </w:r>
                </w:p>
                <w:p w14:paraId="1E73E823" w14:textId="266101BB">
                  <w:pPr>
                    <w:ind w:firstLine="851"/>
                    <w:jc w:val="both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Vadovaujantis Taisyklių 10 ir 29 punktais, įvykus sandoriui, minėto nekilnojamojo turto įgijėjas dėl valstybinės žemės sklypo dalies pirkimo turi teisę kreiptis į Nacionalinę žemės tarnybą prie Aplinkos ministerijos, o dėl valstybinės žemės sklypo nuomos sutarties sudarymo gali kreiptis į Šiaulių miesto savivaldybę.</w:t>
                  </w:r>
                </w:p>
              </w:sdtContent>
            </w:sdt>
            <w:sdt>
              <w:sdtPr>
                <w:alias w:val="poskyris"/>
                <w:tag w:val="part_6097c66fe07741c5958df58ee160cd8c"/>
                <w:lock w:val="sdtLocked"/>
                <w:richText/>
              </w:sdtPr>
              <w:sdtContent>
                <w:p w14:paraId="4CB3B3F3" w14:textId="2F4DA2E7">
                  <w:pPr>
                    <w:suppressAutoHyphens/>
                    <w:ind w:firstLine="851"/>
                    <w:jc w:val="both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6097c66fe07741c5958df58ee160cd8c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Sprendimo projekte numatytos naujos teisinio reglamentavimo nuostatos:</w:t>
                      </w:r>
                    </w:sdtContent>
                  </w:sdt>
                </w:p>
                <w:p w14:paraId="506F50C8" w14:textId="2E2E209C">
                  <w:pPr>
                    <w:tabs>
                      <w:tab w:val="left" w:pos="697"/>
                    </w:tabs>
                    <w:suppressAutoHyphens/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color w:val="000000"/>
                    </w:rPr>
                    <w:t>Nenumatoma.</w:t>
                  </w:r>
                </w:p>
              </w:sdtContent>
            </w:sdt>
            <w:sdt>
              <w:sdtPr>
                <w:alias w:val="poskyris"/>
                <w:tag w:val="part_8bba60cd89aa43db9224382ba938adfc"/>
                <w:lock w:val="sdtLocked"/>
                <w:richText/>
              </w:sdtPr>
              <w:sdtContent>
                <w:p w14:paraId="2897EDB6" w14:textId="77777777">
                  <w:pPr>
                    <w:widowControl w:val="0"/>
                    <w:suppressAutoHyphens/>
                    <w:ind w:firstLine="851"/>
                    <w:jc w:val="both"/>
                    <w:rPr>
                      <w:kern w:val="2"/>
                      <w:szCs w:val="24"/>
                      <w:shd w:val="clear" w:color="auto" w:fill="FFFFFF"/>
                      <w:lang w:eastAsia="lt-LT"/>
                    </w:rPr>
                  </w:pPr>
                  <w:sdt>
                    <w:sdtPr>
                      <w:alias w:val="Pavadinimas"/>
                      <w:tag w:val="title_8bba60cd89aa43db9224382ba938adfc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Priėmus sprendimą, galimos pasekmės (tiek teigiamos, tiek neigiamos).</w:t>
                      </w:r>
                    </w:sdtContent>
                  </w:sdt>
                </w:p>
                <w:p w14:paraId="349C5418" w14:textId="459B9FB1">
                  <w:pPr>
                    <w:suppressAutoHyphens/>
                    <w:ind w:firstLine="851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kern w:val="1"/>
                      <w:szCs w:val="24"/>
                      <w:lang w:eastAsia="lt-LT"/>
                    </w:rPr>
                    <w:t>Teigiamos pasekmės – p</w:t>
                  </w: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riėmus sprendimą teigiamų pasekmių nenumatoma. </w:t>
                  </w:r>
                </w:p>
                <w:p w14:paraId="49676343" w14:textId="7C0DB316">
                  <w:pPr>
                    <w:suppressAutoHyphens/>
                    <w:ind w:firstLine="851"/>
                    <w:jc w:val="both"/>
                    <w:rPr>
                      <w:rFonts w:eastAsia="Calibri"/>
                      <w:szCs w:val="24"/>
                      <w:lang w:eastAsia="lt-LT"/>
                    </w:rPr>
                  </w:pPr>
                  <w:r>
                    <w:rPr>
                      <w:kern w:val="1"/>
                      <w:szCs w:val="24"/>
                      <w:lang w:eastAsia="lt-LT"/>
                    </w:rPr>
                    <w:t>Neigiamos pasekmės – p</w:t>
                  </w: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riėmus sprendimą neigiamų pasekmių nenumatoma. </w:t>
                  </w:r>
                </w:p>
              </w:sdtContent>
            </w:sdt>
            <w:sdt>
              <w:sdtPr>
                <w:alias w:val="poskyris"/>
                <w:tag w:val="part_3d9104c713224c18a4ca52051e7e73f7"/>
                <w:lock w:val="sdtLocked"/>
                <w:richText/>
              </w:sdtPr>
              <w:sdtContent>
                <w:p w14:paraId="1E57E06D" w14:textId="40F438D9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3d9104c713224c18a4ca52051e7e73f7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Priėmus sprendimą, keičiami ar pripažįstami negaliojančiais teisės aktai.</w:t>
                      </w:r>
                    </w:sdtContent>
                  </w:sdt>
                </w:p>
                <w:p w14:paraId="2C497C55" w14:textId="0C838015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>Priėmus sprendimą, teisės aktai nekeičiami ir nepripažįstami negaliojančiais.</w:t>
                  </w:r>
                </w:p>
              </w:sdtContent>
            </w:sdt>
            <w:sdt>
              <w:sdtPr>
                <w:alias w:val="poskyris"/>
                <w:tag w:val="part_fe17295dd9d94ff9bc10aa7067312684"/>
                <w:lock w:val="sdtLocked"/>
                <w:richText/>
              </w:sdtPr>
              <w:sdtContent>
                <w:p w14:paraId="1A338E57" w14:textId="6965EC75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fe17295dd9d94ff9bc10aa7067312684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Sprendimui įgyvendinti reikalingi priimti papildomi teisės aktai.</w:t>
                      </w:r>
                    </w:sdtContent>
                  </w:sdt>
                </w:p>
                <w:p w14:paraId="46E861B1" w14:textId="7435B578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>Sprendimui įgyvendinti priimti papildomų teisės aktų nereikia.</w:t>
                  </w:r>
                </w:p>
              </w:sdtContent>
            </w:sdt>
            <w:sdt>
              <w:sdtPr>
                <w:alias w:val="poskyris"/>
                <w:tag w:val="part_45ad8ea77cab459ca1d3c584d5afa817"/>
                <w:lock w:val="sdtLocked"/>
                <w:richText/>
              </w:sdtPr>
              <w:sdtContent>
                <w:p w14:paraId="5BF8A515" w14:textId="4B7FB83A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45ad8ea77cab459ca1d3c584d5afa817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Sprendimui įgyvendinti reikalingos lėšos.</w:t>
                      </w:r>
                    </w:sdtContent>
                  </w:sdt>
                </w:p>
                <w:p w14:paraId="6CE1F20A" w14:textId="7DCB57D1">
                  <w:pPr>
                    <w:widowControl w:val="0"/>
                    <w:suppressAutoHyphens/>
                    <w:ind w:left="57" w:firstLine="794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Sprendimo projekto įgyvendinimui papildomos lėšos nebus reikalingos. </w:t>
                  </w:r>
                </w:p>
              </w:sdtContent>
            </w:sdt>
            <w:sdt>
              <w:sdtPr>
                <w:alias w:val="poskyris"/>
                <w:tag w:val="part_e1677e0eb2024b28ba6414623ed16e8b"/>
                <w:lock w:val="sdtLocked"/>
                <w:richText/>
              </w:sdtPr>
              <w:sdtContent>
                <w:p w14:paraId="330F5A8D" w14:textId="7CF4E974">
                  <w:pPr>
                    <w:widowControl w:val="0"/>
                    <w:suppressAutoHyphens/>
                    <w:ind w:left="57" w:firstLine="794"/>
                    <w:jc w:val="both"/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e1677e0eb2024b28ba6414623ed16e8b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Sprendimo projekto antikorupcinis vertinimas.</w:t>
                      </w:r>
                    </w:sdtContent>
                  </w:sdt>
                </w:p>
                <w:p w14:paraId="6F11A2DE" w14:textId="77777777">
                  <w:pPr>
                    <w:widowControl w:val="0"/>
                    <w:suppressAutoHyphens/>
                    <w:ind w:left="57" w:firstLine="794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kern w:val="1"/>
                      <w:szCs w:val="24"/>
                      <w:shd w:val="clear" w:color="auto" w:fill="FFFFFF"/>
                      <w:lang w:eastAsia="lt-LT"/>
                    </w:rPr>
                    <w:t>Antikorupcinio vertinimo pažyma nepridedama.</w:t>
                  </w:r>
                </w:p>
                <w:p w14:paraId="12A22213" w14:textId="12009118">
                  <w:pPr>
                    <w:widowControl w:val="0"/>
                    <w:suppressAutoHyphens/>
                    <w:ind w:left="57" w:firstLine="794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  <w:t xml:space="preserve">Sprendimo projektą parengė </w:t>
                  </w: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Šiaulių miesto savivaldybės administracijos Žemės valdymo skyrius. Tiesioginis rengėjas − skyriaus vyr. specialistė Deimantė Jurgelytė, tel. 8 41 509 585. </w:t>
                  </w:r>
                </w:p>
              </w:sdtContent>
            </w:sdt>
            <w:sdt>
              <w:sdtPr>
                <w:alias w:val="poskyris"/>
                <w:tag w:val="part_79da7b673abc49b582f6e70a15a36f8f"/>
                <w:lock w:val="sdtLocked"/>
                <w:richText/>
              </w:sdtPr>
              <w:sdtContent>
                <w:p w14:paraId="7101FD74" w14:textId="3A5E93F5">
                  <w:pPr>
                    <w:widowControl w:val="0"/>
                    <w:suppressAutoHyphens/>
                    <w:ind w:left="57" w:firstLine="794"/>
                    <w:jc w:val="both"/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79da7b673abc49b582f6e70a15a36f8f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Numatomo teisinio reguliavimo poveikio vertinimo rezultatai.</w:t>
                      </w:r>
                    </w:sdtContent>
                  </w:sdt>
                </w:p>
                <w:p w14:paraId="74654113" w14:textId="6A126425">
                  <w:pPr>
                    <w:widowControl w:val="0"/>
                    <w:suppressAutoHyphens/>
                    <w:ind w:left="57" w:firstLine="794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bCs/>
                      <w:kern w:val="1"/>
                      <w:szCs w:val="24"/>
                      <w:lang w:eastAsia="lt-LT"/>
                    </w:rPr>
                    <w:t>Numatomo teisinio reguliavimo poveikio vertinimas neatliekamas, nes sprendimo projektu nėra numatoma reglamentuoti iki tol nereglamentuotus santykius ar iš esmės keisti teisinį reguliavimą</w:t>
                  </w: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. </w:t>
                  </w:r>
                </w:p>
                <w:p w14:paraId="4BDF89F8" w14:textId="77777777">
                  <w:pPr>
                    <w:tabs>
                      <w:tab w:val="left" w:pos="570"/>
                    </w:tabs>
                    <w:suppressAutoHyphens/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07a8b30b06b7425b90a005fcc0bf24dc"/>
            <w:lock w:val="sdtLocked"/>
            <w:richText/>
          </w:sdtPr>
          <w:sdtContent>
            <w:p w14:paraId="17BCAA43" w14:textId="1C6DEA0C">
              <w:pPr>
                <w:tabs>
                  <w:tab w:val="left" w:pos="697"/>
                </w:tabs>
                <w:suppressAutoHyphens/>
                <w:spacing w:line="276" w:lineRule="auto"/>
                <w:jc w:val="both"/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  <w:shd w:val="clear" w:color="auto" w:fill="FFFFFF"/>
                </w:rPr>
                <w:t>Skyriaus vedėja</w:t>
                <w:tab/>
                <w:tab/>
                <w:tab/>
                <w:t xml:space="preserve">                                             Oksana Gruzdienė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567" w:bottom="1701" w:left="1701" w:header="567" w:footer="0" w:gutter="0"/>
      <w:cols w:space="1296"/>
      <w:formProt w:val="0"/>
      <w:titlePg/>
      <w:docGrid w:linePitch="3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7AF386E" w14:textId="77777777">
      <w:pPr>
        <w:suppressAutoHyphens/>
      </w:pPr>
      <w:r>
        <w:separator/>
      </w:r>
    </w:p>
  </w:endnote>
  <w:endnote w:type="continuationSeparator" w:id="0">
    <w:p w14:paraId="08A4EDF4" w14:textId="77777777">
      <w:pPr>
        <w:suppressAutoHyphens/>
      </w:pPr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G Mincho Light J">
    <w:altName w:val="Times New Roman"/>
    <w:charset w:val="BA"/>
    <w:family w:val="auto"/>
    <w:pitch w:val="variable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B28C820" w14:textId="77777777">
    <w:pPr>
      <w:suppressAutoHyphens/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BCAA46" w14:textId="77777777">
    <w:pPr>
      <w:tabs>
        <w:tab w:val="center" w:pos="4153"/>
        <w:tab w:val="right" w:pos="8306"/>
      </w:tabs>
      <w:suppressAutoHyphens/>
      <w:rPr>
        <w:rFonts w:ascii="TimesLT" w:hAnsi="TimesLT"/>
        <w:sz w:val="26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8C3418" w14:textId="77777777">
    <w:pPr>
      <w:suppressAutoHyphens/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CEE13C5" w14:textId="77777777">
      <w:pPr>
        <w:suppressAutoHyphens/>
      </w:pPr>
      <w:r>
        <w:separator/>
      </w:r>
    </w:p>
  </w:footnote>
  <w:footnote w:type="continuationSeparator" w:id="0">
    <w:p w14:paraId="407CBCD4" w14:textId="77777777">
      <w:pPr>
        <w:suppressAutoHyphens/>
      </w:pPr>
      <w: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3EF27AD" w14:textId="77777777">
    <w:pPr>
      <w:suppressAutoHyphens/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7FB4C09" w14:textId="6A601F25">
    <w:pPr>
      <w:suppressAutoHyphens/>
      <w:jc w:val="center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 w14:paraId="17BCAA45" w14:textId="77777777">
    <w:pPr>
      <w:tabs>
        <w:tab w:val="center" w:pos="4153"/>
        <w:tab w:val="right" w:pos="8306"/>
      </w:tabs>
      <w:suppressAutoHyphens/>
      <w:jc w:val="center"/>
      <w:rPr>
        <w:szCs w:val="24"/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8E01B75" w14:textId="77777777">
    <w:pPr>
      <w:suppressAutoHyphens/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125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3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BCAA1B"/>
  <w15:docId w15:val="{02BD33E9-FAA8-4088-911A-9698F81BB156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45321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33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114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84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728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76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305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2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236e334cb7a84ab499b80e9e18153bc1" PartId="ef7c293447eb4fdcb1d4e1b96942cd97">
    <Part Type="skyrius" Nr="999" Title="SPRENDIMO„DĖL PRITARIMO PERLEISTI NUOSAVYBĖS TEISE PRIKLAUSANČIĄ NEGYVENAMĄJĄ PATALPĄ – GARAŽO BOKSĄ NR. 308 ŽEMĖS SKLYPE S. DARIAUS IR S. GIRĖNO G. 1A, ŠIAULIŲ MIESTE“" DocPartId="442aedf86750463cb6921b6225aba8d7" PartId="beb32db513ac4dc892cfa32821e58d90">
      <Part Type="poskyris" Title="AIŠKINAMASIS RAŠTAS" DocPartId="4bf42ffea86f4bd7abfa6395cc2571ad" PartId="54e2054238594528b59ceef351b45b39"/>
      <Part Type="poskyris" Title="Parengto sprendimo projekto tikslai ir uždaviniai:" DocPartId="30be1a1da6bb4826b802935bcfdc8540" PartId="626f267733f04c819023e3fac039e5c3"/>
      <Part Type="poskyris" Title="Dabartinis sprendimo projekte aptariamų klausimų reguliavimas:" DocPartId="c90eca35f5dc4ebaa1db4ae83da2951c" PartId="63925338817b4a6fa872cd9005c8f919"/>
      <Part Type="poskyris" Title="Sprendimo projekte numatytos naujos teisinio reglamentavimo nuostatos:" DocPartId="252c6ca84367477a9d11a024628ae7c2" PartId="6097c66fe07741c5958df58ee160cd8c"/>
      <Part Type="poskyris" Title="Priėmus sprendimą, galimos pasekmės (tiek teigiamos, tiek neigiamos)." DocPartId="ee166b587e8a4134b87411620ce32899" PartId="8bba60cd89aa43db9224382ba938adfc"/>
      <Part Type="poskyris" Title="Priėmus sprendimą, keičiami ar pripažįstami negaliojančiais teisės aktai." DocPartId="6a61f0f5c2bb44ddb9738f2597015824" PartId="3d9104c713224c18a4ca52051e7e73f7"/>
      <Part Type="poskyris" Title="Sprendimui įgyvendinti reikalingi priimti papildomi teisės aktai." DocPartId="949b2493931d4deabac52052c9f231a8" PartId="fe17295dd9d94ff9bc10aa7067312684"/>
      <Part Type="poskyris" Title="Sprendimui įgyvendinti reikalingos lėšos." DocPartId="354fc20a85164df9b6de561f360936af" PartId="45ad8ea77cab459ca1d3c584d5afa817"/>
      <Part Type="poskyris" Title="Sprendimo projekto antikorupcinis vertinimas." DocPartId="98f3bffcfa0549dda16b4743edd120a3" PartId="e1677e0eb2024b28ba6414623ed16e8b"/>
      <Part Type="poskyris" Title="Numatomo teisinio reguliavimo poveikio vertinimo rezultatai." DocPartId="ff35c53fb79c4a0abbc7d42033d1b8f6" PartId="79da7b673abc49b582f6e70a15a36f8f"/>
    </Part>
    <Part Type="signatura" DocPartId="73d6baa7a59942b7a6b46f14c7e5e733" PartId="07a8b30b06b7425b90a005fcc0bf24dc"/>
  </Part>
</Parts>
</file>

<file path=customXml/itemProps1.xml><?xml version="1.0" encoding="utf-8"?>
<ds:datastoreItem xmlns:ds="http://schemas.openxmlformats.org/officeDocument/2006/customXml" ds:itemID="{EF239491-5B50-46C0-9280-A3464086C1E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5E400227-FA86-4DF8-B72F-237B942385D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430</Words>
  <Characters>3124</Characters>
  <Application>Microsoft Office Word</Application>
  <DocSecurity>4</DocSecurity>
  <Lines>57</Lines>
  <Paragraphs>33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3521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2024-03-21T09:47:00Z</dcterms:created>
  <dc:creator>Žyvilė Rimšienė</dc:creator>
  <dc:language>en-GB</dc:language>
  <lastModifiedBy>adlibuser</lastModifiedBy>
  <lastPrinted>2024-02-21T11:15:00Z</lastPrinted>
  <dcterms:modified xsi:type="dcterms:W3CDTF">2024-03-21T09:47:00Z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Siauliu miesto administracija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