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f413afb31b243cca4914a162cf34a5c"/>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2026-07-</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483d42739c224e45a42b03c68d45b6c0"/>
        <w:lock w:val="sdtLocked"/>
        <w:richText/>
      </w:sdtPr>
      <w:sdtContent>
        <w:p>
          <w:pPr>
            <w:ind w:firstLine="567"/>
            <w:jc w:val="both"/>
            <w:rPr>
              <w:rFonts w:eastAsia="Andale Sans UI"/>
              <w:szCs w:val="24"/>
              <w:lang w:bidi="en-US"/>
            </w:rPr>
          </w:pPr>
          <w:r>
            <w:rPr>
              <w:rFonts w:eastAsia="Andale Sans UI"/>
              <w:szCs w:val="24"/>
              <w:lang w:bidi="en-US"/>
            </w:rPr>
            <w:t>Aplinkos ministerija teikia derinti Lietuvos Respublikos aplinkos ministro įsakymo „Dėl Lietuvos Respublikos aplinkos ministro 2000 m. birželio 27 d. įsakymo Nr. 258 „Dėl Medžioklės Lietuvos Respublikos teritorijoje taisyklių patvirtinimo“ pakeitimo“ projektą (toliau – Projektas).</w:t>
          </w:r>
        </w:p>
        <w:sdt>
          <w:sdtPr>
            <w:alias w:val="1 p."/>
            <w:tag w:val="part_6833c4f4bb6a48bbb6786948f9540752"/>
            <w:lock w:val="sdtLocked"/>
            <w:richText/>
          </w:sdtPr>
          <w:sdtContent>
            <w:p>
              <w:pPr>
                <w:ind w:firstLine="567"/>
                <w:jc w:val="both"/>
                <w:rPr>
                  <w:rFonts w:eastAsia="Andale Sans UI"/>
                  <w:szCs w:val="24"/>
                  <w:lang w:bidi="en-US"/>
                </w:rPr>
              </w:pPr>
              <w:sdt>
                <w:sdtPr>
                  <w:alias w:val="Numeris"/>
                  <w:tag w:val="nr_6833c4f4bb6a48bbb6786948f9540752"/>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Medžioklės Lietuvos Respublikos teritorijoje taisyklių, patvirtintų</w:t>
              </w:r>
              <w:r>
                <w:rPr>
                  <w:rFonts w:eastAsia="Andale Sans UI" w:cs="Tahoma"/>
                  <w:szCs w:val="24"/>
                  <w:lang w:bidi="en-US"/>
                </w:rPr>
                <w:t xml:space="preserve"> </w:t>
              </w:r>
              <w:r>
                <w:rPr>
                  <w:rFonts w:eastAsia="Andale Sans UI"/>
                  <w:szCs w:val="24"/>
                  <w:lang w:bidi="en-US"/>
                </w:rPr>
                <w:t>Lietuvos Respublikos aplinkos ministro 2000 m. birželio 27 d. įsakymu Nr. 258 „Dėl Medžioklės Lietuvos Respublikos teritorijoje taisyklių patvirtinimo“, (toliau – Medžioklės taisyklės) 2.13 papunktyje nustatyta, kad kitos Medžioklės taisyklėse vartojamos sąvokos suprantamos taip, kaip jas apibrėžia Lietuvos Respublikos medžioklės įstatymas, Lietuvos Respublikos ginklų ir šaudmenų kontrolės įstatymas ir Lietuvos Respublikos saugaus eismo automobilių keliais įstatymas.</w:t>
              </w:r>
            </w:p>
            <w:p>
              <w:pPr>
                <w:ind w:firstLine="567"/>
                <w:jc w:val="both"/>
                <w:rPr>
                  <w:rFonts w:eastAsia="Andale Sans UI"/>
                  <w:szCs w:val="24"/>
                  <w:lang w:bidi="en-US"/>
                </w:rPr>
              </w:pPr>
              <w:r>
                <w:rPr>
                  <w:rFonts w:eastAsia="Andale Sans UI"/>
                  <w:szCs w:val="24"/>
                  <w:lang w:bidi="en-US"/>
                </w:rPr>
                <w:t xml:space="preserve">Medžioklės taisyklėse tamsusis paros metas nurodomas, kaip laikas praėjus daugiau kaip pusantros valandos po saulės nusileidimo ir likus daugiau kaip pusantros valandos iki saulės patekėjimo. </w:t>
              </w:r>
            </w:p>
            <w:p>
              <w:pPr>
                <w:ind w:firstLine="567"/>
                <w:jc w:val="both"/>
                <w:rPr>
                  <w:rFonts w:eastAsia="Andale Sans UI"/>
                  <w:szCs w:val="24"/>
                  <w:lang w:bidi="en-US"/>
                </w:rPr>
              </w:pPr>
              <w:r>
                <w:rPr>
                  <w:rFonts w:eastAsia="Andale Sans UI"/>
                  <w:szCs w:val="24"/>
                  <w:lang w:bidi="en-US"/>
                </w:rPr>
                <w:t>Lietuvos Respublikos saugaus eismo automobilių keliais įstatyme tamsusis paros metas nurodomas, kaip laikas nuo saulėlydžio iki saulėtekio.</w:t>
              </w:r>
            </w:p>
            <w:p>
              <w:pPr>
                <w:ind w:firstLine="567"/>
                <w:jc w:val="both"/>
                <w:rPr>
                  <w:rFonts w:eastAsia="Andale Sans UI"/>
                  <w:szCs w:val="24"/>
                  <w:lang w:bidi="en-US"/>
                </w:rPr>
              </w:pPr>
              <w:r>
                <w:rPr>
                  <w:rFonts w:eastAsia="Andale Sans UI"/>
                  <w:szCs w:val="24"/>
                  <w:lang w:bidi="en-US"/>
                </w:rPr>
                <w:t xml:space="preserve">Esant dabartiniam Medžioklės taisyklių 2.13 papunkčio nuostatų išdėstymui, atsiranda galimybė  dvejopai traktuoti tamsųjį paros metą.</w:t>
              </w:r>
            </w:p>
            <w:p>
              <w:pPr>
                <w:ind w:firstLine="567"/>
                <w:jc w:val="both"/>
                <w:rPr>
                  <w:rFonts w:eastAsia="Andale Sans UI"/>
                  <w:szCs w:val="24"/>
                  <w:lang w:bidi="en-US"/>
                </w:rPr>
              </w:pPr>
              <w:r>
                <w:rPr>
                  <w:rFonts w:eastAsia="Andale Sans UI"/>
                  <w:szCs w:val="24"/>
                  <w:lang w:bidi="en-US"/>
                </w:rPr>
                <w:t>Medžioklės taisyklėse minimi medžiojamieji gyvūnai ir laukiniai gyvūnai. Gyvūnų ir laukinių gyvūnų sąvokų apibrėžimai nurodyti Lietuvos Respublikos gyvūnų gerovės ir apsaugos įstatyme ir Lietuvos Respublikos laukinės gyvūnijos įstatyme . Šie teisės aktai Medžioklės taisyklėse neminimi.</w:t>
              </w:r>
            </w:p>
            <w:p>
              <w:pPr>
                <w:ind w:firstLine="567"/>
                <w:jc w:val="both"/>
                <w:rPr>
                  <w:rFonts w:eastAsia="Andale Sans UI"/>
                  <w:szCs w:val="24"/>
                  <w:lang w:bidi="en-US"/>
                </w:rPr>
              </w:pPr>
              <w:r>
                <w:rPr>
                  <w:rFonts w:eastAsia="Andale Sans UI"/>
                  <w:szCs w:val="24"/>
                  <w:lang w:bidi="en-US"/>
                </w:rPr>
                <w:t>2026 m. vasario 27 d. vykusio Darbo grupės Nacionalinio afrikinio kiaulių maro valdymo veiksmų plano projektui rengti (toliau – Darbo grupė) pasitarimo metu buvo aptartas Medžioklės taisyklių nuostatų, susijusių su medžiojamų gyvūnų šėryklos ir viliojimo vietos sąvokomis, tikslinimas Afrikinio kiaulių maro prevencijos ir kontrolės kontekste. Pasitarimo metu nutarta šalinti gyvūnų šėryklos, šėrimo sąvokas iš Medžioklės taisyklių, siekiant suderinti Medžioklės taisyklėse naudojamą viliojimo vietos sąvoką su Afrikinio kiaulių maro prevencijos, kontrolės ir likvidavimo Sąjungoje gairėse (toliau – AKM gairės) naudojamu jauko naudojimo apibrėžtimi, siekiant aiškaus, vienodo ir su ES teisiniu reglamentavimu suderinto sąvokų taikymo. Darbo grupės nuomone toks teisinio reguliavimo patikslinimas užtikrintų nuoseklų Afrikinio kiaulių maro prevencijos priemonių įgyvendinimą.</w:t>
              </w:r>
            </w:p>
            <w:p>
              <w:pPr>
                <w:ind w:firstLine="567"/>
                <w:jc w:val="both"/>
                <w:rPr>
                  <w:rFonts w:eastAsia="Andale Sans UI"/>
                  <w:szCs w:val="24"/>
                  <w:lang w:bidi="en-US"/>
                </w:rPr>
              </w:pPr>
              <w:r>
                <w:rPr>
                  <w:rFonts w:eastAsia="Andale Sans UI"/>
                  <w:szCs w:val="24"/>
                  <w:lang w:bidi="en-US"/>
                </w:rPr>
                <w:t xml:space="preserve">Medžioklės taisyklių 12 punkte nustatyta tvarka, kaip galima vykdyti šunų mokymą medžioti tam tikru medžioklės būdu arba lauko bandymus, varžybas. Taip pat nurodoma, kad kitais atvejais medžioklės plotuose šunys vedžiojami tik su pavadėliais. </w:t>
              </w:r>
            </w:p>
            <w:p>
              <w:pPr>
                <w:ind w:firstLine="567"/>
                <w:jc w:val="both"/>
                <w:rPr>
                  <w:rFonts w:eastAsia="Andale Sans UI"/>
                  <w:szCs w:val="24"/>
                  <w:lang w:bidi="en-US"/>
                </w:rPr>
              </w:pPr>
              <w:r>
                <w:rPr>
                  <w:rFonts w:eastAsia="Andale Sans UI"/>
                  <w:szCs w:val="24"/>
                  <w:lang w:bidi="en-US"/>
                </w:rPr>
                <w:t>Atsižvelgiant į tai, kad Medžioklės taisyklėse tik 12 punkte nurodoma, kaip turi būti vedžiojami šunys, susidaro prielaida skirtingai interpretuoti Medžioklės taisyklių nuostatas ir tampa neaišku ar šunys gali būti paleidžiami nuo pavadėlio vykdant atitinkamus medžioklių su šunimis būdus, medžioklės metu sužeistų gyvūnų paiešką, ar tik apmokant šunis medžioti tam tikru medžioklės būdu arba vykdant šunų lauko bandymus, varžybas.</w:t>
              </w:r>
            </w:p>
            <w:p>
              <w:pPr>
                <w:ind w:firstLine="567"/>
                <w:jc w:val="both"/>
                <w:rPr>
                  <w:rFonts w:eastAsia="Andale Sans UI"/>
                  <w:szCs w:val="24"/>
                  <w:lang w:bidi="en-US"/>
                </w:rPr>
              </w:pPr>
              <w:r>
                <w:rPr>
                  <w:rFonts w:eastAsia="Andale Sans UI"/>
                  <w:szCs w:val="24"/>
                  <w:lang w:bidi="en-US"/>
                </w:rPr>
                <w:t>Medžioklės taisyklių 15.2 papunktyje nurodomi medžiojamųjų gyvūnų medžioklės terminai. Briedžių patinų, patelių ir jauniklių medžiojimo pabaigos terminai yra skirtingi. Kadangi praktikoje pasitaiko atvejų, teisėtai medžiojant briedžių jauniklius per klaidą sumedžiojamas gumbaragis arba ragus numetęs patinas, arba antrametė briedžio patelė, medžioklės taisyklių 28.3 papunktyje nustatyta tokių atvejų pažymėjimo medžioklės dokumentuose ir pranešimo Aplinkos apsaugos departamentui tvarka. Tačiau tarp medžiotojų ir aplinkos apsaugos valstybinės priežiūros pareigūnų iškyla ginčiai dėl tokio įvykio traktavimo, ar situacija, kai medžioklės terminui pasibaigus per klaidą sumedžiojama antrametė patelė ar ragus numetęs patinas gali būti traktuojama, kaip medžioklės terminų pažeidimas.</w:t>
              </w:r>
            </w:p>
            <w:p>
              <w:pPr>
                <w:ind w:firstLine="567"/>
                <w:jc w:val="both"/>
                <w:rPr>
                  <w:rFonts w:eastAsia="Andale Sans UI"/>
                  <w:szCs w:val="24"/>
                  <w:lang w:bidi="en-US"/>
                </w:rPr>
              </w:pPr>
              <w:r>
                <w:rPr>
                  <w:rFonts w:eastAsia="Andale Sans UI"/>
                  <w:szCs w:val="24"/>
                  <w:lang w:bidi="en-US"/>
                </w:rPr>
                <w:t xml:space="preserve">Medžioklės taisyklių 46 punkte nustatyta, kad medžiotojas, sumedžiojęs elninius žvėris, jų ragus su kaukole ir apatiniu žandikauliu, o sumedžiojęs vilką, - jo kaukolę, pasibaigus medžioklės sezonui, pristato į medžioklės trofėjų apžiūrą. </w:t>
              </w:r>
            </w:p>
            <w:p>
              <w:pPr>
                <w:ind w:firstLine="567"/>
                <w:jc w:val="both"/>
                <w:rPr>
                  <w:rFonts w:eastAsia="Andale Sans UI"/>
                  <w:szCs w:val="24"/>
                  <w:lang w:bidi="en-US"/>
                </w:rPr>
              </w:pPr>
              <w:r>
                <w:rPr>
                  <w:rFonts w:eastAsia="Andale Sans UI"/>
                  <w:szCs w:val="24"/>
                  <w:lang w:bidi="en-US"/>
                </w:rPr>
                <w:t>Suaugusių elninių žvėrių patinai medžiojami vadovaujantis Elninių žvėrių atrankinės medžioklės nuostatų, patvirtintų Lietuvos Respublikos aplinkos ministro 2021 m. kovo 5 d. įsakymu Nr. D1-138 „Dėl Medžioklės trofėjų apžiūros tvarkos aprašo ir Elninių žvėrių atrankinės medžioklės nuostatų patvirtinimo“, reikalavimais. Patinų trofėjų pateikimas į medžioklės trofėjų apžiūrą padeda įvertinti elninių žvėrių bandos kokybinius pokyčius. Taip pat pažymėtina, kad minėtu aplinkos ministro įsakymu patvirtinto Medžioklės trofėjų apžiūros tvarkos aprašo reglamentuojamų trofėjų apžiūrų tikslas yra pagal pateiktus teisėtai sumedžiotų elninių žvėrių trofėjus nustatyti, ar medžiojant šiuos žvėris laikomasi jų atrankos reikalavimų.</w:t>
              </w:r>
            </w:p>
            <w:p>
              <w:pPr>
                <w:ind w:firstLine="567"/>
                <w:jc w:val="both"/>
                <w:rPr>
                  <w:rFonts w:eastAsia="Andale Sans UI"/>
                  <w:szCs w:val="24"/>
                  <w:lang w:bidi="en-US"/>
                </w:rPr>
              </w:pPr>
              <w:r>
                <w:rPr>
                  <w:rFonts w:eastAsia="Andale Sans UI"/>
                  <w:szCs w:val="24"/>
                  <w:lang w:bidi="en-US"/>
                </w:rPr>
                <w:t>Vilkų medžioklei atrankinės medžioklės reikalavimai nėra nustatyti, jų genetiniai tyrimai atliekami paimant iš sumedžiotų vilkų tam tikras dalis, medžioklėse sumedžiojami įvairaus amžiaus vilkai. Sumedžiotų vilkų trofėjai neretai būna menkaverčiai, ypač jaunų vilkų, o jų paruošimas trofėjų apžiūrai užima laiko ir sąnaudų.</w:t>
              </w:r>
            </w:p>
            <w:p>
              <w:pPr>
                <w:ind w:firstLine="567"/>
                <w:jc w:val="both"/>
                <w:rPr>
                  <w:rFonts w:eastAsia="Andale Sans UI"/>
                  <w:szCs w:val="24"/>
                  <w:lang w:bidi="en-US"/>
                </w:rPr>
              </w:pPr>
              <w:r>
                <w:rPr>
                  <w:rFonts w:eastAsia="Andale Sans UI"/>
                  <w:szCs w:val="24"/>
                  <w:lang w:bidi="en-US"/>
                </w:rPr>
                <w:t>Pagal Policijos licencijuojamos veiklos informacinės sistemos nuostatus, patvirtintus Lietuvos policijos generalinio komisaro 2015 m. kovo 13 d. įsakymu Nr. 5-V-262 „Dėl</w:t>
              </w:r>
              <w:r>
                <w:rPr>
                  <w:rFonts w:eastAsia="Andale Sans UI" w:cs="Tahoma"/>
                  <w:color w:val="000000"/>
                  <w:szCs w:val="24"/>
                  <w:lang w:bidi="en-US"/>
                </w:rPr>
                <w:t xml:space="preserve"> </w:t>
              </w:r>
              <w:r>
                <w:rPr>
                  <w:rFonts w:eastAsia="Andale Sans UI"/>
                  <w:szCs w:val="24"/>
                  <w:lang w:bidi="en-US"/>
                </w:rPr>
                <w:t xml:space="preserve">Policijos licencijuojamos veiklos informacinės sistemos nuostatų patvirtinimo“, duomenų tvarkytojas yra ir Aplinkos apsaugos departamentas prie Aplinkos ministerijos, o duomenys apie medžiotojų turimus ginklus tapo pasiekiami aplinkos apsaugos valstybinės priežiūros pareigūnams elektroninėje sistemoje. Viešojo administravimo įstatymo 12 straipsnio 2 dalyje nurodoma, kad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 Todėl Medžioklės taisyklių 58.7 papunktyje esantis reikalavimas A, B, C kategorijų ginklų, jų šaudmenų savininkui, naudotojui nešiotis ginklą tik turint su savimi leidimą jį nešioti tapo nepagrįstas. Taip pat  reikalavimo, kad A, B, C kategorijų ginklų, jų šaudmenų savininkui, naudotojui draudžiama nešiotis ginklą neturint su savimi leidimo jį nešioti nėra ir Lietuvos Respublikos ginklų ir šaudmenų kontrolės įstatyme.</w:t>
              </w:r>
            </w:p>
            <w:p>
              <w:pPr>
                <w:ind w:firstLine="567"/>
                <w:jc w:val="both"/>
                <w:rPr>
                  <w:rFonts w:eastAsia="Andale Sans UI"/>
                  <w:szCs w:val="24"/>
                  <w:lang w:bidi="en-US"/>
                </w:rPr>
              </w:pPr>
              <w:r>
                <w:rPr>
                  <w:rFonts w:eastAsia="Andale Sans UI"/>
                  <w:szCs w:val="24"/>
                  <w:lang w:bidi="en-US"/>
                </w:rPr>
                <w:t xml:space="preserve">Medžioklės taisyklių 71.9 papunktyje nustatytas draudimas varantiems medžiojamuosius gyvūnus medžiotojams neštis užtaisytus ginklus ir šaudyti į žvėris ir paukščius. Ši nuostata apsunkina galimybę nedelsiant nutraukti sužeisto gyvūno kančias. </w:t>
              </w:r>
            </w:p>
          </w:sdtContent>
        </w:sdt>
        <w:sdt>
          <w:sdtPr>
            <w:alias w:val="2 p."/>
            <w:tag w:val="part_cb3a6c90477644daad8669aa9624b548"/>
            <w:lock w:val="sdtLocked"/>
            <w:richText/>
          </w:sdtPr>
          <w:sdtContent>
            <w:p>
              <w:pPr>
                <w:ind w:firstLine="567"/>
                <w:jc w:val="both"/>
                <w:rPr>
                  <w:rFonts w:eastAsia="Andale Sans UI"/>
                  <w:szCs w:val="24"/>
                  <w:lang w:bidi="en-US"/>
                </w:rPr>
              </w:pPr>
              <w:sdt>
                <w:sdtPr>
                  <w:alias w:val="Numeris"/>
                  <w:tag w:val="nr_cb3a6c90477644daad8669aa9624b548"/>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Projektu siūloma Afrikinio kiaulių maro prevencijos ir kontrolės kontekste patikslinti Medžioklės taisykles atsisakant medžiojamųjų gyvūnų šėryklos sąvokos bei patikslinant su šia sąvoka susijusių Medžioklės taisyklių 2.3, 2.12, 56.5, 571, 58.30, 58.31, 58.32 ir 58.33 papunkčių nuostatas.</w:t>
              </w:r>
            </w:p>
            <w:p>
              <w:pPr>
                <w:ind w:firstLine="567"/>
                <w:jc w:val="both"/>
                <w:rPr>
                  <w:rFonts w:eastAsia="Andale Sans UI"/>
                  <w:szCs w:val="24"/>
                  <w:lang w:bidi="en-US"/>
                </w:rPr>
              </w:pPr>
              <w:r>
                <w:rPr>
                  <w:rFonts w:eastAsia="Andale Sans UI"/>
                  <w:szCs w:val="24"/>
                  <w:lang w:bidi="en-US"/>
                </w:rPr>
                <w:t>Siekiant išvengti dvejopo tamsiojo paros meto traktavimo, taip pat nurodyti į Medžioklės taisyklėse naudojamų sąvokų gyvūnas, laukinis gyvūnas apibrėžimų šaltinius, siūloma patikslinti Medžioklės taisyklių 2.13 papunktį, išbraukiant nuorodą į Lietuvos Respublikos saugaus eismo automobilių keliais įstatymą ir papildant nuorodomis į Lietuvos Respublikos gyvūnų gerovės ir apsaugos įstatymą ir Lietuvos Respublikos laukinės gyvūnijos įstatymą.</w:t>
              </w:r>
            </w:p>
            <w:p>
              <w:pPr>
                <w:ind w:firstLine="567"/>
                <w:jc w:val="both"/>
                <w:rPr>
                  <w:rFonts w:eastAsia="Andale Sans UI"/>
                  <w:szCs w:val="24"/>
                  <w:lang w:bidi="en-US"/>
                </w:rPr>
              </w:pPr>
              <w:r>
                <w:rPr>
                  <w:rFonts w:eastAsia="Andale Sans UI"/>
                  <w:szCs w:val="24"/>
                  <w:lang w:bidi="en-US"/>
                </w:rPr>
                <w:t>Siūloma papildyti Medžioklės taisyklių 12 punktą papildant nuostata, kada šunys turi būti vedžiojami su pavadėliais.</w:t>
              </w:r>
            </w:p>
            <w:p>
              <w:pPr>
                <w:ind w:firstLine="567"/>
                <w:jc w:val="both"/>
                <w:rPr>
                  <w:rFonts w:eastAsia="Andale Sans UI"/>
                  <w:szCs w:val="24"/>
                  <w:lang w:bidi="en-US"/>
                </w:rPr>
              </w:pPr>
              <w:r>
                <w:rPr>
                  <w:rFonts w:eastAsia="Andale Sans UI"/>
                  <w:szCs w:val="24"/>
                  <w:lang w:bidi="en-US"/>
                </w:rPr>
                <w:t xml:space="preserve">Siekiant išvengti kylančių ginčų tarp medžiotojų ir aplinkos apsaugos reikalavimų kontrolę vykdančių pareigūnų dėl Medžioklės taisyklių nuostatų traktavimo, siūloma pakeisti Medžioklės taisyklių  15.2.1. papunktį nustatant vienodą briedžių patinų, patelių ir jauniklių medžioklės pabaigos terminą. Taip pat patikslinti su tokiais pakeitimais susijusį medžioklės taisyklių 28.3 papunktį.</w:t>
              </w:r>
            </w:p>
            <w:p>
              <w:pPr>
                <w:ind w:firstLine="567"/>
                <w:jc w:val="both"/>
                <w:rPr>
                  <w:rFonts w:eastAsia="Andale Sans UI"/>
                  <w:szCs w:val="24"/>
                  <w:lang w:bidi="en-US"/>
                </w:rPr>
              </w:pPr>
              <w:r>
                <w:rPr>
                  <w:rFonts w:eastAsia="Andale Sans UI"/>
                  <w:szCs w:val="24"/>
                  <w:lang w:bidi="en-US"/>
                </w:rPr>
                <w:t xml:space="preserve">Siūloma pakeisti Medžioklės taisyklių 46 punktą, atsisakant reikalavimo sumedžiojus vilką, - jo kaukolę, pasibaigus medžioklės sezonui, pristatyti į medžioklės trofėjų apžiūrą. </w:t>
              </w:r>
            </w:p>
            <w:p>
              <w:pPr>
                <w:ind w:firstLine="567"/>
                <w:jc w:val="both"/>
                <w:rPr>
                  <w:rFonts w:eastAsia="Andale Sans UI"/>
                  <w:szCs w:val="24"/>
                  <w:lang w:bidi="en-US"/>
                </w:rPr>
              </w:pPr>
              <w:r>
                <w:rPr>
                  <w:rFonts w:eastAsia="Andale Sans UI"/>
                  <w:szCs w:val="24"/>
                  <w:lang w:bidi="en-US"/>
                </w:rPr>
                <w:t>Siūloma patikslinti Medžioklės taisyklių 58.7 papunkčio nuostatas dėl ginklų ir šaudmenų nešiojimo reikalavimų, atsižvelgiant į Lietuvos Respublikos ginklų ir šaudmenų kontrolės įstatymo pasikeitimus atsisakant reikalavimo A, B, C kategorijų ginklų, jų šaudmenų savininkui, naudotojui nešiotis ginklą tik turint su savimi leidimą jį nešioti.</w:t>
              </w:r>
            </w:p>
            <w:p>
              <w:pPr>
                <w:ind w:firstLine="567"/>
                <w:jc w:val="both"/>
                <w:rPr>
                  <w:rFonts w:eastAsia="Andale Sans UI"/>
                  <w:szCs w:val="24"/>
                  <w:lang w:bidi="en-US"/>
                </w:rPr>
              </w:pPr>
              <w:r>
                <w:rPr>
                  <w:rFonts w:eastAsia="Andale Sans UI"/>
                  <w:szCs w:val="24"/>
                  <w:lang w:bidi="en-US"/>
                </w:rPr>
                <w:t>Siūloma patikslinti Medžioklės taisyklių 71.9 papunkčio nuostatas suteikiant varyme dalyvaujantiems medžiotojams galimybę panaudoti B ir C kategorijos trumpuosius šaunamuosius ginklus siekiant nutraukti sužeisto ar sužaloto medžiojamojo gyvūno kančias, tačiau išlaikant saugumo reikalavimą tokius ginklus neštis neužtaisytus.</w:t>
              </w:r>
            </w:p>
          </w:sdtContent>
        </w:sdt>
        <w:sdt>
          <w:sdtPr>
            <w:alias w:val="3 p."/>
            <w:tag w:val="part_b16adf4bc385481cbe7df3f9014e04cf"/>
            <w:lock w:val="sdtLocked"/>
            <w:richText/>
          </w:sdtPr>
          <w:sdtContent>
            <w:p>
              <w:pPr>
                <w:ind w:firstLine="567"/>
                <w:jc w:val="both"/>
                <w:rPr>
                  <w:rFonts w:eastAsia="Andale Sans UI"/>
                  <w:b/>
                  <w:bCs/>
                  <w:szCs w:val="24"/>
                  <w:lang w:bidi="en-US"/>
                </w:rPr>
              </w:pPr>
              <w:sdt>
                <w:sdtPr>
                  <w:alias w:val="Numeris"/>
                  <w:tag w:val="nr_b16adf4bc385481cbe7df3f9014e04cf"/>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ind w:firstLine="567"/>
                <w:jc w:val="both"/>
                <w:textAlignment w:val="center"/>
                <w:rPr>
                  <w:rFonts w:eastAsia="Andale Sans UI"/>
                  <w:iCs/>
                  <w:szCs w:val="24"/>
                  <w:lang w:bidi="en-US"/>
                </w:rPr>
              </w:pPr>
              <w:r>
                <w:rPr>
                  <w:rFonts w:eastAsia="Andale Sans UI"/>
                  <w:iCs/>
                  <w:szCs w:val="24"/>
                  <w:lang w:bidi="en-US"/>
                </w:rPr>
                <w:t xml:space="preserve">Projektui įgyvendinti papildomų lėšų nereikės. </w:t>
              </w:r>
            </w:p>
            <w:p>
              <w:pPr>
                <w:shd w:val="clear" w:color="auto" w:fill="FFFFFF"/>
                <w:ind w:firstLine="567"/>
                <w:jc w:val="both"/>
                <w:textAlignment w:val="center"/>
                <w:rPr>
                  <w:rFonts w:eastAsia="Andale Sans UI"/>
                  <w:iCs/>
                  <w:szCs w:val="24"/>
                  <w:lang w:bidi="en-US"/>
                </w:rPr>
              </w:pPr>
              <w:r>
                <w:rPr>
                  <w:rFonts w:eastAsia="Andale Sans UI"/>
                  <w:iCs/>
                  <w:szCs w:val="24"/>
                  <w:lang w:bidi="en-US"/>
                </w:rPr>
                <w:t>Priėmus Projektą, bus atsisakyta medžiojamų gyvūnų šėryklos apibrėžimo ir šėrimą reguliuojančių nuostatų, taip užtikrinant Afrikinio kiaulių maro prevencijos priemonių įgyvendinimą. Neliks galimybės dvejopai traktuoti taisyklėse nurodomą tamsų paros metą, Medžioklės taisyklės bus papildytos nuorodomis į trūkstamus teisės aktus, bus aiškiau įvardintos šunų naudojimo medžioklėse sąlygos bei atsisakyta reikalavimo, pasibaigus medžioklės sezonui, pristatyti į medžioklės trofėjų apžiūrą vilkų kaukoles, patikslintos Medžioklės taisyklių nuostatos dėl ginklų ir šaudmenų nešiojimo reikalavimų, atsižvelgiant į kitų, reglamentuojančių ginklų nešiojimą, teisės aktų pasikeitimus.</w:t>
              </w:r>
            </w:p>
          </w:sdtContent>
        </w:sdt>
        <w:sdt>
          <w:sdtPr>
            <w:alias w:val="4 p."/>
            <w:tag w:val="part_5eb2bbced3294188b0df73cd13d0c6c5"/>
            <w:lock w:val="sdtLocked"/>
            <w:richText/>
          </w:sdtPr>
          <w:sdtContent>
            <w:p>
              <w:pPr>
                <w:ind w:firstLine="567"/>
                <w:jc w:val="both"/>
                <w:rPr>
                  <w:b/>
                  <w:bCs/>
                  <w:szCs w:val="24"/>
                  <w:lang w:eastAsia="lt-LT" w:bidi="en-US"/>
                </w:rPr>
              </w:pPr>
              <w:sdt>
                <w:sdtPr>
                  <w:alias w:val="Numeris"/>
                  <w:tag w:val="nr_5eb2bbced3294188b0df73cd13d0c6c5"/>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Dvidešimtosios Lietuvos Respublikos Vyriausybės programai.</w:t>
              </w:r>
            </w:p>
          </w:sdtContent>
        </w:sdt>
        <w:sdt>
          <w:sdtPr>
            <w:alias w:val="5 p."/>
            <w:tag w:val="part_afa4db707bff4865858077450ccfcbaa"/>
            <w:lock w:val="sdtLocked"/>
            <w:richText/>
          </w:sdtPr>
          <w:sdtContent>
            <w:p>
              <w:pPr>
                <w:ind w:firstLine="567"/>
                <w:jc w:val="both"/>
                <w:rPr>
                  <w:rFonts w:eastAsia="Andale Sans UI" w:cs="Tahoma"/>
                  <w:szCs w:val="24"/>
                  <w:lang w:bidi="en-US"/>
                </w:rPr>
              </w:pPr>
              <w:sdt>
                <w:sdtPr>
                  <w:alias w:val="Numeris"/>
                  <w:tag w:val="nr_afa4db707bff4865858077450ccfcbaa"/>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48f1349b52ea4c629287effecc17b18a"/>
            <w:lock w:val="sdtLocked"/>
            <w:richText/>
          </w:sdtPr>
          <w:sdtContent>
            <w:p>
              <w:pPr>
                <w:ind w:firstLine="567"/>
                <w:jc w:val="both"/>
                <w:rPr>
                  <w:rFonts w:eastAsia="Andale Sans UI" w:cs="Tahoma"/>
                  <w:szCs w:val="24"/>
                  <w:lang w:bidi="en-US"/>
                </w:rPr>
              </w:pPr>
              <w:sdt>
                <w:sdtPr>
                  <w:alias w:val="Numeris"/>
                  <w:tag w:val="nr_48f1349b52ea4c629287effecc17b18a"/>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d0e356e3952341afa2553b9ef65228d6"/>
            <w:lock w:val="sdtLocked"/>
            <w:richText/>
          </w:sdtPr>
          <w:sdtContent>
            <w:p>
              <w:pPr>
                <w:ind w:firstLine="567"/>
                <w:jc w:val="both"/>
                <w:rPr>
                  <w:rFonts w:eastAsia="Andale Sans UI" w:cs="Tahoma"/>
                  <w:szCs w:val="24"/>
                  <w:lang w:bidi="en-US"/>
                </w:rPr>
              </w:pPr>
              <w:sdt>
                <w:sdtPr>
                  <w:alias w:val="Numeris"/>
                  <w:tag w:val="nr_d0e356e3952341afa2553b9ef65228d6"/>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96eccdb6b5f64b3bafb005611cfd9b1b"/>
            <w:lock w:val="sdtLocked"/>
            <w:richText/>
          </w:sdtPr>
          <w:sdtContent>
            <w:p>
              <w:pPr>
                <w:ind w:firstLine="567"/>
                <w:jc w:val="both"/>
                <w:rPr>
                  <w:rFonts w:eastAsia="Andale Sans UI" w:cs="Tahoma"/>
                  <w:color w:val="000000"/>
                  <w:szCs w:val="24"/>
                  <w:lang w:bidi="en-US"/>
                </w:rPr>
              </w:pPr>
              <w:sdt>
                <w:sdtPr>
                  <w:alias w:val="Numeris"/>
                  <w:tag w:val="nr_96eccdb6b5f64b3bafb005611cfd9b1b"/>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f39f5ee32311414a83bce1007997a164"/>
            <w:lock w:val="sdtLocked"/>
            <w:richText/>
          </w:sdtPr>
          <w:sdtContent>
            <w:p>
              <w:pPr>
                <w:ind w:firstLine="567"/>
                <w:jc w:val="both"/>
                <w:rPr>
                  <w:rFonts w:eastAsia="Andale Sans UI"/>
                  <w:b/>
                  <w:bCs/>
                  <w:szCs w:val="24"/>
                  <w:lang w:bidi="en-US"/>
                </w:rPr>
              </w:pPr>
              <w:sdt>
                <w:sdtPr>
                  <w:alias w:val="Numeris"/>
                  <w:tag w:val="nr_f39f5ee32311414a83bce1007997a164"/>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1de300866bba4108b7654f7892f7b7a4"/>
            <w:lock w:val="sdtLocked"/>
            <w:richText/>
          </w:sdtPr>
          <w:sdtContent>
            <w:p>
              <w:pPr>
                <w:ind w:firstLine="567"/>
                <w:jc w:val="both"/>
                <w:rPr>
                  <w:rFonts w:eastAsia="Andale Sans UI"/>
                  <w:b/>
                  <w:bCs/>
                  <w:szCs w:val="24"/>
                  <w:lang w:bidi="en-US"/>
                </w:rPr>
              </w:pPr>
              <w:sdt>
                <w:sdtPr>
                  <w:alias w:val="Numeris"/>
                  <w:tag w:val="nr_1de300866bba4108b7654f7892f7b7a4"/>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76e9db51576942a888419bfa02ff48ba"/>
            <w:lock w:val="sdtLocked"/>
            <w:richText/>
          </w:sdtPr>
          <w:sdtContent>
            <w:p>
              <w:pPr>
                <w:ind w:firstLine="567"/>
                <w:jc w:val="both"/>
                <w:rPr>
                  <w:rFonts w:eastAsia="Andale Sans UI"/>
                  <w:b/>
                  <w:bCs/>
                  <w:szCs w:val="24"/>
                  <w:lang w:bidi="en-US"/>
                </w:rPr>
              </w:pPr>
              <w:sdt>
                <w:sdtPr>
                  <w:alias w:val="Numeris"/>
                  <w:tag w:val="nr_76e9db51576942a888419bfa02ff48ba"/>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color w:val="000000"/>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p>
              <w:pPr>
                <w:shd w:val="clear" w:color="auto" w:fill="FFFFFF"/>
                <w:ind w:firstLine="567"/>
                <w:jc w:val="both"/>
                <w:textAlignment w:val="center"/>
                <w:rPr>
                  <w:rFonts w:eastAsia="Andale Sans UI"/>
                  <w:b/>
                  <w:bCs/>
                  <w:szCs w:val="24"/>
                  <w:lang w:bidi="en-US"/>
                </w:rPr>
              </w:pPr>
              <w:r>
                <w:rPr>
                  <w:rFonts w:eastAsia="Andale Sans UI"/>
                  <w:color w:val="000000"/>
                  <w:szCs w:val="24"/>
                  <w:lang w:bidi="en-US"/>
                </w:rPr>
                <w:t xml:space="preserve">Atliktas Projekto antikorupcinis vertinimas. </w:t>
              </w:r>
            </w:p>
          </w:sdtContent>
        </w:sdt>
        <w:sdt>
          <w:sdtPr>
            <w:alias w:val="12 p."/>
            <w:tag w:val="part_f73744bbb6204ef9b455bb0425d78743"/>
            <w:lock w:val="sdtLocked"/>
            <w:richText/>
          </w:sdtPr>
          <w:sdtContent>
            <w:p>
              <w:pPr>
                <w:ind w:firstLine="567"/>
                <w:jc w:val="both"/>
                <w:rPr>
                  <w:rFonts w:eastAsia="Andale Sans UI"/>
                  <w:b/>
                  <w:bCs/>
                  <w:i/>
                  <w:iCs/>
                  <w:color w:val="000000"/>
                  <w:szCs w:val="24"/>
                  <w:lang w:bidi="en-US"/>
                </w:rPr>
              </w:pPr>
              <w:sdt>
                <w:sdtPr>
                  <w:alias w:val="Numeris"/>
                  <w:tag w:val="nr_f73744bbb6204ef9b455bb0425d78743"/>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iCs/>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iCs/>
                  <w:color w:val="000000"/>
                  <w:szCs w:val="24"/>
                  <w:lang w:bidi="en-US"/>
                </w:rPr>
                <w:t xml:space="preserve">nurodomas </w:t>
              </w:r>
              <w:r>
                <w:rPr>
                  <w:rFonts w:eastAsia="Andale Sans UI"/>
                  <w:i/>
                  <w:iCs/>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iCs/>
                  <w:szCs w:val="24"/>
                  <w:lang w:bidi="en-US"/>
                </w:rPr>
                <w:t xml:space="preserve"> ir apibendrinti konsultavimosi rezultatai </w:t>
              </w:r>
              <w:r>
                <w:rPr>
                  <w:rFonts w:eastAsia="Andale Sans UI"/>
                  <w:i/>
                  <w:iCs/>
                  <w:color w:val="000000"/>
                  <w:szCs w:val="24"/>
                  <w:lang w:bidi="en-US"/>
                </w:rPr>
                <w:t xml:space="preserve">– </w:t>
              </w:r>
              <w:r>
                <w:rPr>
                  <w:rFonts w:eastAsia="Andale Sans UI"/>
                  <w:i/>
                  <w:iCs/>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b/>
                  <w:bCs/>
                  <w:szCs w:val="24"/>
                  <w:lang w:bidi="en-US"/>
                </w:rPr>
                <w:t>arba</w:t>
              </w:r>
              <w:r>
                <w:rPr>
                  <w:rFonts w:eastAsia="Andale Sans UI"/>
                  <w:szCs w:val="24"/>
                  <w:lang w:bidi="en-US"/>
                </w:rPr>
                <w:t xml:space="preserve"> P</w:t>
              </w:r>
              <w:r>
                <w:rPr>
                  <w:rFonts w:eastAsia="Andale Sans UI"/>
                  <w:color w:val="000000"/>
                  <w:szCs w:val="24"/>
                  <w:lang w:bidi="en-US"/>
                </w:rPr>
                <w:t>rojektas viešosioms konsultacijoms paskelbtas (</w:t>
              </w:r>
              <w:r>
                <w:rPr>
                  <w:rFonts w:eastAsia="Andale Sans UI"/>
                  <w:b/>
                  <w:b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a64b5a14203d4bee86c30f5147d28dd9"/>
            <w:lock w:val="sdtLocked"/>
            <w:richText/>
          </w:sdtPr>
          <w:sdtContent>
            <w:p>
              <w:pPr>
                <w:ind w:firstLine="567"/>
                <w:jc w:val="both"/>
                <w:rPr>
                  <w:rFonts w:eastAsia="Andale Sans UI"/>
                  <w:b/>
                  <w:bCs/>
                  <w:szCs w:val="24"/>
                  <w:lang w:bidi="en-US"/>
                </w:rPr>
              </w:pPr>
              <w:sdt>
                <w:sdtPr>
                  <w:alias w:val="Numeris"/>
                  <w:tag w:val="nr_a64b5a14203d4bee86c30f5147d28dd9"/>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3ee2946f145847a49e9f787775cf6045"/>
            <w:lock w:val="sdtLocked"/>
            <w:richText/>
          </w:sdtPr>
          <w:sdtContent>
            <w:p>
              <w:pPr>
                <w:ind w:firstLine="567"/>
                <w:jc w:val="both"/>
                <w:rPr>
                  <w:rFonts w:eastAsia="Andale Sans UI"/>
                  <w:b/>
                  <w:bCs/>
                  <w:szCs w:val="24"/>
                  <w:lang w:bidi="en-US"/>
                </w:rPr>
              </w:pPr>
              <w:sdt>
                <w:sdtPr>
                  <w:alias w:val="Numeris"/>
                  <w:tag w:val="nr_3ee2946f145847a49e9f787775cf6045"/>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bidi="en-US"/>
                </w:rPr>
              </w:pPr>
              <w:r>
                <w:rPr>
                  <w:rFonts w:eastAsia="Andale Sans UI"/>
                  <w:szCs w:val="24"/>
                  <w:lang w:bidi="en-US"/>
                </w:rPr>
                <w:t xml:space="preserve">Projektą parengė Aplinkos ministerijos Gyvūnijos išteklių valdymo politikos grupės (vadovas – Vilmantas Graičiūnas, tel. +370 646 68 017, el. p. vilmantas.graiciunas@am.lt) vyriausiasis specialistas Darius Stonis (tel. +370 693 50345, el. p. </w:t>
              </w:r>
              <w:r>
                <w:rPr>
                  <w:rFonts w:eastAsia="Andale Sans UI"/>
                  <w:color w:val="000080"/>
                  <w:szCs w:val="24"/>
                  <w:u w:val="single"/>
                  <w:lang w:bidi="en-US"/>
                </w:rPr>
                <w:t>darius.stonis@am.lt</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4bbc261b12f6406c90501b224af2af95"/>
            <w:lock w:val="sdtLocked"/>
            <w:richText/>
          </w:sdtPr>
          <w:sdtContent>
            <w:p>
              <w:pPr>
                <w:ind w:firstLine="567"/>
                <w:jc w:val="both"/>
                <w:rPr>
                  <w:color w:val="000000"/>
                  <w:szCs w:val="24"/>
                  <w:lang w:eastAsia="lt-LT" w:bidi="en-US"/>
                </w:rPr>
              </w:pPr>
              <w:sdt>
                <w:sdtPr>
                  <w:alias w:val="Numeris"/>
                  <w:tag w:val="nr_4bbc261b12f6406c90501b224af2af95"/>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2 lapai.</w:t>
              </w:r>
            </w:p>
          </w:sdtContent>
        </w:sdt>
        <w:sdt>
          <w:sdtPr>
            <w:alias w:val="2 p."/>
            <w:tag w:val="part_aa61c1dbac2647b9a1774380b5232503"/>
            <w:lock w:val="sdtLocked"/>
            <w:richText/>
          </w:sdtPr>
          <w:sdtContent>
            <w:p>
              <w:pPr>
                <w:ind w:firstLine="567"/>
                <w:jc w:val="both"/>
                <w:rPr>
                  <w:color w:val="000000"/>
                  <w:szCs w:val="24"/>
                  <w:lang w:eastAsia="lt-LT" w:bidi="en-US"/>
                </w:rPr>
              </w:pPr>
              <w:sdt>
                <w:sdtPr>
                  <w:alias w:val="Numeris"/>
                  <w:tag w:val="nr_aa61c1dbac2647b9a1774380b5232503"/>
                  <w:lock w:val="sdtLocked"/>
                  <w:richText/>
                </w:sdtPr>
                <w:sdtContent>
                  <w:r>
                    <w:rPr>
                      <w:color w:val="000000"/>
                      <w:szCs w:val="24"/>
                      <w:lang w:eastAsia="lt-LT" w:bidi="en-US"/>
                    </w:rPr>
                    <w:t>2</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rojekto lyginamasis variantas, 3 lapai.</w:t>
              </w:r>
            </w:p>
          </w:sdtContent>
        </w:sdt>
        <w:sdt>
          <w:sdtPr>
            <w:alias w:val="3 p."/>
            <w:tag w:val="part_8aef467b02ec46e599eb18e341f9fbf8"/>
            <w:lock w:val="sdtLocked"/>
            <w:richText/>
          </w:sdtPr>
          <w:sdtContent>
            <w:p>
              <w:pPr>
                <w:ind w:firstLine="567"/>
                <w:jc w:val="both"/>
                <w:rPr>
                  <w:rFonts w:eastAsia="Andale Sans UI"/>
                  <w:szCs w:val="24"/>
                  <w:lang w:bidi="en-US"/>
                </w:rPr>
              </w:pPr>
              <w:sdt>
                <w:sdtPr>
                  <w:alias w:val="Numeris"/>
                  <w:tag w:val="nr_8aef467b02ec46e599eb18e341f9fbf8"/>
                  <w:lock w:val="sdtLocked"/>
                  <w:richText/>
                </w:sdtPr>
                <w:sdtContent>
                  <w:r>
                    <w:rPr>
                      <w:color w:val="000000"/>
                      <w:szCs w:val="24"/>
                      <w:lang w:eastAsia="lt-LT" w:bidi="en-US"/>
                    </w:rPr>
                    <w:t>3</w:t>
                  </w:r>
                </w:sdtContent>
              </w:sdt>
              <w:r>
                <w:rPr>
                  <w:color w:val="000000"/>
                  <w:szCs w:val="24"/>
                  <w:lang w:eastAsia="lt-LT" w:bidi="en-US"/>
                </w:rPr>
                <w:t>. Antikorupcinio vertinimo pažyma, 6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11339" w:type="dxa"/>
                <w:tblInd w:w="8" w:type="dxa"/>
                <w:tblLayout w:type="fixed"/>
                <w:tblCellMar>
                  <w:left w:w="0" w:type="dxa"/>
                  <w:right w:w="0" w:type="dxa"/>
                </w:tblCellMar>
                <w:tblLook w:val="0000" w:firstRow="0" w:lastRow="0" w:firstColumn="0" w:lastColumn="0" w:noHBand="0" w:noVBand="0"/>
              </w:tblPr>
              <w:tblGrid>
                <w:gridCol w:w="6513"/>
                <w:gridCol w:w="4826"/>
              </w:tblGrid>
              <w:tr>
                <w:trPr>
                  <w:trHeight w:val="340"/>
                </w:trPr>
                <w:tc>
                  <w:tcPr>
                    <w:tcW w:w="6513"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center"/>
                      <w:rPr>
                        <w:rFonts w:eastAsia="Andale Sans UI"/>
                        <w:szCs w:val="24"/>
                        <w:lang w:bidi="en-US"/>
                      </w:rPr>
                    </w:pPr>
                    <w:r>
                      <w:rPr>
                        <w:rFonts w:eastAsia="Andale Sans UI"/>
                        <w:szCs w:val="24"/>
                        <w:lang w:bidi="en-US"/>
                      </w:rPr>
                      <w:t>Aira Paliukėnaitė</w:t>
                    </w:r>
                  </w:p>
                </w:tc>
              </w:tr>
              <w:tr>
                <w:trPr>
                  <w:trHeight w:val="340"/>
                </w:trPr>
                <w:tc>
                  <w:tcPr>
                    <w:tcW w:w="6513"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r>
                      <w:rPr>
                        <w:rFonts w:eastAsia="Andale Sans UI"/>
                        <w:szCs w:val="24"/>
                        <w:lang w:bidi="en-US"/>
                      </w:rPr>
                      <w:t>Darius Stonis, tel. +370 693 50345, el. p. darius.stonis@am.lt</w:t>
                    </w:r>
                  </w:p>
                </w:tc>
                <w:tc>
                  <w:tcPr>
                    <w:tcW w:w="4826" w:type="dxa"/>
                    <w:vAlign w:val="bottom"/>
                  </w:tcPr>
                  <w:p>
                    <w:pPr>
                      <w:spacing w:line="276" w:lineRule="auto"/>
                      <w:ind w:right="34"/>
                      <w:jc w:val="right"/>
                      <w:rPr>
                        <w:rFonts w:eastAsia="Andale Sans UI"/>
                        <w:szCs w:val="24"/>
                        <w:lang w:bidi="en-US"/>
                      </w:rPr>
                    </w:pPr>
                  </w:p>
                </w:tc>
              </w:tr>
            </w:tbl>
            <w:p>
              <w:pPr>
                <w:suppressLineNumbers/>
                <w:jc w:val="both"/>
                <w:rPr>
                  <w:rFonts w:eastAsia="Andale Sans UI"/>
                  <w:szCs w:val="24"/>
                  <w:lang w:bidi="en-US"/>
                </w:rPr>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426" w:right="567" w:bottom="1021" w:left="1588" w:header="567" w:footer="232" w:gutter="0"/>
                  <w:cols w:space="1296"/>
                  <w:titlePg/>
                  <w:docGrid w:linePitch="326"/>
                </w:sectPr>
              </w:pPr>
            </w:p>
            <w:tbl>
              <w:tblPr>
                <w:tblW w:w="11339" w:type="dxa"/>
                <w:tblInd w:w="8" w:type="dxa"/>
                <w:tblLayout w:type="fixed"/>
                <w:tblCellMar>
                  <w:left w:w="0" w:type="dxa"/>
                  <w:right w:w="0" w:type="dxa"/>
                </w:tblCellMar>
                <w:tblLook w:val="0000" w:firstRow="0" w:lastRow="0" w:firstColumn="0" w:lastColumn="0" w:noHBand="0" w:noVBand="0"/>
              </w:tblPr>
              <w:tblGrid>
                <w:gridCol w:w="11339"/>
              </w:tblGrid>
              <w:tr>
                <w:trPr>
                  <w:cantSplit/>
                  <w:trHeight w:val="340"/>
                </w:trPr>
                <w:tc>
                  <w:tcPr>
                    <w:tcW w:w="11339" w:type="dxa"/>
                  </w:tcPr>
                  <w:p>
                    <w:pPr>
                      <w:suppressLineNumbers/>
                      <w:tabs>
                        <w:tab w:val="center" w:pos="4800"/>
                        <w:tab w:val="right" w:pos="9601"/>
                      </w:tabs>
                      <w:jc w:val="both"/>
                      <w:rPr>
                        <w:rFonts w:eastAsia="Andale Sans UI" w:cs="Tahoma"/>
                        <w:szCs w:val="24"/>
                        <w:lang w:bidi="en-US"/>
                      </w:rPr>
                    </w:pPr>
                  </w:p>
                  <w:p>
                    <w:pPr>
                      <w:suppressLineNumbers/>
                      <w:jc w:val="both"/>
                      <w:rPr>
                        <w:rFonts w:eastAsia="Andale Sans UI"/>
                        <w:szCs w:val="24"/>
                        <w:lang w:bidi="en-US"/>
                      </w:rPr>
                    </w:pPr>
                  </w:p>
                </w:tc>
              </w:tr>
            </w:tbl>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592df1d3c76b4ef89a48a11c6becbd12"/>
            <w:lock w:val="sdtLocked"/>
            <w:richText/>
          </w:sdtPr>
          <w:sdtContent>
            <w:p>
              <w:pPr>
                <w:suppressLineNumbers/>
                <w:jc w:val="both"/>
                <w:rPr>
                  <w:rFonts w:eastAsia="Andale Sans UI" w:cs="Tahoma"/>
                  <w:spacing w:val="10"/>
                  <w:szCs w:val="24"/>
                  <w:lang w:bidi="en-US"/>
                </w:rPr>
              </w:pPr>
              <w:r>
                <w:rPr>
                  <w:rFonts w:eastAsia="Andale Sans UI" w:cs="Tahoma"/>
                  <w:spacing w:val="10"/>
                  <w:szCs w:val="24"/>
                  <w:lang w:bidi="en-US"/>
                </w:rPr>
                <w:t>Lietuvos Respublikos žemės ūkio ministerijai</w:t>
              </w:r>
            </w:p>
            <w:p>
              <w:pPr>
                <w:suppressLineNumbers/>
                <w:jc w:val="both"/>
                <w:rPr>
                  <w:rFonts w:eastAsia="Andale Sans UI" w:cs="Tahoma"/>
                  <w:spacing w:val="10"/>
                  <w:szCs w:val="24"/>
                  <w:lang w:bidi="en-US"/>
                </w:rPr>
              </w:pPr>
              <w:r>
                <w:rPr>
                  <w:rFonts w:eastAsia="Andale Sans UI" w:cs="Tahoma"/>
                  <w:spacing w:val="10"/>
                  <w:szCs w:val="24"/>
                  <w:lang w:bidi="en-US"/>
                </w:rPr>
                <w:t>Lietuvos Respublikos specialiųjų tyrimų tarnyba</w:t>
              </w:r>
            </w:p>
            <w:p>
              <w:pPr>
                <w:suppressLineNumbers/>
                <w:jc w:val="both"/>
                <w:rPr>
                  <w:rFonts w:eastAsia="Andale Sans UI" w:cs="Tahoma"/>
                  <w:spacing w:val="10"/>
                  <w:szCs w:val="24"/>
                  <w:lang w:val="fi-FI" w:bidi="en-US"/>
                </w:rPr>
              </w:pPr>
              <w:r>
                <w:rPr>
                  <w:rFonts w:eastAsia="Andale Sans UI" w:cs="Tahoma"/>
                  <w:color w:val="000080"/>
                  <w:spacing w:val="10"/>
                  <w:szCs w:val="24"/>
                  <w:u w:val="single"/>
                  <w:lang w:val="fi-FI" w:bidi="en-US"/>
                </w:rPr>
                <w:t>dokumentai@stt.lt</w:t>
              </w:r>
              <w:r>
                <w:rPr>
                  <w:rFonts w:eastAsia="Andale Sans UI" w:cs="Tahoma"/>
                  <w:spacing w:val="10"/>
                  <w:szCs w:val="24"/>
                  <w:lang w:val="fi-FI"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Valstybinė maisto ir veterinarijos tarnyba</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info@vmvt.lt</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Valstybinė saugomų teritorijų tarnyba prie Aplinkos ministerijos</w:t>
              </w:r>
            </w:p>
            <w:p>
              <w:pPr>
                <w:suppressLineNumbers/>
                <w:jc w:val="both"/>
                <w:rPr>
                  <w:rFonts w:eastAsia="Andale Sans UI" w:cs="Tahoma"/>
                  <w:spacing w:val="10"/>
                  <w:szCs w:val="24"/>
                  <w:lang w:val="pt-BR" w:bidi="en-US"/>
                </w:rPr>
              </w:pPr>
              <w:r>
                <w:rPr>
                  <w:rFonts w:eastAsia="Andale Sans UI" w:cs="Tahoma"/>
                  <w:color w:val="000080"/>
                  <w:spacing w:val="10"/>
                  <w:szCs w:val="24"/>
                  <w:u w:val="single"/>
                  <w:lang w:bidi="en-US"/>
                </w:rPr>
                <w:t>vstt</w:t>
              </w:r>
              <w:r>
                <w:rPr>
                  <w:rFonts w:eastAsia="Andale Sans UI" w:cs="Tahoma"/>
                  <w:color w:val="000080"/>
                  <w:spacing w:val="10"/>
                  <w:szCs w:val="24"/>
                  <w:u w:val="single"/>
                  <w:lang w:val="pt-BR" w:bidi="en-US"/>
                </w:rPr>
                <w:t>@vstt.lt</w:t>
              </w:r>
              <w:r>
                <w:rPr>
                  <w:rFonts w:eastAsia="Andale Sans UI" w:cs="Tahoma"/>
                  <w:spacing w:val="10"/>
                  <w:szCs w:val="24"/>
                  <w:lang w:val="pt-BR"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Aplinkos apsaugos departamentui prie Aplinkos ministerijos</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info@aad.am.lt</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Policijos departamentui prie Vidaus reikalų ministerijos</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info@policija.lt</w:t>
              </w:r>
            </w:p>
            <w:p>
              <w:pPr>
                <w:suppressLineNumbers/>
                <w:jc w:val="both"/>
                <w:rPr>
                  <w:rFonts w:eastAsia="Andale Sans UI" w:cs="Tahoma"/>
                  <w:spacing w:val="10"/>
                  <w:szCs w:val="24"/>
                  <w:lang w:bidi="en-US"/>
                </w:rPr>
              </w:pPr>
              <w:r>
                <w:rPr>
                  <w:rFonts w:eastAsia="Andale Sans UI" w:cs="Tahoma"/>
                  <w:spacing w:val="10"/>
                  <w:szCs w:val="24"/>
                  <w:lang w:bidi="en-US"/>
                </w:rPr>
                <w:t>Valstybės įmonei Valstybinių miškų urėdija</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info@vmu.lt</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Lietuvos medžiotojų ir žvejų draugijai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lietuvosmzd@yahoo.com</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Lietuvos medžiotojų konfederacijai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medziokle.lmk@gmail.com</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Lietuvos medžiotojų sąjungai „Gamta“</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raimondas@medziokles.lt</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Sūduvos medžiotojų sąjungai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ramunas.mazetis</w:t>
              </w:r>
              <w:r>
                <w:rPr>
                  <w:rFonts w:eastAsia="Andale Sans UI" w:cs="Tahoma"/>
                  <w:color w:val="000080"/>
                  <w:spacing w:val="10"/>
                  <w:szCs w:val="24"/>
                  <w:u w:val="single"/>
                  <w:lang w:val="fi-FI" w:bidi="en-US"/>
                </w:rPr>
                <w:t>@gmail.com</w:t>
              </w:r>
            </w:p>
            <w:p>
              <w:pPr>
                <w:suppressLineNumbers/>
                <w:jc w:val="both"/>
                <w:rPr>
                  <w:rFonts w:eastAsia="Andale Sans UI" w:cs="Tahoma"/>
                  <w:spacing w:val="10"/>
                  <w:szCs w:val="24"/>
                  <w:lang w:bidi="en-US"/>
                </w:rPr>
              </w:pPr>
              <w:r>
                <w:rPr>
                  <w:rFonts w:eastAsia="Andale Sans UI" w:cs="Tahoma"/>
                  <w:spacing w:val="10"/>
                  <w:szCs w:val="24"/>
                  <w:lang w:bidi="en-US"/>
                </w:rPr>
                <w:t>Lietuvos medžiotojų draugijai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info@medziotojudraugija.lt</w:t>
              </w:r>
              <w:r>
                <w:rPr>
                  <w:rFonts w:eastAsia="Andale Sans UI" w:cs="Tahoma"/>
                  <w:spacing w:val="10"/>
                  <w:szCs w:val="24"/>
                  <w:lang w:bidi="en-US"/>
                </w:rPr>
                <w:t xml:space="preserve"> </w:t>
              </w:r>
            </w:p>
            <w:p>
              <w:pPr>
                <w:suppressLineNumbers/>
                <w:jc w:val="both"/>
                <w:rPr>
                  <w:rFonts w:eastAsia="Andale Sans UI" w:cs="Tahoma"/>
                  <w:spacing w:val="10"/>
                  <w:szCs w:val="24"/>
                  <w:lang w:bidi="en-US"/>
                </w:rPr>
              </w:pPr>
              <w:r>
                <w:rPr>
                  <w:rFonts w:eastAsia="Andale Sans UI" w:cs="Tahoma"/>
                  <w:spacing w:val="10"/>
                  <w:szCs w:val="24"/>
                  <w:lang w:bidi="en-US"/>
                </w:rPr>
                <w:t>Lietuvos žemės ūkio bendrovių asociacijai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info@lzuba.lt</w:t>
              </w:r>
            </w:p>
            <w:p>
              <w:pPr>
                <w:suppressLineNumbers/>
                <w:jc w:val="both"/>
                <w:rPr>
                  <w:rFonts w:eastAsia="Andale Sans UI" w:cs="Tahoma"/>
                  <w:spacing w:val="10"/>
                  <w:szCs w:val="24"/>
                  <w:lang w:bidi="en-US"/>
                </w:rPr>
              </w:pPr>
              <w:r>
                <w:rPr>
                  <w:rFonts w:eastAsia="Andale Sans UI" w:cs="Tahoma"/>
                  <w:spacing w:val="10"/>
                  <w:szCs w:val="24"/>
                  <w:lang w:bidi="en-US"/>
                </w:rPr>
                <w:t>Asociacijai Lietuvos Respublikos žemės ūkio rūmai</w:t>
              </w:r>
            </w:p>
            <w:p>
              <w:pPr>
                <w:suppressLineNumbers/>
                <w:jc w:val="both"/>
                <w:rPr>
                  <w:rFonts w:eastAsia="Andale Sans UI" w:cs="Tahoma"/>
                  <w:spacing w:val="10"/>
                  <w:szCs w:val="24"/>
                  <w:lang w:bidi="en-US"/>
                </w:rPr>
              </w:pPr>
              <w:r>
                <w:rPr>
                  <w:rFonts w:eastAsia="Andale Sans UI" w:cs="Tahoma"/>
                  <w:color w:val="000080"/>
                  <w:spacing w:val="10"/>
                  <w:szCs w:val="24"/>
                  <w:u w:val="single"/>
                  <w:lang w:bidi="en-US"/>
                </w:rPr>
                <w:t>zur@zur.lt</w:t>
              </w:r>
            </w:p>
            <w:p>
              <w:pPr>
                <w:suppressLineNumbers/>
                <w:jc w:val="both"/>
                <w:rPr>
                  <w:rFonts w:eastAsia="Andale Sans UI" w:cs="Tahoma"/>
                  <w:spacing w:val="10"/>
                  <w:szCs w:val="24"/>
                  <w:lang w:bidi="en-US"/>
                </w:rPr>
              </w:pPr>
              <w:r>
                <w:rPr>
                  <w:rFonts w:eastAsia="Andale Sans UI" w:cs="Tahoma"/>
                  <w:spacing w:val="10"/>
                  <w:szCs w:val="24"/>
                  <w:lang w:bidi="en-US"/>
                </w:rPr>
                <w:t>Ginklų pirklių asociacijai</w:t>
              </w:r>
            </w:p>
            <w:p>
              <w:pPr>
                <w:suppressLineNumbers/>
                <w:jc w:val="both"/>
                <w:rPr>
                  <w:rFonts w:eastAsia="Andale Sans UI" w:cs="Tahoma"/>
                  <w:szCs w:val="24"/>
                  <w:lang w:bidi="en-US"/>
                </w:rPr>
              </w:pPr>
              <w:r>
                <w:rPr>
                  <w:rFonts w:eastAsia="Andale Sans UI" w:cs="Tahoma"/>
                  <w:color w:val="000080"/>
                  <w:spacing w:val="10"/>
                  <w:szCs w:val="24"/>
                  <w:u w:val="single"/>
                  <w:lang w:bidi="en-US"/>
                </w:rPr>
                <w:t>info@ginklupirkliai.lt</w:t>
              </w: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Dvidešimtosios Lietuvos Respublikos Vyriausybės programa</w:t>
        </w:r>
      </w:hyperlink>
      <w:r>
        <w:rPr>
          <w:rFonts w:eastAsia="Andale Sans UI"/>
          <w:sz w:val="20"/>
        </w:rPr>
        <w:t>, kuriai pritarta Lietuvos Respublikos Seimo 2025 m. rugsėjo 25 d. nutarimu Nr. XV-439 „Dėl Dvidešimtosios Lietuvos Respublikos Vyriausybės programos“.</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6"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Cs w:val="24"/>
          <w:lang w:eastAsia="lt-LT" w:bidi="en-US"/>
        </w:rPr>
      </w:pPr>
      <w:r>
        <w:rPr>
          <w:rFonts w:eastAsia="Andale Sans UI"/>
          <w:szCs w:val="24"/>
          <w:vertAlign w:val="superscript"/>
          <w:lang w:bidi="en-US"/>
        </w:rPr>
        <w:footnoteRef/>
        <w:t xml:space="preserve"> </w:t>
      </w:r>
      <w:hyperlink r:id="rId8" w:history="1">
        <w:r>
          <w:rPr>
            <w:rFonts w:eastAsia="Andale Sans UI"/>
            <w:color w:val="000080"/>
            <w:sz w:val="20"/>
            <w:u w:val="single"/>
            <w:lang w:bidi="en-US"/>
          </w:rPr>
          <w:t>Paslaugų įstatymas</w:t>
        </w:r>
      </w:hyperlink>
      <w:r>
        <w:rPr>
          <w:rFonts w:eastAsia="Andale Sans UI"/>
          <w:sz w:val="20"/>
          <w:lang w:bidi="en-US"/>
        </w:rPr>
        <w:t xml:space="preserve"> ir</w:t>
      </w:r>
      <w:r>
        <w:rPr>
          <w:rFonts w:eastAsia="Andale Sans UI"/>
          <w:szCs w:val="24"/>
          <w:lang w:bidi="en-US"/>
        </w:rPr>
        <w:t xml:space="preserve"> </w:t>
      </w:r>
      <w:hyperlink r:id="rId9">
        <w:r>
          <w:rPr>
            <w:color w:val="000080"/>
            <w:sz w:val="20"/>
            <w:u w:val="single"/>
            <w:lang w:bidi="en-US"/>
          </w:rPr>
          <w:t xml:space="preserve"> Informacijos ir pranešimų apie nustatomus Lietuvos Respublikos paslaugų įstatymo 4 straipsnio 2 dalyje nurodytus reikalavimus, taikomus teisės teikti paslaugas įgijimui ar paslaugų teikimo veiklos vykdymui, arba nustatomus ar panaikinamus reikalavimus, taikomus laikinai Lietuvos Respublikoje paslaugas teikiantiems valstybių narių paslaugų teikėjams, teikimo tvarkos aprašas</w:t>
        </w:r>
      </w:hyperlink>
      <w:r>
        <w:rPr>
          <w:color w:val="000000"/>
          <w:sz w:val="20"/>
          <w:lang w:bidi="en-US"/>
        </w:rPr>
        <w:t>, patvirtintas Lietuvos Respublikos Vyriausybės 2011 m. lapkričio 30 d. nutarimu Nr. 1389 „Dėl Informacijos ir pranešimų apie nustatomus Lietuvos Respublikos paslaugų įstatymo 4 straipsnio 2 dalyje nurodytus reikalavimus, taikomus teisės teikti paslaugas įgijimui ar paslaugų teikimo veiklos vykdymui, arba nustatomus ar panaikinamus reikalavimus, taikomus laikinai Lietuvos Respublikoje paslaugas teikiantiems valstybių narių paslaugų teikėjams, teikimo tvarkos aprašo patvirtinimo“</w:t>
      </w:r>
      <w:r>
        <w:rPr>
          <w:szCs w:val="24"/>
          <w:lang w:eastAsia="lt-LT" w:bidi="en-US"/>
        </w:rPr>
        <w:t>.</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1</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DEF4C01-E7C7-4362-98DF-EFC218449E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81770601">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49878445">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32" Type="http://schemas.openxmlformats.org/officeDocument/2006/relationships/fontTable" Target="fontTable.xml"/>
  <Relationship Id="rId33"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568b271299f611f0a8bbd1e98310677d"/>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6" Type="http://schemas.openxmlformats.org/officeDocument/2006/relationships/hyperlink" TargetMode="External" Target="https://www.e-tar.lt/portal/lt/legalAct/TAR.DB68BCA9E3A0/asr"/>
  <Relationship Id="rId7" Type="http://schemas.openxmlformats.org/officeDocument/2006/relationships/hyperlink" TargetMode="External" Target="https://www.e-tar.lt/portal/lt/legalAct/TAR.EDD5FD371B32/asr"/>
  <Relationship Id="rId8" Type="http://schemas.openxmlformats.org/officeDocument/2006/relationships/hyperlink" TargetMode="External" Target="https://www.e-tar.lt/portal/it/legalAct/TAR.28F4561D519F/asr?csrt=17222481158577035950"/>
  <Relationship Id="rId9" Type="http://schemas.openxmlformats.org/officeDocument/2006/relationships/hyperlink" TargetMode="External" Target="https://www.e-tar.lt/portal/lt/legalAct/TAR.DCD24028BD0E/asr?csrt=1262976271841261248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1f73502cb41c45ca90865f6545cb7fa2" PartId="3f413afb31b243cca4914a162cf34a5c"/>
  <Part Type="pastraipa" DocPartId="62fbdb1f34314d3f984c0245483e8b02" PartId="483d42739c224e45a42b03c68d45b6c0">
    <Part Type="punktas" Nr="1" Abbr="1 p." DocPartId="f4bfa46737ee4af3820d4d95c8ba04dd" PartId="6833c4f4bb6a48bbb6786948f9540752"/>
    <Part Type="punktas" Nr="2" Abbr="2 p." DocPartId="bbdf26c5fe63439d88f78c21275fafd9" PartId="cb3a6c90477644daad8669aa9624b548"/>
    <Part Type="punktas" Nr="3" Abbr="3 p." DocPartId="4bd063a347e84fb68a30aac3f99a9bb4" PartId="b16adf4bc385481cbe7df3f9014e04cf"/>
    <Part Type="punktas" Nr="4" Abbr="4 p." DocPartId="94a4f95c43bd4707b4b1cd050727479d" PartId="5eb2bbced3294188b0df73cd13d0c6c5"/>
    <Part Type="punktas" Nr="5" Abbr="5 p." DocPartId="840101ef7fc641bdb9c499407341a45b" PartId="afa4db707bff4865858077450ccfcbaa"/>
    <Part Type="punktas" Nr="6" Abbr="6 p." DocPartId="a4ca7ad438da482b911808bd27ed6234" PartId="48f1349b52ea4c629287effecc17b18a"/>
    <Part Type="punktas" Nr="7" Abbr="7 p." DocPartId="45891df43e874cc592c1d75a32af2748" PartId="d0e356e3952341afa2553b9ef65228d6"/>
    <Part Type="punktas" Nr="8" Abbr="8 p." DocPartId="0c3ba81522204f9da65b6822a2190c62" PartId="96eccdb6b5f64b3bafb005611cfd9b1b"/>
    <Part Type="punktas" Nr="9" Abbr="9 p." DocPartId="5d4f3fc569ee4b8ea1be7a56e6f89271" PartId="f39f5ee32311414a83bce1007997a164"/>
    <Part Type="punktas" Nr="10" Abbr="10 p." DocPartId="9e1a3f3127714ed08385f212135a7578" PartId="1de300866bba4108b7654f7892f7b7a4"/>
    <Part Type="punktas" Nr="11" Abbr="11 p." DocPartId="5bf924eae80a4f55955f062b08532c21" PartId="76e9db51576942a888419bfa02ff48ba"/>
    <Part Type="punktas" Nr="12" Abbr="12 p." DocPartId="81ed1ac31bab4ad189bc834468163b45" PartId="f73744bbb6204ef9b455bb0425d78743"/>
    <Part Type="punktas" Nr="13" Abbr="13 p." DocPartId="79fcfc1b70c7465fbc71130d80904f1b" PartId="a64b5a14203d4bee86c30f5147d28dd9"/>
    <Part Type="punktas" Nr="14" Abbr="14 p." DocPartId="ad4cb3ad7af4403da4231de65fe6da7a" PartId="3ee2946f145847a49e9f787775cf6045"/>
    <Part Type="punktas" Nr="1" Abbr="1 p." Notes="Numeris ne iš eilės. Trūksta dalių? [DocDalys]" DocPartId="395b621c5c1943a2b037edebca4319a5" PartId="4bbc261b12f6406c90501b224af2af95"/>
    <Part Type="punktas" Nr="2" Abbr="2 p." DocPartId="8409593e23ea4a0d98d750065cce6ea4" PartId="aa61c1dbac2647b9a1774380b5232503"/>
    <Part Type="punktas" Nr="3" Abbr="3 p." DocPartId="b8bebe92760247f89c5f32c5e51ff302" PartId="8aef467b02ec46e599eb18e341f9fbf8"/>
    <Part Type="signatura" DocPartId="576a36f6f6084bf688e4ab0c128ff504" PartId="592df1d3c76b4ef89a48a11c6becbd12"/>
  </Part>
</Parts>
</file>

<file path=customXml/itemProps1.xml><?xml version="1.0" encoding="utf-8"?>
<ds:datastoreItem xmlns:ds="http://schemas.openxmlformats.org/officeDocument/2006/customXml" ds:itemID="{F59CCBA1-E925-488C-AB03-1E53A23407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0FF89234-4F40-4242-AF79-F8BC546C4B43}">
  <ds:schemaRefs>
    <ds:schemaRef ds:uri="http://schemas.openxmlformats.org/officeDocument/2006/bibliography"/>
  </ds:schemaRefs>
</ds:datastoreItem>
</file>

<file path=customXml/itemProps5.xml><?xml version="1.0" encoding="utf-8"?>
<ds:datastoreItem xmlns:ds="http://schemas.openxmlformats.org/officeDocument/2006/customXml" ds:itemID="{992B6866-818C-4EA8-ACF1-3E037D29BC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2046</Words>
  <Characters>15204</Characters>
  <Application>Microsoft Office Word</Application>
  <DocSecurity>4</DocSecurity>
  <Lines>286</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17123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2026-07-08T09:05:00Z</dcterms:created>
  <dc:creator>Darius Stonis</dc:creator>
  <lastModifiedBy>adlibuser</lastModifiedBy>
  <dcterms:modified xsi:type="dcterms:W3CDTF">2026-07-08T09:05:00Z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