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4c3d5a2bd934857a8e3c4b0d90003f3"/>
        <w:lock w:val="sdtLocked"/>
        <w:richText/>
      </w:sdtPr>
      <w:sdtContent>
        <w:p>
          <w:pPr>
            <w:widowControl w:val="0"/>
            <w:tabs>
              <w:tab w:val="center" w:pos="4819"/>
              <w:tab w:val="right" w:pos="9638"/>
            </w:tabs>
            <w:suppressAutoHyphens/>
            <w:rPr>
              <w:rFonts w:eastAsia="Lucida Sans Unicode"/>
              <w:kern w:val="1"/>
              <w:szCs w:val="24"/>
              <w:lang w:eastAsia="ar-SA"/>
            </w:rPr>
          </w:pPr>
        </w:p>
        <w:p>
          <w:pPr>
            <w:widowControl w:val="0"/>
            <w:suppressAutoHyphens/>
            <w:jc w:val="center"/>
            <w:rPr>
              <w:rFonts w:eastAsia="Lucida Sans Unicode"/>
              <w:b/>
              <w:bCs/>
              <w:kern w:val="1"/>
              <w:szCs w:val="24"/>
              <w:lang w:eastAsia="ar-SA"/>
            </w:rPr>
          </w:pPr>
          <w:r>
            <w:rPr>
              <w:rFonts w:eastAsia="Lucida Sans Unicode"/>
              <w:b/>
              <w:kern w:val="1"/>
              <w:szCs w:val="24"/>
              <w:lang w:eastAsia="ar-SA"/>
            </w:rPr>
            <w:t>LIETUVOS RESPUBLIKOS ŽMONIŲ PALAIKŲ LAIDOJIMO ĮSTATYMO NR. X-1404 11, 11</w:t>
          </w:r>
          <w:r>
            <w:rPr>
              <w:rFonts w:eastAsia="Lucida Sans Unicode"/>
              <w:b/>
              <w:kern w:val="1"/>
              <w:szCs w:val="24"/>
              <w:vertAlign w:val="superscript"/>
              <w:lang w:eastAsia="ar-SA"/>
            </w:rPr>
            <w:t>1</w:t>
          </w:r>
          <w:r>
            <w:rPr>
              <w:rFonts w:eastAsia="Lucida Sans Unicode"/>
              <w:b/>
              <w:kern w:val="1"/>
              <w:szCs w:val="24"/>
              <w:lang w:eastAsia="ar-SA"/>
            </w:rPr>
            <w:t xml:space="preserve">, 13, 25, 33 STRAIPSNIŲ PAKEITIMO IR ĮSTATYMO PAPILDYMO </w:t>
          </w:r>
          <w:r>
            <w:rPr>
              <w:rFonts w:eastAsia="Lucida Sans Unicode"/>
              <w:b/>
              <w:bCs/>
              <w:kern w:val="1"/>
              <w:szCs w:val="24"/>
              <w:lang w:eastAsia="ar-SA"/>
            </w:rPr>
            <w:t>11</w:t>
          </w:r>
          <w:r>
            <w:rPr>
              <w:rFonts w:eastAsia="Lucida Sans Unicode"/>
              <w:b/>
              <w:bCs/>
              <w:kern w:val="1"/>
              <w:szCs w:val="24"/>
              <w:vertAlign w:val="superscript"/>
              <w:lang w:eastAsia="ar-SA"/>
            </w:rPr>
            <w:t xml:space="preserve">2 </w:t>
          </w:r>
          <w:r>
            <w:rPr>
              <w:rFonts w:eastAsia="Lucida Sans Unicode"/>
              <w:b/>
              <w:kern w:val="1"/>
              <w:szCs w:val="24"/>
              <w:lang w:eastAsia="ar-SA"/>
            </w:rPr>
            <w:t>STRAIPSNIU ĮSTATYMO</w:t>
          </w:r>
        </w:p>
        <w:p>
          <w:pPr>
            <w:widowControl w:val="0"/>
            <w:suppressAutoHyphens/>
            <w:jc w:val="center"/>
            <w:rPr>
              <w:rFonts w:eastAsia="Lucida Sans Unicode"/>
              <w:b/>
              <w:bCs/>
              <w:kern w:val="1"/>
              <w:szCs w:val="24"/>
              <w:lang w:eastAsia="ar-SA"/>
            </w:rPr>
          </w:pPr>
          <w:r>
            <w:rPr>
              <w:rFonts w:eastAsia="Lucida Sans Unicode"/>
              <w:b/>
              <w:bCs/>
              <w:kern w:val="1"/>
              <w:szCs w:val="24"/>
              <w:lang w:eastAsia="ar-SA"/>
            </w:rPr>
            <w:t>DERINIMO PAŽYMA</w:t>
          </w:r>
        </w:p>
        <w:p>
          <w:pPr>
            <w:widowControl w:val="0"/>
            <w:suppressAutoHyphens/>
            <w:rPr>
              <w:rFonts w:eastAsia="Lucida Sans Unicode"/>
              <w:b/>
              <w:bCs/>
              <w:kern w:val="1"/>
              <w:szCs w:val="24"/>
              <w:lang w:eastAsia="ar-SA"/>
            </w:rPr>
          </w:pPr>
        </w:p>
        <w:tbl>
          <w:tblPr>
            <w:tblW w:w="15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5612"/>
            <w:gridCol w:w="7872"/>
          </w:tblGrid>
          <w:tr>
            <w:trPr>
              <w:trHeight w:val="498"/>
            </w:trPr>
            <w:tc>
              <w:tcPr>
                <w:tcW w:w="1584"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Institucijos pavadinimas, rašto data ir numeris</w:t>
                </w:r>
              </w:p>
            </w:tc>
            <w:tc>
              <w:tcPr>
                <w:tcW w:w="5612"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Pateiktos pastabos ir pasiūlymai</w:t>
                </w:r>
              </w:p>
            </w:tc>
            <w:tc>
              <w:tcPr>
                <w:tcW w:w="7872"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Argumentai, kodėl neatsižvelgta į institucijų pastabas ir pasiūlymus</w:t>
                </w:r>
              </w:p>
            </w:tc>
          </w:tr>
          <w:tr>
            <w:trPr>
              <w:trHeight w:val="1015"/>
            </w:trPr>
            <w:tc>
              <w:tcPr>
                <w:tcW w:w="1584" w:type="dxa"/>
                <w:vMerge w:val="restart"/>
              </w:tcPr>
              <w:p>
                <w:pPr>
                  <w:widowControl w:val="0"/>
                  <w:suppressAutoHyphens/>
                  <w:rPr>
                    <w:rFonts w:eastAsia="Lucida Sans Unicode"/>
                    <w:kern w:val="1"/>
                    <w:szCs w:val="24"/>
                    <w:lang w:eastAsia="ar-SA"/>
                  </w:rPr>
                </w:pPr>
                <w:r>
                  <w:rPr>
                    <w:rFonts w:eastAsia="Lucida Sans Unicode"/>
                    <w:kern w:val="1"/>
                    <w:szCs w:val="24"/>
                    <w:lang w:eastAsia="ar-SA"/>
                  </w:rPr>
                  <w:t xml:space="preserve">Teisingumo ministerijos </w:t>
                </w:r>
              </w:p>
              <w:p>
                <w:pPr>
                  <w:widowControl w:val="0"/>
                  <w:suppressAutoHyphens/>
                  <w:rPr>
                    <w:rFonts w:eastAsia="Lucida Sans Unicode"/>
                    <w:kern w:val="1"/>
                    <w:szCs w:val="24"/>
                    <w:lang w:eastAsia="ar-SA"/>
                  </w:rPr>
                </w:pPr>
                <w:r>
                  <w:rPr>
                    <w:rFonts w:eastAsia="Lucida Sans Unicode"/>
                    <w:kern w:val="1"/>
                    <w:szCs w:val="24"/>
                    <w:lang w:eastAsia="ar-SA"/>
                  </w:rPr>
                  <w:t xml:space="preserve">2021-02-01 raštas Nr. </w:t>
                </w:r>
                <w:r>
                  <w:rPr>
                    <w:rFonts w:eastAsia="Lucida Sans Unicode"/>
                    <w:color w:val="333333"/>
                    <w:kern w:val="1"/>
                    <w:szCs w:val="24"/>
                    <w:lang w:eastAsia="ar-SA"/>
                  </w:rPr>
                  <w:t>(1.6Mr) 2T-168</w:t>
                </w:r>
              </w:p>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kern w:val="1"/>
                    <w:szCs w:val="24"/>
                    <w:lang w:eastAsia="ar-SA"/>
                  </w:rPr>
                  <w:t xml:space="preserve">1. Įstatyme </w:t>
                </w:r>
                <w:r>
                  <w:rPr>
                    <w:rFonts w:eastAsia="Lucida Sans Unicode"/>
                    <w:i/>
                    <w:iCs/>
                    <w:kern w:val="1"/>
                    <w:szCs w:val="24"/>
                    <w:lang w:eastAsia="ar-SA"/>
                  </w:rPr>
                  <w:t>vengtina konkrečių institucijų</w:t>
                </w:r>
                <w:r>
                  <w:rPr>
                    <w:rFonts w:eastAsia="Lucida Sans Unicode"/>
                    <w:kern w:val="1"/>
                    <w:szCs w:val="24"/>
                    <w:lang w:eastAsia="ar-SA"/>
                  </w:rPr>
                  <w:t xml:space="preserve">, vykdančių nustatytas funkcijas, pavadinimų nurodymo, juo labiau veiklos formos nurodymo, kadangi toks reguliavimas ribos Lietuvos Respublikos Vyriausybės </w:t>
                </w:r>
                <w:r>
                  <w:rPr>
                    <w:rFonts w:eastAsia="Lucida Sans Unicode"/>
                    <w:color w:val="000000"/>
                    <w:kern w:val="1"/>
                    <w:szCs w:val="24"/>
                    <w:lang w:eastAsia="en-GB"/>
                  </w:rPr>
                  <w:t xml:space="preserve">galimybes pagal Lietuvos Respublikos Vyriausybės įstatymą (žr. Vyriausybės įstatymo 22 straipsnio 8 punktą) formuoti įstaigų tinklą, steigti, reorganizuoti ir likviduoti jas. Atsižvelgiant į tai, tais atvejais, kai kituose įstatymuose nebūtų apibrėžtos konkrečios įstaigos funkcijos, kurių pagrindu ir būtų tikslinga įstaigą nurodyti keičiamame įstatyme, tikslinga apsiriboti bendro pobūdžio įvardinimu, įstaigą prie ministerijos siejant su funkcijų vykdymu, atsakomybės sritimi ar atitinkamų įgaliojimų suteikimu, o ne konkrečiu pavadinimu. </w:t>
                </w:r>
                <w:r>
                  <w:rPr>
                    <w:rFonts w:eastAsia="Lucida Sans Unicode"/>
                    <w:kern w:val="1"/>
                    <w:szCs w:val="24"/>
                    <w:lang w:eastAsia="ar-SA"/>
                  </w:rPr>
                  <w:t xml:space="preserve">Atsižvelgiant į tai, siūlytina Projekto 1 straipsnyje dėstomoje 11 straipsnio 1 dalyje </w:t>
                </w:r>
                <w:r>
                  <w:rPr>
                    <w:rFonts w:eastAsia="Lucida Sans Unicode"/>
                    <w:i/>
                    <w:iCs/>
                    <w:kern w:val="1"/>
                    <w:szCs w:val="24"/>
                    <w:lang w:eastAsia="ar-SA"/>
                  </w:rPr>
                  <w:t xml:space="preserve">nenurodyti konkrečios institucijos </w:t>
                </w:r>
                <w:r>
                  <w:rPr>
                    <w:rFonts w:eastAsia="Lucida Sans Unicode"/>
                    <w:kern w:val="1"/>
                    <w:szCs w:val="24"/>
                    <w:lang w:eastAsia="ar-SA"/>
                  </w:rPr>
                  <w:t xml:space="preserve">(Aplinkos apsaugos agentūros) ir atsisakyti siūlomo pakeitimo. Pastaba taip pat taikytina ir toms galiojančio Lietuvos Respublikos žmonių palaikų laidojimo įstatymo nuostatoms, kuriose minimas Nacionalinio visuomenės sveikatos centro pavadinimas. </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 xml:space="preserve">Atsižvelgta iš dalies. </w:t>
                </w:r>
                <w:r>
                  <w:rPr>
                    <w:rFonts w:eastAsia="Lucida Sans Unicode"/>
                    <w:kern w:val="1"/>
                    <w:szCs w:val="24"/>
                    <w:lang w:eastAsia="ar-SA"/>
                  </w:rPr>
                  <w:t>Atsižvelgiant į tai, kad Nacionaliniam visuomenės sveikatos centrui atitinkami įgaliojimai ar vykdomos funkcijos nustatyti Lietuvos Respublikos visuomenės sveikatos priežiūros įstatyme ir Lietuvos Respublikos žmonių užkrečiamųjų ligų profilaktikos ir kontrolės įstatyme, Vyriausybė neturėtų papildomai reguliuoti šių santykių, išskyrus atvejais, nustatytais šiuose įstatymuose.</w:t>
                </w:r>
              </w:p>
            </w:tc>
          </w:tr>
          <w:tr>
            <w:trPr>
              <w:trHeight w:val="1015"/>
            </w:trPr>
            <w:tc>
              <w:tcPr>
                <w:tcW w:w="1584" w:type="dxa"/>
                <w:vMerge/>
              </w:tcPr>
              <w:p/>
            </w:tc>
            <w:tc>
              <w:tcPr>
                <w:tcW w:w="5612" w:type="dxa"/>
                <w:tcBorders>
                  <w:top w:val="single" w:sz="4" w:space="0" w:color="auto"/>
                  <w:bottom w:val="single" w:sz="4" w:space="0" w:color="auto"/>
                </w:tcBorders>
              </w:tcPr>
              <w:p>
                <w:pPr>
                  <w:widowControl w:val="0"/>
                  <w:tabs>
                    <w:tab w:val="left" w:pos="567"/>
                  </w:tabs>
                  <w:suppressAutoHyphens/>
                  <w:jc w:val="both"/>
                  <w:rPr>
                    <w:rFonts w:eastAsia="Lucida Sans Unicode"/>
                    <w:kern w:val="1"/>
                    <w:szCs w:val="24"/>
                    <w:lang w:eastAsia="ar-SA"/>
                  </w:rPr>
                </w:pPr>
                <w:r>
                  <w:rPr>
                    <w:rFonts w:eastAsia="Lucida Sans Unicode"/>
                    <w:kern w:val="1"/>
                    <w:szCs w:val="24"/>
                    <w:lang w:eastAsia="ar-SA"/>
                  </w:rPr>
                  <w:t xml:space="preserve">2. </w:t>
                </w:r>
                <w:r>
                  <w:rPr>
                    <w:rFonts w:eastAsia="Lucida Sans Unicode"/>
                    <w:color w:val="000000"/>
                    <w:kern w:val="1"/>
                    <w:szCs w:val="24"/>
                    <w:lang w:eastAsia="ar-SA"/>
                  </w:rPr>
                  <w:t>Svarstytina, ar Projekto 1 straipsnyje dėstomo 11 straipsnio 2 ir 3 dalyse bei Projekto 2 straipsnyje dėstomame 11</w:t>
                </w:r>
                <w:r>
                  <w:rPr>
                    <w:rFonts w:eastAsia="Lucida Sans Unicode"/>
                    <w:color w:val="000000"/>
                    <w:kern w:val="1"/>
                    <w:szCs w:val="24"/>
                    <w:vertAlign w:val="superscript"/>
                    <w:lang w:eastAsia="ar-SA"/>
                  </w:rPr>
                  <w:t>1</w:t>
                </w:r>
                <w:r>
                  <w:rPr>
                    <w:rFonts w:eastAsia="Lucida Sans Unicode"/>
                    <w:color w:val="000000"/>
                    <w:kern w:val="1"/>
                    <w:szCs w:val="24"/>
                    <w:lang w:eastAsia="ar-SA"/>
                  </w:rPr>
                  <w:t xml:space="preserve"> straipsnio 2 dalies 2 punkte minimi tie patys „aplinkos ministro nustatyti aplinkosaugos reikalavimai“, „aplinkosaugos reikalavimai“, „nustatyti aplinkosaugos reikalavimai“. Siekiant aiškumo siūlytina visur vartoti tapačias sąvokas. Siūlymas nustatyti aplinkos apsaugos reikalavimus poįstatyminiame teisės akte taip pat </w:t>
                </w:r>
                <w:r>
                  <w:rPr>
                    <w:rFonts w:eastAsia="Lucida Sans Unicode"/>
                    <w:kern w:val="1"/>
                    <w:szCs w:val="24"/>
                    <w:lang w:eastAsia="ar-SA"/>
                  </w:rPr>
                  <w:t xml:space="preserve">kritikuotinas atsižvelgiant į Konstitucinio Teismo doktriną (pavyzdžiui, 2008 m. kovo 5 d., 2008 m. kovo 15 d. nutarimai ir kt.), pagal kurią yra konstatuota, jog esminiai reikalavimai, draudimai, ribojimai, subjektų teisės ir pareigos </w:t>
                </w:r>
                <w:r>
                  <w:rPr>
                    <w:rFonts w:eastAsia="Lucida Sans Unicode"/>
                    <w:i/>
                    <w:kern w:val="1"/>
                    <w:szCs w:val="24"/>
                    <w:lang w:eastAsia="ar-SA"/>
                  </w:rPr>
                  <w:t>turi būti įtvirtinti įstatymu</w:t>
                </w:r>
                <w:r>
                  <w:rPr>
                    <w:rFonts w:eastAsia="Lucida Sans Unicode"/>
                    <w:kern w:val="1"/>
                    <w:szCs w:val="24"/>
                    <w:lang w:eastAsia="ar-SA"/>
                  </w:rPr>
                  <w:t xml:space="preserve">. Vyriausybės ar ministro tvirtinamame poįstatyminiame teisės akte galėtų būti įtvirtinamos tik įstatymines normas įgyvendinančios ar jas detalizuojančios nuostatos. Atsižvelgiant į tai, </w:t>
                </w:r>
                <w:r>
                  <w:rPr>
                    <w:rFonts w:eastAsia="Lucida Sans Unicode"/>
                    <w:kern w:val="1"/>
                    <w:szCs w:val="24"/>
                    <w:u w:val="single"/>
                    <w:lang w:eastAsia="ar-SA"/>
                  </w:rPr>
                  <w:t>siūlytina Projekte įtvirtinti esminius reikalavimus, kurie galėtų būti detalizuoti ministro patvirtintame poįstatyminiame teisės akte</w:t>
                </w:r>
                <w:r>
                  <w:rPr>
                    <w:rFonts w:eastAsia="Lucida Sans Unicode"/>
                    <w:kern w:val="1"/>
                    <w:szCs w:val="24"/>
                    <w:lang w:eastAsia="ar-SA"/>
                  </w:rPr>
                  <w:t>.</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 xml:space="preserve">Atsižvelgta iš dalies. </w:t>
                </w:r>
                <w:r>
                  <w:rPr>
                    <w:rFonts w:eastAsia="Lucida Sans Unicode"/>
                    <w:color w:val="000000"/>
                    <w:kern w:val="1"/>
                    <w:szCs w:val="24"/>
                    <w:shd w:val="clear" w:color="auto" w:fill="FFFFFF"/>
                    <w:lang w:eastAsia="ar-SA"/>
                  </w:rPr>
                  <w:t>Aplinkos ministro 2008 m. liepos 2 d. įsakymu Nr. D1-357 patvirtintas Aplinkosaugos reikalavimų kremavimo įmonėms aprašas (toliau – Aprašas) detalizuoja LR žmonių palaikų laidojimo įstatyme nurodytą esminį reikalavimą – prievolę laikytis aplinkos apsaugos reikalavimų. Aprašas detalizuoja konkrečius taikytinus aplinkos apsaugos reikalavimus, kartu nustatant technologinių parametrų ir išmetamų oro teršalų ribines vertes bei stebėsenos, kontrolės sąlygas. Aprašas nenustato papildomų, įstatyme nenumatytų draudimų, pareigų ūkio subjektui ar kitų esminių reikalavimų.</w:t>
                </w:r>
              </w:p>
            </w:tc>
          </w:tr>
          <w:tr>
            <w:trPr>
              <w:trHeight w:val="1015"/>
            </w:trPr>
            <w:tc>
              <w:tcPr>
                <w:tcW w:w="1584" w:type="dxa"/>
                <w:vMerge/>
              </w:tcPr>
              <w:p/>
            </w:tc>
            <w:tc>
              <w:tcPr>
                <w:tcW w:w="5612" w:type="dxa"/>
                <w:tcBorders>
                  <w:top w:val="single" w:sz="4" w:space="0" w:color="auto"/>
                  <w:bottom w:val="single" w:sz="4" w:space="0" w:color="auto"/>
                </w:tcBorders>
              </w:tcPr>
              <w:p>
                <w:pPr>
                  <w:widowControl w:val="0"/>
                  <w:tabs>
                    <w:tab w:val="left" w:pos="567"/>
                  </w:tabs>
                  <w:suppressAutoHyphens/>
                  <w:jc w:val="both"/>
                  <w:rPr>
                    <w:rFonts w:eastAsia="Lucida Sans Unicode"/>
                    <w:kern w:val="1"/>
                    <w:szCs w:val="24"/>
                    <w:lang w:eastAsia="ar-SA"/>
                  </w:rPr>
                </w:pPr>
                <w:r>
                  <w:rPr>
                    <w:rFonts w:eastAsia="Lucida Sans Unicode"/>
                    <w:kern w:val="1"/>
                    <w:szCs w:val="24"/>
                    <w:lang w:eastAsia="ar-SA"/>
                  </w:rPr>
                  <w:t xml:space="preserve">7. </w:t>
                </w:r>
                <w:r>
                  <w:rPr>
                    <w:rFonts w:eastAsia="Lucida Sans Unicode"/>
                    <w:color w:val="000000"/>
                    <w:kern w:val="1"/>
                    <w:szCs w:val="24"/>
                    <w:lang w:eastAsia="ar-SA"/>
                  </w:rPr>
                  <w:t>Svarstytina, ar juridinio asmens kodo pasikeitimas yra realus, ar tokiu atveju nebūtų sukuriamas naujas juridinis asmuo. Siūlytina įvertinti poreikį Projekto 2 straipsnyje dėstomoje 11</w:t>
                </w:r>
                <w:r>
                  <w:rPr>
                    <w:rFonts w:eastAsia="Lucida Sans Unicode"/>
                    <w:color w:val="000000"/>
                    <w:kern w:val="1"/>
                    <w:szCs w:val="24"/>
                    <w:vertAlign w:val="superscript"/>
                    <w:lang w:eastAsia="ar-SA"/>
                  </w:rPr>
                  <w:t>1</w:t>
                </w:r>
                <w:r>
                  <w:rPr>
                    <w:rFonts w:eastAsia="Lucida Sans Unicode"/>
                    <w:color w:val="000000"/>
                    <w:kern w:val="1"/>
                    <w:szCs w:val="24"/>
                    <w:lang w:eastAsia="ar-SA"/>
                  </w:rPr>
                  <w:t xml:space="preserve"> straipsnio 6 dalyje numatyti juridinio asmens </w:t>
                </w:r>
                <w:r>
                  <w:rPr>
                    <w:rFonts w:eastAsia="Lucida Sans Unicode"/>
                    <w:i/>
                    <w:iCs/>
                    <w:color w:val="000000"/>
                    <w:kern w:val="1"/>
                    <w:szCs w:val="24"/>
                    <w:lang w:eastAsia="ar-SA"/>
                  </w:rPr>
                  <w:t>kodo</w:t>
                </w:r>
                <w:r>
                  <w:rPr>
                    <w:rFonts w:eastAsia="Lucida Sans Unicode"/>
                    <w:color w:val="000000"/>
                    <w:kern w:val="1"/>
                    <w:szCs w:val="24"/>
                    <w:lang w:eastAsia="ar-SA"/>
                  </w:rPr>
                  <w:t xml:space="preserve"> keitimo galimybę.</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 xml:space="preserve">Neatsižvelgta. </w:t>
                </w:r>
                <w:r>
                  <w:rPr>
                    <w:rFonts w:eastAsia="Lucida Sans Unicode"/>
                    <w:kern w:val="1"/>
                    <w:szCs w:val="24"/>
                    <w:lang w:eastAsia="ar-SA"/>
                  </w:rPr>
                  <w:t>Kremavimo veiklos licencija išduodama</w:t>
                </w:r>
                <w:r>
                  <w:rPr>
                    <w:rFonts w:eastAsia="Lucida Sans Unicode"/>
                    <w:b/>
                    <w:kern w:val="1"/>
                    <w:szCs w:val="24"/>
                    <w:lang w:eastAsia="ar-SA"/>
                  </w:rPr>
                  <w:t xml:space="preserve"> </w:t>
                </w:r>
                <w:r>
                  <w:rPr>
                    <w:rFonts w:eastAsia="Lucida Sans Unicode"/>
                    <w:kern w:val="1"/>
                    <w:szCs w:val="24"/>
                    <w:lang w:eastAsia="ar-SA"/>
                  </w:rPr>
                  <w:t xml:space="preserve">Licencijų informacinėje sistemoje. Duomenys apie išduotas licencijas skelbiami Licencijų informacinėje sistemoje ir licencijas išduodančios institucijos interneto svetainėje. Duomenis apie išduotas licencijas sudaro: įmonės pavadinimas, </w:t>
                </w:r>
                <w:r>
                  <w:rPr>
                    <w:rFonts w:eastAsia="Lucida Sans Unicode"/>
                    <w:i/>
                    <w:kern w:val="1"/>
                    <w:szCs w:val="24"/>
                    <w:lang w:eastAsia="ar-SA"/>
                  </w:rPr>
                  <w:t>kodas</w:t>
                </w:r>
                <w:r>
                  <w:rPr>
                    <w:rFonts w:eastAsia="Lucida Sans Unicode"/>
                    <w:kern w:val="1"/>
                    <w:szCs w:val="24"/>
                    <w:lang w:eastAsia="ar-SA"/>
                  </w:rPr>
                  <w:t>, buveinės adresas, veiklos vykdymo vieta. Pasikeitus nors vienam iš šių duomenų licenciją reikia tikslinti, kad duomenys būtų tikslūs.</w:t>
                </w:r>
              </w:p>
            </w:tc>
          </w:tr>
          <w:tr>
            <w:trPr>
              <w:trHeight w:val="1015"/>
            </w:trPr>
            <w:tc>
              <w:tcPr>
                <w:tcW w:w="1584" w:type="dxa"/>
                <w:vMerge/>
              </w:tcPr>
              <w:p/>
            </w:tc>
            <w:tc>
              <w:tcPr>
                <w:tcW w:w="5612" w:type="dxa"/>
                <w:tcBorders>
                  <w:top w:val="single" w:sz="4" w:space="0" w:color="auto"/>
                  <w:bottom w:val="single" w:sz="4" w:space="0" w:color="auto"/>
                </w:tcBorders>
              </w:tcPr>
              <w:p>
                <w:pPr>
                  <w:widowControl w:val="0"/>
                  <w:tabs>
                    <w:tab w:val="left" w:pos="567"/>
                  </w:tabs>
                  <w:suppressAutoHyphens/>
                  <w:jc w:val="both"/>
                  <w:rPr>
                    <w:rFonts w:eastAsia="Lucida Sans Unicode"/>
                    <w:kern w:val="1"/>
                    <w:szCs w:val="24"/>
                    <w:lang w:eastAsia="ar-SA"/>
                  </w:rPr>
                </w:pPr>
                <w:r>
                  <w:rPr>
                    <w:rFonts w:eastAsia="Lucida Sans Unicode"/>
                    <w:kern w:val="1"/>
                    <w:szCs w:val="24"/>
                    <w:lang w:eastAsia="ar-SA"/>
                  </w:rPr>
                  <w:t xml:space="preserve">8. </w:t>
                </w:r>
                <w:r>
                  <w:rPr>
                    <w:rFonts w:eastAsia="Lucida Sans Unicode"/>
                    <w:color w:val="000000"/>
                    <w:kern w:val="1"/>
                    <w:szCs w:val="24"/>
                    <w:lang w:eastAsia="ar-SA"/>
                  </w:rPr>
                  <w:t>Siūlytina įvertinti poreikį Projekto 2 straipsnyje dėstomoje 11</w:t>
                </w:r>
                <w:r>
                  <w:rPr>
                    <w:rFonts w:eastAsia="Lucida Sans Unicode"/>
                    <w:color w:val="000000"/>
                    <w:kern w:val="1"/>
                    <w:szCs w:val="24"/>
                    <w:vertAlign w:val="superscript"/>
                    <w:lang w:eastAsia="ar-SA"/>
                  </w:rPr>
                  <w:t>1</w:t>
                </w:r>
                <w:r>
                  <w:rPr>
                    <w:rFonts w:eastAsia="Lucida Sans Unicode"/>
                    <w:color w:val="000000"/>
                    <w:kern w:val="1"/>
                    <w:szCs w:val="24"/>
                    <w:lang w:eastAsia="ar-SA"/>
                  </w:rPr>
                  <w:t xml:space="preserve"> straipsnio 6 dalyje licencijos tikslinimo galimybę numatyti ir tais atvejais, kai keičiasi licencijuojamos veiklos vykdymo vieta ar patalpos.</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kern w:val="1"/>
                    <w:szCs w:val="24"/>
                    <w:lang w:eastAsia="ar-SA"/>
                  </w:rPr>
                </w:pPr>
                <w:r>
                  <w:rPr>
                    <w:rFonts w:eastAsia="Lucida Sans Unicode"/>
                    <w:b/>
                    <w:kern w:val="1"/>
                    <w:szCs w:val="24"/>
                    <w:lang w:eastAsia="ar-SA"/>
                  </w:rPr>
                  <w:t>Neatsižvelgta.</w:t>
                </w:r>
                <w:r>
                  <w:rPr>
                    <w:rFonts w:eastAsia="Lucida Sans Unicode"/>
                    <w:kern w:val="1"/>
                    <w:szCs w:val="24"/>
                    <w:lang w:eastAsia="ar-SA"/>
                  </w:rPr>
                  <w:t xml:space="preserve"> Įstatymo projekto </w:t>
                </w:r>
                <w:r>
                  <w:rPr>
                    <w:rFonts w:eastAsia="Lucida Sans Unicode"/>
                    <w:color w:val="000000"/>
                    <w:kern w:val="1"/>
                    <w:szCs w:val="24"/>
                    <w:lang w:eastAsia="ar-SA"/>
                  </w:rPr>
                  <w:t>11</w:t>
                </w:r>
                <w:r>
                  <w:rPr>
                    <w:rFonts w:eastAsia="Lucida Sans Unicode"/>
                    <w:color w:val="000000"/>
                    <w:kern w:val="1"/>
                    <w:szCs w:val="24"/>
                    <w:vertAlign w:val="superscript"/>
                    <w:lang w:eastAsia="ar-SA"/>
                  </w:rPr>
                  <w:t>1</w:t>
                </w:r>
                <w:r>
                  <w:rPr>
                    <w:rFonts w:eastAsia="Lucida Sans Unicode"/>
                    <w:color w:val="000000"/>
                    <w:kern w:val="1"/>
                    <w:szCs w:val="24"/>
                    <w:lang w:eastAsia="ar-SA"/>
                  </w:rPr>
                  <w:t xml:space="preserve"> straipsnio </w:t>
                </w:r>
                <w:r>
                  <w:rPr>
                    <w:rFonts w:eastAsia="Lucida Sans Unicode"/>
                    <w:kern w:val="1"/>
                    <w:szCs w:val="24"/>
                    <w:lang w:eastAsia="ar-SA"/>
                  </w:rPr>
                  <w:t xml:space="preserve">7 dalyje siūloma nustatyti, kad „kai kremavimo įmonė nori vykdyti kremavimo veiklą kitoje veiklos vykdymo vietoje, ji privalo kreiptis dėl kremavimo veiklos licencijos keitimo.“ Pasikeitus kremavimo veiklos vykdymo vietai reikia iš naujo vertinti ar įmonės patalpos ir kremavimo įranga atitinka nustatytus reikalavimus, todėl licencija turi būti keičiama, o ne tikslinama. </w:t>
                </w:r>
              </w:p>
            </w:tc>
          </w:tr>
          <w:tr>
            <w:trPr>
              <w:trHeight w:val="1015"/>
            </w:trPr>
            <w:tc>
              <w:tcPr>
                <w:tcW w:w="1584" w:type="dxa"/>
                <w:vMerge/>
              </w:tcPr>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color w:val="000000"/>
                    <w:kern w:val="1"/>
                    <w:szCs w:val="24"/>
                    <w:lang w:eastAsia="ar-SA"/>
                  </w:rPr>
                  <w:t>10. Projekto 2 straipsnyje dėstomos 11</w:t>
                </w:r>
                <w:r>
                  <w:rPr>
                    <w:rFonts w:eastAsia="Lucida Sans Unicode"/>
                    <w:color w:val="000000"/>
                    <w:kern w:val="1"/>
                    <w:szCs w:val="24"/>
                    <w:vertAlign w:val="superscript"/>
                    <w:lang w:eastAsia="ar-SA"/>
                  </w:rPr>
                  <w:t>1</w:t>
                </w:r>
                <w:r>
                  <w:rPr>
                    <w:rFonts w:eastAsia="Lucida Sans Unicode"/>
                    <w:color w:val="000000"/>
                    <w:kern w:val="1"/>
                    <w:szCs w:val="24"/>
                    <w:lang w:eastAsia="ar-SA"/>
                  </w:rPr>
                  <w:t xml:space="preserve"> straipsnio 8 dalies 3 punkte siūloma nustatyti atvejį, kai licencijos galiojimas sustabdomas. Visgi manytina, kad šiame punkte aprašytu atveju kremavimo įmonė turėtų būti įspėjama apie pažeidimą ir nustatomas terminas trūkumams ištaisyti. Jų neištaisius per nustatytą terminą licencijos galiojimas galėtų būti stabdomas šios dalies 2 punkto pagrindu.</w:t>
                </w:r>
              </w:p>
            </w:tc>
            <w:tc>
              <w:tcPr>
                <w:tcW w:w="7872" w:type="dxa"/>
                <w:tcBorders>
                  <w:top w:val="single" w:sz="4" w:space="0" w:color="auto"/>
                  <w:bottom w:val="single" w:sz="4" w:space="0" w:color="auto"/>
                </w:tcBorders>
                <w:shd w:val="clear" w:color="auto" w:fill="auto"/>
              </w:tcPr>
              <w:p>
                <w:pPr>
                  <w:shd w:val="clear" w:color="auto" w:fill="FFFFFF"/>
                  <w:jc w:val="both"/>
                  <w:rPr>
                    <w:color w:val="000000"/>
                    <w:szCs w:val="24"/>
                    <w:lang w:val="en-GB" w:eastAsia="en-GB"/>
                  </w:rPr>
                </w:pPr>
                <w:r>
                  <w:rPr>
                    <w:b/>
                    <w:bCs/>
                    <w:color w:val="000000"/>
                    <w:szCs w:val="24"/>
                    <w:bdr w:val="none" w:sz="0" w:space="0" w:color="auto" w:frame="1"/>
                    <w:lang w:eastAsia="en-GB"/>
                  </w:rPr>
                  <w:t xml:space="preserve">Neatsižvelgta. </w:t>
                </w:r>
                <w:r>
                  <w:rPr>
                    <w:color w:val="000000"/>
                    <w:szCs w:val="24"/>
                    <w:bdr w:val="none" w:sz="0" w:space="0" w:color="auto" w:frame="1"/>
                    <w:lang w:eastAsia="en-GB"/>
                  </w:rPr>
                  <w:t xml:space="preserve">Aplinkosauginiu požiūriu svarbu užtikrinti, kad vykdant žmonių palaikų kremavimo veiklą būtų laikomasi nustatytų reikalavimų, kadangi jų nesilaikant į aplinkos orą gali patekti itin žmogaus sveikatai pavojingi oro teršalai (pvz., chlorinti dioksinai ir furanai), kurie nėra būdingi įprastiems degimo procesams. Atsižvelgiant į tai, manome, kad taikoma nuostata valstybinės priežiūros institucijai pateikus motyvuotą rašytinį pasiūlymą panaikinti licenciją dėl aplinkos apsaugos reikalavimų nesilaikymo yra proporcinga, siekiant išvengti reikšmingą poveikį aplinkai ir žmonių sveikatai darančių įrenginių eksploatacijos. </w:t>
                </w:r>
              </w:p>
              <w:p>
                <w:pPr>
                  <w:shd w:val="clear" w:color="auto" w:fill="FFFFFF"/>
                  <w:jc w:val="both"/>
                  <w:rPr>
                    <w:b/>
                    <w:szCs w:val="24"/>
                    <w:lang w:val="en-GB" w:eastAsia="en-GB"/>
                  </w:rPr>
                </w:pPr>
                <w:r>
                  <w:rPr>
                    <w:color w:val="000000"/>
                    <w:szCs w:val="24"/>
                    <w:bdr w:val="none" w:sz="0" w:space="0" w:color="auto" w:frame="1"/>
                    <w:lang w:eastAsia="en-GB"/>
                  </w:rPr>
                  <w:t>Pažymėtina, kad LR žmonių palaikų laidojimo įstatymo 11</w:t>
                </w:r>
                <w:r>
                  <w:rPr>
                    <w:color w:val="000000"/>
                    <w:szCs w:val="24"/>
                    <w:bdr w:val="none" w:sz="0" w:space="0" w:color="auto" w:frame="1"/>
                    <w:vertAlign w:val="superscript"/>
                    <w:lang w:eastAsia="en-GB"/>
                  </w:rPr>
                  <w:t>1</w:t>
                </w:r>
                <w:r>
                  <w:rPr>
                    <w:color w:val="000000"/>
                    <w:szCs w:val="24"/>
                    <w:bdr w:val="none" w:sz="0" w:space="0" w:color="auto" w:frame="1"/>
                    <w:lang w:eastAsia="en-GB"/>
                  </w:rPr>
                  <w:t xml:space="preserve"> straipsnio 8 dalies 3 punkto nuostata valstybinės priežiūros institucijai suteikia galimybė įvertinti, ar padaryti pažeidimai pakankamai reikšmingi, kad būtų tikslinga stabdyti kremavimo veiklą (pateikiant minėtą motyvuotą pasiūlymą). Taip pat pažymėtina, kad ūkio subjektui padarius mažareikšmį pažeidimą pagal Viešojo administravimo įstatymo 38 straipsniu nustatytą tvarką gali būti nustatytas terminas pažeidimui pašalinti, netaikant poveikio priemonių.</w:t>
                </w:r>
              </w:p>
            </w:tc>
          </w:tr>
          <w:tr>
            <w:trPr>
              <w:trHeight w:val="1015"/>
            </w:trPr>
            <w:tc>
              <w:tcPr>
                <w:tcW w:w="1584" w:type="dxa"/>
                <w:vMerge/>
              </w:tcPr>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color w:val="000000"/>
                    <w:kern w:val="1"/>
                    <w:szCs w:val="24"/>
                    <w:lang w:eastAsia="ar-SA"/>
                  </w:rPr>
                  <w:t>17. Projekto 5 straipsnyje dėstomas 25 straipsnio 5 dalyje siūlytina nurodyti terminą, per kurį Nacionalinis visuomenės sveikatos centras turi pateikti informaciją apie apsisaugojimo priemones bei išduoti leidimą palaidoto žmogaus sutuoktinio ar artimųjų giminaičių prašymu.</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 xml:space="preserve">Atsižvelgta iš dalies. </w:t>
                </w:r>
                <w:r>
                  <w:rPr>
                    <w:rFonts w:eastAsia="Lucida Sans Unicode"/>
                    <w:kern w:val="1"/>
                    <w:szCs w:val="24"/>
                    <w:lang w:eastAsia="ar-SA"/>
                  </w:rPr>
                  <w:t>Kadangi išduodamas</w:t>
                </w:r>
                <w:r>
                  <w:rPr>
                    <w:rFonts w:eastAsia="Lucida Sans Unicode"/>
                    <w:b/>
                    <w:kern w:val="1"/>
                    <w:szCs w:val="24"/>
                    <w:lang w:eastAsia="ar-SA"/>
                  </w:rPr>
                  <w:t xml:space="preserve"> </w:t>
                </w:r>
                <w:r>
                  <w:rPr>
                    <w:rFonts w:eastAsia="Lucida Sans Unicode"/>
                    <w:kern w:val="1"/>
                    <w:szCs w:val="24"/>
                    <w:lang w:eastAsia="ar-SA"/>
                  </w:rPr>
                  <w:t>leidimas ekshumuoti žmogaus palaikus nereguliuoja verslo sąlygų, jo išdavimo termino Įstatyme nustatyti netikslinga. Šis terminas nustatomas Sveikatos apsaugos ministerijos nustatytoje leidimo ekshumuoti žmogaus palaikus išdavimo tvarkoje.</w:t>
                </w:r>
              </w:p>
            </w:tc>
          </w:tr>
          <w:tr>
            <w:trPr>
              <w:trHeight w:val="1015"/>
            </w:trPr>
            <w:tc>
              <w:tcPr>
                <w:tcW w:w="1584" w:type="dxa"/>
                <w:vMerge w:val="restart"/>
              </w:tcPr>
              <w:p>
                <w:pPr>
                  <w:widowControl w:val="0"/>
                  <w:suppressAutoHyphens/>
                  <w:rPr>
                    <w:rFonts w:eastAsia="Lucida Sans Unicode"/>
                    <w:kern w:val="1"/>
                    <w:szCs w:val="24"/>
                    <w:lang w:eastAsia="ar-SA"/>
                  </w:rPr>
                </w:pPr>
                <w:r>
                  <w:rPr>
                    <w:rFonts w:eastAsia="Lucida Sans Unicode"/>
                    <w:kern w:val="1"/>
                    <w:szCs w:val="24"/>
                    <w:lang w:eastAsia="ar-SA"/>
                  </w:rPr>
                  <w:t>Kultūros ministerijos 2021-03-15 raštas Nr. S2-795</w:t>
                </w:r>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kern w:val="1"/>
                    <w:szCs w:val="24"/>
                    <w:lang w:eastAsia="ar-SA"/>
                  </w:rPr>
                  <w:t xml:space="preserve">1.Vis dažnėja atvejų, kai statybų, kelio tiesimo ir kitų darbų metu aptinkami žmonių palaikai, tačiau tokių palaikų ekshumavimas nėra reglamentuotas. Siekiant užtikrinti kokybišką atsitiktinai rastų, o taip pat ir planuojamų ekshumuoti palaikų ekshumavimo procesą t. y. </w:t>
                </w:r>
                <w:r>
                  <w:rPr>
                    <w:rFonts w:eastAsia="Lucida Sans Unicode"/>
                    <w:kern w:val="1"/>
                    <w:szCs w:val="24"/>
                    <w:u w:val="single"/>
                    <w:lang w:eastAsia="ar-SA"/>
                  </w:rPr>
                  <w:t>pagarbų</w:t>
                </w:r>
                <w:r>
                  <w:rPr>
                    <w:rFonts w:eastAsia="Lucida Sans Unicode"/>
                    <w:kern w:val="1"/>
                    <w:szCs w:val="24"/>
                    <w:lang w:eastAsia="ar-SA"/>
                  </w:rPr>
                  <w:t xml:space="preserve"> žmonių palaikų iškėlimą, visų įkapių surinkimą bei kitos svarbios informacijos užfiksavimą, šių duomenų kaupimą, siūlome Įstatymo projekto 5 straipsnyje (Įstatymo 25 straipsnis) nustatyti, kad Lietuvos Respublikos aplinkos ministras tvirtina žmonių palaikų ekshumavimo tvarką, kurios nuostatos turėtų reglamentuoti palaikų ekshumavimo būtinybės atvejus, asmenų, kuriems suteikiama teisė vykdyti žmonių palaikų ekshumavimą, profesinio ar specialaus pasirengimo reikalavimus, taip pat numatyti ekshumuojamų palaikų dokumentavimo formą, dokumentų saugojimo vietą bei svarstyti apie centralizuotą tokių duomenų kaupimą, taip pat reglamentuoti kitus su ekshumavimu susijusius aspektus. Atitinkamai siūlytume galiojančio įstatymo 2 straipsnį papildyti sąvoka </w:t>
                </w:r>
                <w:r>
                  <w:rPr>
                    <w:rFonts w:eastAsia="Lucida Sans Unicode"/>
                    <w:b/>
                    <w:bCs/>
                    <w:kern w:val="1"/>
                    <w:szCs w:val="24"/>
                    <w:lang w:eastAsia="ar-SA"/>
                  </w:rPr>
                  <w:t xml:space="preserve">„Ekshumavimas” </w:t>
                </w:r>
                <w:r>
                  <w:rPr>
                    <w:rFonts w:eastAsia="Lucida Sans Unicode"/>
                    <w:kern w:val="1"/>
                    <w:szCs w:val="24"/>
                    <w:lang w:eastAsia="ar-SA"/>
                  </w:rPr>
                  <w:t>ir ją apibrėžti, taip siekiant teisinio aiškumo ir vengiant galimo dviprasmiško šios sąvokos interpretavimo.</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kern w:val="1"/>
                    <w:szCs w:val="24"/>
                    <w:lang w:val="en-US" w:eastAsia="ar-SA"/>
                  </w:rPr>
                </w:pPr>
                <w:r>
                  <w:rPr>
                    <w:rFonts w:eastAsia="Lucida Sans Unicode"/>
                    <w:b/>
                    <w:kern w:val="1"/>
                    <w:szCs w:val="24"/>
                    <w:lang w:eastAsia="ar-SA"/>
                  </w:rPr>
                  <w:t xml:space="preserve">Atsižvelgta iš dalies. </w:t>
                </w:r>
                <w:r>
                  <w:rPr>
                    <w:rFonts w:eastAsia="Lucida Sans Unicode"/>
                    <w:kern w:val="1"/>
                    <w:szCs w:val="24"/>
                    <w:lang w:eastAsia="ar-SA"/>
                  </w:rPr>
                  <w:t>Atsižvelgiant į tai, kad</w:t>
                </w:r>
                <w:r>
                  <w:rPr>
                    <w:rFonts w:eastAsia="Lucida Sans Unicode"/>
                    <w:b/>
                    <w:kern w:val="1"/>
                    <w:szCs w:val="24"/>
                    <w:lang w:eastAsia="ar-SA"/>
                  </w:rPr>
                  <w:t xml:space="preserve"> </w:t>
                </w:r>
                <w:r>
                  <w:rPr>
                    <w:rFonts w:eastAsia="Lucida Sans Unicode"/>
                    <w:kern w:val="1"/>
                    <w:szCs w:val="24"/>
                    <w:lang w:eastAsia="ar-SA"/>
                  </w:rPr>
                  <w:t>siūloma nustatyti tvarka turėtų reguliuoti atsitiktinai rastų žmogaus palaikų iškėlimo būtinybės atvejus asmenų, kuriems suteikiama teisė vykdyti žmonių palaikų iškėlimą, profesinio ar specialaus pasirengimo reikalavimus, taip pat numatyti iškeliamų palaikų dokumentavimo formą, dokumentų saugojimo vietą ar šių duomenų kaupimą, ir šis reguliavimas susijęs su Kultūros ministerijai pavaldžių institucijų vykdomomis funkcijomis, Įstatymo projekte siūloma tokią tvarką nustatyti Kultūros ministerijai.</w:t>
                </w:r>
              </w:p>
            </w:tc>
          </w:tr>
          <w:tr>
            <w:trPr>
              <w:trHeight w:val="1015"/>
            </w:trPr>
            <w:tc>
              <w:tcPr>
                <w:tcW w:w="1584" w:type="dxa"/>
                <w:vMerge/>
              </w:tcPr>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kern w:val="1"/>
                    <w:szCs w:val="24"/>
                    <w:lang w:eastAsia="ar-SA"/>
                  </w:rPr>
                  <w:t>2. Siūlome numatyti atsitiktinai aptiktų palaikų po ikiteisminio tyrimo baigties, nesant pagal Lietuvos Respublikos baudžiamąjį kodeksą nusikalstamos sudėties požymių (nustačius, kad palaikai buvo užkasti seniau nei prieš 50 metų, nėra smurto ir nužudymo žymių), palaidojimo, perlaidojimo būdą, vietą ir institucijas, kurios turėtų šiuos veiksmus atlikti.</w:t>
                </w:r>
              </w:p>
              <w:p>
                <w:pPr>
                  <w:widowControl w:val="0"/>
                  <w:suppressAutoHyphens/>
                  <w:jc w:val="both"/>
                  <w:rPr>
                    <w:rFonts w:eastAsia="Lucida Sans Unicode"/>
                    <w:kern w:val="1"/>
                    <w:szCs w:val="24"/>
                    <w:lang w:eastAsia="ar-SA"/>
                  </w:rPr>
                </w:pPr>
                <w:r>
                  <w:rPr>
                    <w:rFonts w:eastAsia="Lucida Sans Unicode"/>
                    <w:kern w:val="1"/>
                    <w:szCs w:val="24"/>
                    <w:lang w:eastAsia="ar-SA"/>
                  </w:rPr>
                  <w:t>Lietuvos Respublikos Vyriausybės 2016 m. liepos 20 d. nutarimu</w:t>
                </w:r>
                <w:r>
                  <w:rPr>
                    <w:rFonts w:eastAsia="Lucida Sans Unicode"/>
                    <w:b/>
                    <w:kern w:val="1"/>
                    <w:szCs w:val="24"/>
                    <w:lang w:eastAsia="ar-SA"/>
                  </w:rPr>
                  <w:t xml:space="preserve"> </w:t>
                </w:r>
                <w:r>
                  <w:rPr>
                    <w:rFonts w:eastAsia="Lucida Sans Unicode"/>
                    <w:kern w:val="1"/>
                    <w:szCs w:val="24"/>
                    <w:lang w:eastAsia="ar-SA"/>
                  </w:rPr>
                  <w:t>Nr. 761 „</w:t>
                </w:r>
                <w:r>
                  <w:rPr>
                    <w:rFonts w:eastAsia="Lucida Sans Unicode"/>
                    <w:caps/>
                    <w:color w:val="000000"/>
                    <w:kern w:val="1"/>
                    <w:szCs w:val="24"/>
                    <w:lang w:eastAsia="ar-SA"/>
                  </w:rPr>
                  <w:t>D</w:t>
                </w:r>
                <w:r>
                  <w:rPr>
                    <w:rFonts w:eastAsia="Lucida Sans Unicode"/>
                    <w:color w:val="000000"/>
                    <w:kern w:val="1"/>
                    <w:szCs w:val="24"/>
                    <w:lang w:eastAsia="ar-SA"/>
                  </w:rPr>
                  <w:t>ėl Rezistentų ir kitų asmenų, nužudytų okupacinių režimų metu, palaikų perkėlimo, laidojimo vietų įamžinimo arba pažymėjimo tvarkos aprašo patvirtinimo“</w:t>
                </w:r>
                <w:r>
                  <w:rPr>
                    <w:rFonts w:eastAsia="Lucida Sans Unicode"/>
                    <w:i/>
                    <w:kern w:val="1"/>
                    <w:szCs w:val="24"/>
                    <w:lang w:eastAsia="ar-SA"/>
                  </w:rPr>
                  <w:t xml:space="preserve"> </w:t>
                </w:r>
                <w:r>
                  <w:rPr>
                    <w:rFonts w:eastAsia="Lucida Sans Unicode"/>
                    <w:kern w:val="1"/>
                    <w:szCs w:val="24"/>
                    <w:lang w:eastAsia="ar-SA"/>
                  </w:rPr>
                  <w:t>vadovaujamasi tik nustačius, kad rasti žmonių palaikai yra rezistentų ir kitų asmenų, nužudytų Lietuvos Respublikos teritorijoje okupacinių režimų metu (1920–1939 metais Vilniaus krašte ir 1939–1990 metais Lietuvoje). Kitų asmenų, pavyzdžiui, žuvusių karų metu, kovų ir mūšių metu (</w:t>
                </w:r>
                <w:r>
                  <w:rPr>
                    <w:rFonts w:eastAsia="Lucida Sans Unicode"/>
                    <w:kern w:val="1"/>
                    <w:szCs w:val="24"/>
                    <w:u w:val="single"/>
                    <w:lang w:eastAsia="ar-SA"/>
                  </w:rPr>
                  <w:t>nenužudytų</w:t>
                </w:r>
                <w:r>
                  <w:rPr>
                    <w:rFonts w:eastAsia="Lucida Sans Unicode"/>
                    <w:kern w:val="1"/>
                    <w:szCs w:val="24"/>
                    <w:lang w:eastAsia="ar-SA"/>
                  </w:rPr>
                  <w:t>), palaikų ekshumavimui minėtas nutarimas neturi jokios juridinės galios. Lietuvos Respublikos norminiuose teisės aktuose taip pat nėra reglamentuota tokių palaikų perdavimo tvarka kitoms šalims ar jų ambasadoms Lietuvoje. Manome, kad šias teisinio reglamentavimo spragas taip pat būtina spręsti neatidėliojant.</w:t>
                </w:r>
              </w:p>
            </w:tc>
            <w:tc>
              <w:tcPr>
                <w:tcW w:w="7872" w:type="dxa"/>
                <w:tcBorders>
                  <w:top w:val="single" w:sz="4" w:space="0" w:color="auto"/>
                  <w:bottom w:val="single" w:sz="4" w:space="0" w:color="auto"/>
                </w:tcBorders>
                <w:shd w:val="clear" w:color="auto" w:fill="auto"/>
              </w:tcPr>
              <w:p>
                <w:pPr>
                  <w:widowControl w:val="0"/>
                  <w:suppressAutoHyphens/>
                  <w:jc w:val="both"/>
                  <w:rPr>
                    <w:szCs w:val="24"/>
                    <w:lang w:eastAsia="en-GB"/>
                  </w:rPr>
                </w:pPr>
                <w:r>
                  <w:rPr>
                    <w:rFonts w:eastAsia="Lucida Sans Unicode"/>
                    <w:b/>
                    <w:kern w:val="1"/>
                    <w:szCs w:val="24"/>
                    <w:lang w:eastAsia="ar-SA"/>
                  </w:rPr>
                  <w:t xml:space="preserve">Neatsižvelgta. </w:t>
                </w:r>
                <w:r>
                  <w:rPr>
                    <w:rFonts w:eastAsia="Lucida Sans Unicode"/>
                    <w:kern w:val="1"/>
                    <w:szCs w:val="24"/>
                    <w:lang w:eastAsia="ar-SA"/>
                  </w:rPr>
                  <w:t xml:space="preserve">Vadovaujantis Įstatymo 21 straipsnio </w:t>
                </w:r>
                <w:r>
                  <w:rPr>
                    <w:szCs w:val="24"/>
                    <w:lang w:eastAsia="en-GB"/>
                  </w:rPr>
                  <w:t xml:space="preserve">3 dalimi, jeigu nėra asmenų galinčių organizuoti laidojimą arba nežinoma, kur tokie asmenys yra, laidojimą organizuoja savivaldybė, kurios teritorijoje asmuo nuolat gyveno. Jeigu asmuo neturėjo nuolatinės gyvenamosios vietos, </w:t>
                </w:r>
                <w:r>
                  <w:rPr>
                    <w:i/>
                    <w:szCs w:val="24"/>
                    <w:lang w:eastAsia="en-GB"/>
                  </w:rPr>
                  <w:t>laidojimą organizuoja savivaldybė, kurios teritorijoje buvo nustatytas mirties faktas</w:t>
                </w:r>
                <w:r>
                  <w:rPr>
                    <w:szCs w:val="24"/>
                    <w:lang w:eastAsia="en-GB"/>
                  </w:rPr>
                  <w:t xml:space="preserve">. Šioje dalyje nurodytais atvejais </w:t>
                </w:r>
                <w:r>
                  <w:rPr>
                    <w:i/>
                    <w:szCs w:val="24"/>
                    <w:lang w:eastAsia="en-GB"/>
                  </w:rPr>
                  <w:t>laidojantis asmuo yra savivaldybės vykdomosios institucijos įgaliotas asmuo.</w:t>
                </w:r>
              </w:p>
              <w:p>
                <w:pPr>
                  <w:widowControl w:val="0"/>
                  <w:suppressAutoHyphens/>
                  <w:jc w:val="both"/>
                  <w:rPr>
                    <w:rFonts w:eastAsia="Lucida Sans Unicode"/>
                    <w:kern w:val="1"/>
                    <w:szCs w:val="24"/>
                    <w:lang w:eastAsia="ar-SA"/>
                  </w:rPr>
                </w:pPr>
                <w:r>
                  <w:rPr>
                    <w:szCs w:val="24"/>
                    <w:lang w:eastAsia="en-GB"/>
                  </w:rPr>
                  <w:t>Atkreipiame dėmesį, kad vadovaujantis Įstatymo 21 straipsnio 3 dalimi, užsienio ambasados, galinčios organizuoti mirusiųjų asmenų palaikų laidojimą tai gali padaryti esant dabartiniam teisiniam reguliavimui (tapdamos laidojančiu asmeniu). Pažymėtina, kad mirusio asmens palaikai negali būti perduodami laidojančiam asmeniui, kaip nuosavybė, bet laidojantis asmuo gali organizuoti palaikų laidojimą savo nuožiūra.</w:t>
                </w:r>
              </w:p>
            </w:tc>
          </w:tr>
          <w:tr>
            <w:trPr>
              <w:trHeight w:val="1015"/>
            </w:trPr>
            <w:tc>
              <w:tcPr>
                <w:tcW w:w="1584" w:type="dxa"/>
              </w:tcPr>
              <w:p>
                <w:pPr>
                  <w:widowControl w:val="0"/>
                  <w:suppressAutoHyphens/>
                  <w:rPr>
                    <w:rFonts w:eastAsia="Lucida Sans Unicode"/>
                    <w:kern w:val="1"/>
                    <w:szCs w:val="24"/>
                    <w:lang w:eastAsia="ar-SA"/>
                  </w:rPr>
                </w:pPr>
                <w:r>
                  <w:rPr>
                    <w:rFonts w:eastAsia="Lucida Sans Unicode"/>
                    <w:kern w:val="1"/>
                    <w:szCs w:val="24"/>
                    <w:lang w:eastAsia="ar-SA"/>
                  </w:rPr>
                  <w:t xml:space="preserve">Portale E. pilietis </w:t>
                </w:r>
                <w:r>
                  <w:rPr>
                    <w:rFonts w:eastAsia="Lucida Sans Unicode"/>
                    <w:color w:val="000000"/>
                    <w:kern w:val="1"/>
                    <w:szCs w:val="24"/>
                    <w:shd w:val="clear" w:color="auto" w:fill="FFFFFF"/>
                    <w:lang w:eastAsia="ar-SA"/>
                  </w:rPr>
                  <w:t>2021-02-11gautas pasiūlymas</w:t>
                </w:r>
              </w:p>
            </w:tc>
            <w:tc>
              <w:tcPr>
                <w:tcW w:w="5612" w:type="dxa"/>
                <w:tcBorders>
                  <w:top w:val="single" w:sz="4" w:space="0" w:color="auto"/>
                  <w:bottom w:val="single" w:sz="4" w:space="0" w:color="auto"/>
                </w:tcBorders>
              </w:tcPr>
              <w:p>
                <w:pPr>
                  <w:widowControl w:val="0"/>
                  <w:suppressAutoHyphens/>
                  <w:jc w:val="both"/>
                  <w:rPr>
                    <w:rFonts w:eastAsia="Lucida Sans Unicode"/>
                    <w:kern w:val="1"/>
                    <w:szCs w:val="24"/>
                    <w:lang w:eastAsia="ar-SA"/>
                  </w:rPr>
                </w:pPr>
                <w:r>
                  <w:rPr>
                    <w:rFonts w:eastAsia="Lucida Sans Unicode"/>
                    <w:color w:val="000000"/>
                    <w:kern w:val="1"/>
                    <w:szCs w:val="24"/>
                    <w:shd w:val="clear" w:color="auto" w:fill="FFFFFF"/>
                    <w:lang w:eastAsia="ar-SA"/>
                  </w:rPr>
                  <w:t>Reikėtų krematoriumo šilumą panaudoti. Reikėtų numatyti galimybę po kremavimo likusius pelenus išbarstyti.</w:t>
                </w:r>
              </w:p>
            </w:tc>
            <w:tc>
              <w:tcPr>
                <w:tcW w:w="7872" w:type="dxa"/>
                <w:tcBorders>
                  <w:top w:val="single" w:sz="4" w:space="0" w:color="auto"/>
                  <w:bottom w:val="single" w:sz="4" w:space="0" w:color="auto"/>
                </w:tcBorders>
                <w:shd w:val="clear" w:color="auto" w:fill="auto"/>
              </w:tcPr>
              <w:p>
                <w:pPr>
                  <w:widowControl w:val="0"/>
                  <w:suppressAutoHyphens/>
                  <w:jc w:val="both"/>
                  <w:rPr>
                    <w:rFonts w:eastAsia="Lucida Sans Unicode"/>
                    <w:kern w:val="1"/>
                    <w:szCs w:val="24"/>
                    <w:lang w:eastAsia="ar-SA"/>
                  </w:rPr>
                </w:pPr>
                <w:r>
                  <w:rPr>
                    <w:rFonts w:eastAsia="Lucida Sans Unicode"/>
                    <w:b/>
                    <w:kern w:val="1"/>
                    <w:szCs w:val="24"/>
                    <w:lang w:eastAsia="ar-SA"/>
                  </w:rPr>
                  <w:t xml:space="preserve">Neatsižvelgta. </w:t>
                </w:r>
                <w:r>
                  <w:rPr>
                    <w:rFonts w:eastAsia="Lucida Sans Unicode"/>
                    <w:kern w:val="1"/>
                    <w:szCs w:val="24"/>
                    <w:lang w:eastAsia="ar-SA"/>
                  </w:rPr>
                  <w:t>Krematoriumo šilumos panaudojimas ar po kremavimo likusių pelenų panaudojimas nėra Įstatymo reguliavimo dalykas.</w:t>
                </w:r>
              </w:p>
            </w:tc>
          </w:tr>
        </w:tbl>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rPr>
        <w:rFonts w:eastAsia="Lucida Sans Unicode"/>
        <w:kern w:val="1"/>
        <w:szCs w:val="24"/>
        <w:lang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rPr>
        <w:rFonts w:eastAsia="Lucida Sans Unicode"/>
        <w:kern w:val="1"/>
        <w:szCs w:val="24"/>
        <w:lang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rPr>
        <w:rFonts w:eastAsia="Lucida Sans Unicode"/>
        <w:kern w:val="1"/>
        <w:szCs w:val="24"/>
        <w:lang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rPr>
        <w:rFonts w:eastAsia="Lucida Sans Unicode"/>
        <w:kern w:val="1"/>
        <w:szCs w:val="24"/>
        <w:lang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jc w:val="center"/>
      <w:rPr>
        <w:rFonts w:eastAsia="Lucida Sans Unicode"/>
        <w:kern w:val="1"/>
        <w:szCs w:val="24"/>
        <w:lang w:eastAsia="ar-SA"/>
      </w:rPr>
    </w:pPr>
    <w:r>
      <w:rPr>
        <w:rFonts w:eastAsia="Lucida Sans Unicode"/>
        <w:kern w:val="1"/>
        <w:szCs w:val="24"/>
        <w:lang w:eastAsia="ar-SA"/>
      </w:rPr>
      <w:fldChar w:fldCharType="begin"/>
    </w:r>
    <w:r>
      <w:rPr>
        <w:rFonts w:eastAsia="Lucida Sans Unicode"/>
        <w:kern w:val="1"/>
        <w:szCs w:val="24"/>
        <w:lang w:eastAsia="ar-SA"/>
      </w:rPr>
      <w:instrText xml:space="preserve"> PAGE   \* MERGEFORMAT </w:instrText>
    </w:r>
    <w:r>
      <w:rPr>
        <w:rFonts w:eastAsia="Lucida Sans Unicode"/>
        <w:kern w:val="1"/>
        <w:szCs w:val="24"/>
        <w:lang w:eastAsia="ar-SA"/>
      </w:rPr>
      <w:fldChar w:fldCharType="separate"/>
    </w:r>
    <w:r>
      <w:rPr>
        <w:rFonts w:eastAsia="Lucida Sans Unicode"/>
        <w:kern w:val="1"/>
        <w:szCs w:val="24"/>
        <w:lang w:eastAsia="ar-SA"/>
      </w:rPr>
      <w:t>5</w:t>
    </w:r>
    <w:r>
      <w:rPr>
        <w:rFonts w:eastAsia="Lucida Sans Unicode"/>
        <w:kern w:val="1"/>
        <w:szCs w:val="24"/>
        <w:lang w:eastAsia="ar-SA"/>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center" w:pos="4819"/>
        <w:tab w:val="right" w:pos="9638"/>
      </w:tabs>
      <w:suppressAutoHyphens/>
      <w:rPr>
        <w:rFonts w:eastAsia="Lucida Sans Unicode"/>
        <w:kern w:val="1"/>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F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8659803">
      <w:bodyDiv w:val="1"/>
      <w:marLeft w:val="0"/>
      <w:marRight w:val="0"/>
      <w:marTop w:val="0"/>
      <w:marBottom w:val="0"/>
      <w:divBdr>
        <w:top w:val="none" w:sz="0" w:space="0" w:color="auto"/>
        <w:left w:val="none" w:sz="0" w:space="0" w:color="auto"/>
        <w:bottom w:val="none" w:sz="0" w:space="0" w:color="auto"/>
        <w:right w:val="none" w:sz="0" w:space="0" w:color="auto"/>
      </w:divBdr>
    </w:div>
    <w:div w:id="640624083">
      <w:bodyDiv w:val="1"/>
      <w:marLeft w:val="0"/>
      <w:marRight w:val="0"/>
      <w:marTop w:val="0"/>
      <w:marBottom w:val="0"/>
      <w:divBdr>
        <w:top w:val="none" w:sz="0" w:space="0" w:color="auto"/>
        <w:left w:val="none" w:sz="0" w:space="0" w:color="auto"/>
        <w:bottom w:val="none" w:sz="0" w:space="0" w:color="auto"/>
        <w:right w:val="none" w:sz="0" w:space="0" w:color="auto"/>
      </w:divBdr>
    </w:div>
    <w:div w:id="1149983410">
      <w:bodyDiv w:val="1"/>
      <w:marLeft w:val="0"/>
      <w:marRight w:val="0"/>
      <w:marTop w:val="0"/>
      <w:marBottom w:val="0"/>
      <w:divBdr>
        <w:top w:val="none" w:sz="0" w:space="0" w:color="auto"/>
        <w:left w:val="none" w:sz="0" w:space="0" w:color="auto"/>
        <w:bottom w:val="none" w:sz="0" w:space="0" w:color="auto"/>
        <w:right w:val="none" w:sz="0" w:space="0" w:color="auto"/>
      </w:divBdr>
    </w:div>
    <w:div w:id="1389957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3dd2b7e2f864f8da26b76249e5c1775" PartId="14c3d5a2bd934857a8e3c4b0d90003f3"/>
</Parts>
</file>

<file path=customXml/itemProps1.xml><?xml version="1.0" encoding="utf-8"?>
<ds:datastoreItem xmlns:ds="http://schemas.openxmlformats.org/officeDocument/2006/customXml" ds:itemID="{FD4F1F4A-FAEB-44DC-854D-3E1CED4C6059}">
  <ds:schemaRefs>
    <ds:schemaRef ds:uri="http://schemas.openxmlformats.org/officeDocument/2006/bibliography"/>
  </ds:schemaRefs>
</ds:datastoreItem>
</file>

<file path=customXml/itemProps2.xml><?xml version="1.0" encoding="utf-8"?>
<ds:datastoreItem xmlns:ds="http://schemas.openxmlformats.org/officeDocument/2006/customXml" ds:itemID="{8F09981B-6D7D-4AE6-80CA-038FDBF7F1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1332</Words>
  <Characters>9727</Characters>
  <Application>Microsoft Office Word</Application>
  <DocSecurity>4</DocSecurity>
  <Lines>216</Lines>
  <Paragraphs>34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11025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V-Rumbutiene</dc:creator>
  <lastModifiedBy>adlibuser</lastModifiedBy>
  <lastPrinted>2013-08-27T06:20:00Z</lastPrinted>
  <dcterms:modified xsi:type="dcterms:W3CDTF">2021-05-12T13:22:00Z</dcterms:modified>
  <revision>2</revision>
</coreProperties>
</file>