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d8ccb016df4649b4bd802fbca1a51014"/>
        <w:lock w:val="sdtLocked"/>
        <w:richText/>
      </w:sdtPr>
      <w:sdtContent>
        <w:p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NUMATOMO TEISINIO REGULIAVIMO POVEIKIO VERTINIMO PAŽYMA</w:t>
          </w:r>
        </w:p>
        <w:p>
          <w:pPr>
            <w:rPr>
              <w:b/>
              <w:bCs/>
              <w:szCs w:val="24"/>
              <w:lang w:eastAsia="lt-LT"/>
            </w:rPr>
          </w:pPr>
        </w:p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2319"/>
            <w:gridCol w:w="7535"/>
          </w:tblGrid>
          <w:tr>
            <w:tc>
              <w:tcPr>
                <w:tcW w:w="2319" w:type="dxa"/>
                <w:shd w:val="clear" w:color="auto" w:fill="auto"/>
                <w:hideMark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Projekto pavadinimas</w:t>
                </w:r>
              </w:p>
            </w:tc>
            <w:tc>
              <w:tcPr>
                <w:tcW w:w="7535" w:type="dxa"/>
                <w:shd w:val="clear" w:color="auto" w:fill="auto"/>
                <w:hideMark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tabs>
                    <w:tab w:val="left" w:pos="409"/>
                  </w:tabs>
                  <w:spacing w:line="276" w:lineRule="auto"/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Lietuvos Respublikos žmonių palaikų laidojimo įstatymo (toliau – Įstatymas) Nr. X-1404 </w:t>
                </w:r>
                <w:r>
                  <w:rPr>
                    <w:szCs w:val="24"/>
                  </w:rPr>
                  <w:t>11, 11</w:t>
                </w:r>
                <w:r>
                  <w:rPr>
                    <w:szCs w:val="24"/>
                    <w:vertAlign w:val="superscript"/>
                  </w:rPr>
                  <w:t>1</w:t>
                </w:r>
                <w:r>
                  <w:rPr>
                    <w:szCs w:val="24"/>
                  </w:rPr>
                  <w:t>, 13, 25, 27, 33</w:t>
                </w:r>
                <w:r>
                  <w:rPr>
                    <w:b/>
                    <w:szCs w:val="24"/>
                  </w:rPr>
                  <w:t xml:space="preserve"> </w:t>
                </w:r>
                <w:r>
                  <w:rPr>
                    <w:szCs w:val="24"/>
                  </w:rPr>
                  <w:t xml:space="preserve">straipsnių pakeitimo ir įstatymo papildymo </w:t>
                </w:r>
                <w:r>
                  <w:rPr>
                    <w:bCs/>
                    <w:szCs w:val="24"/>
                  </w:rPr>
                  <w:t>11</w:t>
                </w:r>
                <w:r>
                  <w:rPr>
                    <w:bCs/>
                    <w:szCs w:val="24"/>
                    <w:vertAlign w:val="superscript"/>
                  </w:rPr>
                  <w:t xml:space="preserve">2 </w:t>
                </w:r>
                <w:r>
                  <w:rPr>
                    <w:szCs w:val="24"/>
                  </w:rPr>
                  <w:t>straipsniu</w:t>
                </w:r>
                <w:r>
                  <w:rPr>
                    <w:color w:val="000000"/>
                    <w:szCs w:val="24"/>
                  </w:rPr>
                  <w:t xml:space="preserve"> įstatymo projektas (toliau – Įstatymo projektas</w:t>
                </w:r>
                <w:r>
                  <w:rPr>
                    <w:szCs w:val="24"/>
                  </w:rPr>
                  <w:t>)</w:t>
                </w:r>
              </w:p>
            </w:tc>
          </w:tr>
          <w:tr>
            <w:tc>
              <w:tcPr>
                <w:tcW w:w="2319" w:type="dxa"/>
                <w:shd w:val="clear" w:color="auto" w:fill="auto"/>
                <w:hideMark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Projekto rengėjas</w:t>
                </w:r>
              </w:p>
            </w:tc>
            <w:tc>
              <w:tcPr>
                <w:tcW w:w="7535" w:type="dxa"/>
                <w:shd w:val="clear" w:color="auto" w:fill="auto"/>
                <w:hideMark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tabs>
                    <w:tab w:val="left" w:pos="409"/>
                  </w:tabs>
                  <w:spacing w:line="276" w:lineRule="auto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Lietuvos Respublikos aplinkos ministerija</w:t>
                </w:r>
              </w:p>
            </w:tc>
          </w:tr>
          <w:tr>
            <w:tc>
              <w:tcPr>
                <w:tcW w:w="2319" w:type="dxa"/>
                <w:shd w:val="clear" w:color="auto" w:fill="auto"/>
                <w:hideMark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Projekto tikslas</w:t>
                </w:r>
              </w:p>
            </w:tc>
            <w:tc>
              <w:tcPr>
                <w:tcW w:w="7535" w:type="dxa"/>
                <w:shd w:val="clear" w:color="auto" w:fill="auto"/>
                <w:hideMark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spacing w:line="276" w:lineRule="auto"/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Patikslinti kremavimo veiklos licencijavimo nuostatas atsižvelgiant į teisės aktų reikalavimus ir pašalinti kai kurias reglamentavimo spragas.</w:t>
                </w:r>
              </w:p>
            </w:tc>
          </w:tr>
          <w:tr>
            <w:tc>
              <w:tcPr>
                <w:tcW w:w="2319" w:type="dxa"/>
                <w:shd w:val="clear" w:color="auto" w:fill="auto"/>
                <w:hideMark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b/>
                    <w:szCs w:val="24"/>
                    <w:lang w:eastAsia="lt-LT"/>
                  </w:rPr>
                </w:pPr>
              </w:p>
            </w:tc>
            <w:tc>
              <w:tcPr>
                <w:tcW w:w="7535" w:type="dxa"/>
                <w:shd w:val="clear" w:color="auto" w:fill="auto"/>
                <w:hideMark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tabs>
                    <w:tab w:val="left" w:pos="409"/>
                  </w:tabs>
                  <w:spacing w:line="276" w:lineRule="auto"/>
                  <w:jc w:val="both"/>
                  <w:rPr>
                    <w:b/>
                    <w:color w:val="000000"/>
                    <w:szCs w:val="24"/>
                  </w:rPr>
                </w:pPr>
              </w:p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tabs>
                    <w:tab w:val="left" w:pos="409"/>
                  </w:tabs>
                  <w:spacing w:line="276" w:lineRule="auto"/>
                  <w:jc w:val="both"/>
                  <w:rPr>
                    <w:b/>
                    <w:color w:val="000000"/>
                    <w:szCs w:val="24"/>
                  </w:rPr>
                </w:pPr>
                <w:r>
                  <w:rPr>
                    <w:b/>
                    <w:color w:val="000000"/>
                    <w:szCs w:val="24"/>
                  </w:rPr>
                  <w:t xml:space="preserve">Siūlomo projekto poveikio įvertinimas </w:t>
                </w:r>
              </w:p>
            </w:tc>
          </w:tr>
          <w:tr>
            <w:tc>
              <w:tcPr>
                <w:tcW w:w="2319" w:type="dxa"/>
                <w:shd w:val="clear" w:color="auto" w:fill="auto"/>
                <w:hideMark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Poveikis kremavimo veiklos sričiai</w:t>
                </w:r>
              </w:p>
            </w:tc>
            <w:tc>
              <w:tcPr>
                <w:tcW w:w="7535" w:type="dxa"/>
                <w:shd w:val="clear" w:color="auto" w:fill="auto"/>
                <w:hideMark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spacing w:line="276" w:lineRule="auto"/>
                  <w:ind w:firstLine="15"/>
                  <w:jc w:val="both"/>
                  <w:rPr>
                    <w:color w:val="000000"/>
                    <w:szCs w:val="24"/>
                  </w:rPr>
                </w:pPr>
                <w:r>
                  <w:rPr>
                    <w:bCs/>
                    <w:szCs w:val="24"/>
                    <w:lang w:eastAsia="lt-LT"/>
                  </w:rPr>
                  <w:t>Neigiamų pasekmių kremavimo veiklos sričiai nenumatoma. Nepriėmus Įstatymo projekto nebus Įstatyme nustatytos kai kurios Kremavimo veiklos licencijavimo nuostatos ir nebus pašalintos reglamentavimo spragos.</w:t>
                </w:r>
              </w:p>
            </w:tc>
          </w:tr>
          <w:tr>
            <w:tc>
              <w:tcPr>
                <w:tcW w:w="2319" w:type="dxa"/>
                <w:shd w:val="clear" w:color="auto" w:fill="auto"/>
                <w:hideMark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Poveikis valstybės finansams</w:t>
                </w:r>
              </w:p>
            </w:tc>
            <w:tc>
              <w:tcPr>
                <w:tcW w:w="7535" w:type="dxa"/>
                <w:shd w:val="clear" w:color="auto" w:fill="auto"/>
                <w:hideMark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tabs>
                    <w:tab w:val="left" w:pos="409"/>
                  </w:tabs>
                  <w:spacing w:line="276" w:lineRule="auto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Įstatymo projekto įgyvendinimas papildomų išlaidų iš valstybės biudžeto nepareikalaus.</w:t>
                </w:r>
              </w:p>
            </w:tc>
          </w:tr>
          <w:tr>
            <w:tc>
              <w:tcPr>
                <w:tcW w:w="2319" w:type="dxa"/>
                <w:shd w:val="clear" w:color="auto" w:fill="auto"/>
                <w:hideMark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Poveikis administracinei naštai</w:t>
                </w:r>
              </w:p>
            </w:tc>
            <w:tc>
              <w:tcPr>
                <w:tcW w:w="7535" w:type="dxa"/>
                <w:shd w:val="clear" w:color="auto" w:fill="auto"/>
                <w:hideMark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spacing w:line="276" w:lineRule="auto"/>
                  <w:ind w:firstLine="15"/>
                  <w:jc w:val="both"/>
                  <w:rPr>
                    <w:color w:val="000000"/>
                    <w:szCs w:val="24"/>
                  </w:rPr>
                </w:pPr>
                <w:r>
                  <w:rPr>
                    <w:spacing w:val="2"/>
                    <w:szCs w:val="24"/>
                    <w:lang w:eastAsia="lt-LT"/>
                  </w:rPr>
                  <w:t>Priėmus Įstatymo projektą administracinė našta kremavimo įmonėms nepakis (nedidės).</w:t>
                </w:r>
              </w:p>
            </w:tc>
          </w:tr>
          <w:tr>
            <w:tc>
              <w:tcPr>
                <w:tcW w:w="2319" w:type="dxa"/>
                <w:shd w:val="clear" w:color="auto" w:fill="auto"/>
                <w:hideMark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Poveikis aplinkai ir klimato kaitai</w:t>
                </w:r>
              </w:p>
            </w:tc>
            <w:tc>
              <w:tcPr>
                <w:tcW w:w="7535" w:type="dxa"/>
                <w:shd w:val="clear" w:color="auto" w:fill="auto"/>
                <w:hideMark/>
              </w:tcPr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tabs>
                    <w:tab w:val="left" w:pos="409"/>
                  </w:tabs>
                  <w:spacing w:line="276" w:lineRule="auto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Nėra</w:t>
                </w:r>
              </w:p>
            </w:tc>
          </w:tr>
        </w:tbl>
        <w:p>
          <w:pPr>
            <w:rPr>
              <w:sz w:val="10"/>
              <w:szCs w:val="10"/>
            </w:rPr>
          </w:pPr>
        </w:p>
        <w:sdt>
          <w:sdtPr>
            <w:alias w:val="signatura"/>
            <w:tag w:val="part_30c71fb952314f98b36a68ac288bdbf5"/>
            <w:lock w:val="sdtLocked"/>
            <w:richText/>
          </w:sdtPr>
          <w:sdtContent>
            <w:p>
              <w:pPr>
                <w:rPr>
                  <w:rFonts w:eastAsia="Calibri"/>
                  <w:szCs w:val="24"/>
                  <w:lang w:eastAsia="lt-LT"/>
                </w:rPr>
              </w:pPr>
              <w:r>
                <w:rPr>
                  <w:b/>
                  <w:bCs/>
                  <w:szCs w:val="24"/>
                  <w:lang w:eastAsia="lt-LT"/>
                </w:rPr>
                <w:t xml:space="preserve">Kita svarbi informacija </w:t>
              </w:r>
              <w:r>
                <w:rPr>
                  <w:szCs w:val="24"/>
                  <w:lang w:eastAsia="lt-LT"/>
                </w:rPr>
                <w:t>Nėra.</w:t>
              </w:r>
            </w:p>
            <w:p>
              <w:pPr>
                <w:rPr>
                  <w:sz w:val="10"/>
                  <w:szCs w:val="10"/>
                </w:rPr>
              </w:pPr>
            </w:p>
            <w:sdt>
              <w:sdtPr>
                <w:alias w:val="lentele"/>
                <w:tag w:val="part_45f53da3fdfd405185c18924ffbf733d"/>
                <w:lock w:val="sdtLocked"/>
                <w:richText/>
              </w:sdtPr>
              <w:sdtContent>
                <w:p>
                  <w:pPr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5f53da3fdfd405185c18924ffbf733d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Informacija apie asmenį ir instituciją, atsakingą už poveikio vertinimą</w:t>
                      </w:r>
                    </w:sdtContent>
                  </w:sdt>
                </w:p>
                <w:tbl>
                  <w:tblPr>
                    <w:tblW w:w="5000" w:type="pct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834"/>
                    <w:gridCol w:w="7020"/>
                  </w:tblGrid>
                  <w:tr>
                    <w:tc>
                      <w:tcPr>
                        <w:tcW w:w="1438" w:type="pct"/>
                        <w:tcMar>
                          <w:top w:w="28" w:type="dxa"/>
                          <w:left w:w="108" w:type="dxa"/>
                          <w:bottom w:w="28" w:type="dxa"/>
                          <w:right w:w="108" w:type="dxa"/>
                        </w:tcMar>
                        <w:hideMark/>
                      </w:tcPr>
                      <w:p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Vardas ir pavardė</w:t>
                        </w:r>
                      </w:p>
                    </w:tc>
                    <w:tc>
                      <w:tcPr>
                        <w:tcW w:w="3562" w:type="pct"/>
                        <w:tcMar>
                          <w:top w:w="28" w:type="dxa"/>
                          <w:left w:w="108" w:type="dxa"/>
                          <w:bottom w:w="28" w:type="dxa"/>
                          <w:right w:w="108" w:type="dxa"/>
                        </w:tcMar>
                        <w:hideMark/>
                      </w:tcPr>
                      <w:p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Vaiva Rumbutienė </w:t>
                        </w:r>
                      </w:p>
                    </w:tc>
                  </w:tr>
                  <w:tr>
                    <w:tc>
                      <w:tcPr>
                        <w:tcW w:w="1438" w:type="pct"/>
                        <w:tcMar>
                          <w:top w:w="28" w:type="dxa"/>
                          <w:left w:w="108" w:type="dxa"/>
                          <w:bottom w:w="28" w:type="dxa"/>
                          <w:right w:w="108" w:type="dxa"/>
                        </w:tcMar>
                        <w:hideMark/>
                      </w:tcPr>
                      <w:p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Pareigos</w:t>
                        </w:r>
                      </w:p>
                    </w:tc>
                    <w:tc>
                      <w:tcPr>
                        <w:tcW w:w="3562" w:type="pct"/>
                        <w:tcMar>
                          <w:top w:w="28" w:type="dxa"/>
                          <w:left w:w="108" w:type="dxa"/>
                          <w:bottom w:w="28" w:type="dxa"/>
                          <w:right w:w="108" w:type="dxa"/>
                        </w:tcMar>
                        <w:hideMark/>
                      </w:tcPr>
                      <w:p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Vyriausioji specialistė</w:t>
                        </w:r>
                      </w:p>
                    </w:tc>
                  </w:tr>
                  <w:tr>
                    <w:tc>
                      <w:tcPr>
                        <w:tcW w:w="1438" w:type="pct"/>
                        <w:tcMar>
                          <w:top w:w="28" w:type="dxa"/>
                          <w:left w:w="108" w:type="dxa"/>
                          <w:bottom w:w="28" w:type="dxa"/>
                          <w:right w:w="108" w:type="dxa"/>
                        </w:tcMar>
                        <w:hideMark/>
                      </w:tcPr>
                      <w:p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Institucija (padalinys)</w:t>
                        </w:r>
                      </w:p>
                    </w:tc>
                    <w:tc>
                      <w:tcPr>
                        <w:tcW w:w="3562" w:type="pct"/>
                        <w:tcMar>
                          <w:top w:w="28" w:type="dxa"/>
                          <w:left w:w="108" w:type="dxa"/>
                          <w:bottom w:w="28" w:type="dxa"/>
                          <w:right w:w="108" w:type="dxa"/>
                        </w:tcMar>
                        <w:hideMark/>
                      </w:tcPr>
                      <w:p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Aplinkos ministerijos Statybos ir teritorijų planavimo politikos grupė</w:t>
                        </w:r>
                      </w:p>
                    </w:tc>
                  </w:tr>
                  <w:tr>
                    <w:tc>
                      <w:tcPr>
                        <w:tcW w:w="1438" w:type="pct"/>
                        <w:tcMar>
                          <w:top w:w="28" w:type="dxa"/>
                          <w:left w:w="108" w:type="dxa"/>
                          <w:bottom w:w="28" w:type="dxa"/>
                          <w:right w:w="108" w:type="dxa"/>
                        </w:tcMar>
                        <w:hideMark/>
                      </w:tcPr>
                      <w:p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Telefono numeris ir elektroninio pašto adresas</w:t>
                        </w:r>
                      </w:p>
                    </w:tc>
                    <w:tc>
                      <w:tcPr>
                        <w:tcW w:w="3562" w:type="pct"/>
                        <w:tcMar>
                          <w:top w:w="28" w:type="dxa"/>
                          <w:left w:w="108" w:type="dxa"/>
                          <w:bottom w:w="28" w:type="dxa"/>
                          <w:right w:w="108" w:type="dxa"/>
                        </w:tcMar>
                        <w:hideMark/>
                      </w:tcPr>
                      <w:p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8~695 31922, el. p. vaiva.rumbutiene@am.lt</w:t>
                        </w:r>
                      </w:p>
                    </w:tc>
                  </w:tr>
                </w:tbl>
                <w:p/>
              </w:sdtContent>
            </w:sdt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0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b4816214cb946279b73046f8c182a50" PartId="d8ccb016df4649b4bd802fbca1a51014">
    <Part Type="signatura" DocPartId="8d0aba896c76408db50ae35cc6742019" PartId="30c71fb952314f98b36a68ac288bdbf5">
      <Part Type="lentele" Title="Informacija apie asmenį ir instituciją, atsakingą už poveikio vertinimą" DocPartId="5afad2a76b474d17a8391cb46f028ca2" PartId="45f53da3fdfd405185c18924ffbf733d"/>
    </Part>
  </Part>
</Parts>
</file>

<file path=customXml/itemProps1.xml><?xml version="1.0" encoding="utf-8"?>
<ds:datastoreItem xmlns:ds="http://schemas.openxmlformats.org/officeDocument/2006/customXml" ds:itemID="{0AD9C7B2-F5F8-470C-9623-E512605E46F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167</Words>
  <Characters>1293</Characters>
  <Application>Microsoft Office Word</Application>
  <DocSecurity>4</DocSecurity>
  <Lines>46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1431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2021-05-12T13:22:00Z</dcterms:created>
  <dc:creator>v.rumbutiene</dc:creator>
  <lastModifiedBy>adlibuser</lastModifiedBy>
  <lastPrinted>2017-06-06T08:41:00Z</lastPrinted>
  <dcterms:modified xsi:type="dcterms:W3CDTF">2021-05-12T13:22:00Z</dcterms:modified>
  <revision>2</revision>
</coreProperties>
</file>