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lentele"/>
        <w:tag w:val="part_c10a4394ae9b4bec88d27988f035e97c"/>
        <w:lock w:val="sdtLocked"/>
        <w:richText/>
      </w:sdtPr>
      <w:sdtContent>
        <w:tbl>
          <w:tblPr>
            <w:tblW w:w="0" w:type="auto"/>
            <w:tblInd w:w="85" w:type="dxa"/>
            <w:tblLayout w:type="fixed"/>
            <w:tblCellMar>
              <w:top w:w="55" w:type="dxa"/>
              <w:left w:w="55" w:type="dxa"/>
              <w:bottom w:w="55" w:type="dxa"/>
              <w:right w:w="55" w:type="dxa"/>
            </w:tblCellMar>
            <w:tblLook w:val="0000" w:firstRow="0" w:lastRow="0" w:firstColumn="0" w:lastColumn="0" w:noHBand="0" w:noVBand="0"/>
          </w:tblPr>
          <w:tblGrid>
            <w:gridCol w:w="5073"/>
            <w:gridCol w:w="284"/>
            <w:gridCol w:w="1559"/>
            <w:gridCol w:w="614"/>
            <w:gridCol w:w="2153"/>
          </w:tblGrid>
          <w:tr>
            <w:tc>
              <w:tcPr>
                <w:tcW w:w="9683" w:type="dxa"/>
                <w:gridSpan w:val="5"/>
                <w:tcBorders>
                  <w:bottom w:val="single" w:sz="4" w:space="0" w:color="000000"/>
                </w:tcBorders>
              </w:tcPr>
              <w:p>
                <w:pPr>
                  <w:widowControl w:val="0"/>
                  <w:suppressLineNumbers/>
                  <w:suppressAutoHyphens/>
                  <w:snapToGrid w:val="0"/>
                  <w:jc w:val="center"/>
                  <w:rPr>
                    <w:rFonts w:eastAsia="Andale Sans UI" w:cs="Tahoma"/>
                    <w:b/>
                    <w:bCs/>
                    <w:spacing w:val="20"/>
                    <w:sz w:val="28"/>
                    <w:szCs w:val="28"/>
                    <w:lang w:bidi="en-US"/>
                  </w:rPr>
                </w:pPr>
                <w:r>
                  <w:rPr>
                    <w:rFonts w:eastAsia="Andale Sans UI" w:cs="Tahoma"/>
                    <w:b/>
                    <w:bCs/>
                    <w:spacing w:val="20"/>
                    <w:sz w:val="26"/>
                    <w:szCs w:val="26"/>
                    <w:lang w:val="en-US"/>
                  </w:rPr>
                  <w:drawing>
                    <wp:inline distT="0" distB="0" distL="0" distR="0" wp14:anchorId="5E628CBC" wp14:editId="05BDEE47">
                      <wp:extent cx="523875" cy="619125"/>
                      <wp:effectExtent l="1905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523875" cy="619125"/>
                              </a:xfrm>
                              <a:prstGeom prst="rect">
                                <a:avLst/>
                              </a:prstGeom>
                              <a:solidFill>
                                <a:srgbClr val="FFFFFF">
                                  <a:alpha val="0"/>
                                </a:srgbClr>
                              </a:solidFill>
                              <a:ln w="9525">
                                <a:noFill/>
                                <a:miter lim="800000"/>
                                <a:headEnd/>
                                <a:tailEnd/>
                              </a:ln>
                            </pic:spPr>
                          </pic:pic>
                        </a:graphicData>
                      </a:graphic>
                    </wp:inline>
                  </w:drawing>
                </w:r>
              </w:p>
              <w:p>
                <w:pPr>
                  <w:rPr>
                    <w:sz w:val="10"/>
                    <w:szCs w:val="10"/>
                  </w:rPr>
                </w:pPr>
              </w:p>
              <w:p>
                <w:pPr>
                  <w:widowControl w:val="0"/>
                  <w:suppressLineNumbers/>
                  <w:suppressAutoHyphens/>
                  <w:jc w:val="center"/>
                  <w:rPr>
                    <w:rFonts w:eastAsia="Andale Sans UI" w:cs="Tahoma"/>
                    <w:b/>
                    <w:bCs/>
                    <w:spacing w:val="20"/>
                    <w:sz w:val="28"/>
                    <w:szCs w:val="28"/>
                    <w:lang w:bidi="en-US"/>
                  </w:rPr>
                </w:pPr>
                <w:r>
                  <w:rPr>
                    <w:rFonts w:eastAsia="Andale Sans UI" w:cs="Tahoma"/>
                    <w:b/>
                    <w:bCs/>
                    <w:spacing w:val="20"/>
                    <w:sz w:val="28"/>
                    <w:szCs w:val="28"/>
                    <w:lang w:bidi="en-US"/>
                  </w:rPr>
                  <w:t>LIETUVOS RESPUBLIKOS APLINKOS MINISTERIJA</w:t>
                </w:r>
              </w:p>
              <w:p>
                <w:pPr>
                  <w:rPr>
                    <w:sz w:val="10"/>
                    <w:szCs w:val="10"/>
                  </w:rPr>
                </w:pPr>
              </w:p>
              <w:p>
                <w:pPr>
                  <w:widowControl w:val="0"/>
                  <w:suppressLineNumbers/>
                  <w:suppressAutoHyphen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Biudžetinė įstaiga, A. Jakšto g. 4, LT-01105 Vilnius,</w:t>
                </w:r>
              </w:p>
              <w:p>
                <w:pPr>
                  <w:widowControl w:val="0"/>
                  <w:suppressLineNumbers/>
                  <w:suppressAutoHyphen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tel. (8~5) 266 3661, faks. (8~5) 266 3663, el. p. info@am.lt, http://www.am.lt.</w:t>
                </w:r>
              </w:p>
              <w:p>
                <w:pPr>
                  <w:widowControl w:val="0"/>
                  <w:suppressLineNumbers/>
                  <w:suppressAutoHyphen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Duomenys kaupiami ir saugomi Juridinių asmenų registre, kodas 188602370</w:t>
                </w:r>
              </w:p>
            </w:tc>
          </w:tr>
          <w:tr>
            <w:tc>
              <w:tcPr>
                <w:tcW w:w="9683" w:type="dxa"/>
                <w:gridSpan w:val="5"/>
                <w:tcMar>
                  <w:top w:w="0" w:type="dxa"/>
                  <w:left w:w="0" w:type="dxa"/>
                  <w:bottom w:w="0" w:type="dxa"/>
                  <w:right w:w="0" w:type="dxa"/>
                </w:tcMar>
              </w:tcPr>
              <w:p>
                <w:pPr>
                  <w:widowControl w:val="0"/>
                  <w:suppressLineNumbers/>
                  <w:suppressAutoHyphens/>
                  <w:snapToGrid w:val="0"/>
                  <w:rPr>
                    <w:rFonts w:eastAsia="Andale Sans UI" w:cs="Tahoma"/>
                    <w:szCs w:val="24"/>
                    <w:lang w:bidi="en-US"/>
                  </w:rPr>
                </w:pPr>
              </w:p>
            </w:tc>
          </w:tr>
          <w:tr>
            <w:trPr>
              <w:cantSplit/>
              <w:trHeight w:hRule="exact" w:val="340"/>
            </w:trPr>
            <w:tc>
              <w:tcPr>
                <w:tcW w:w="5073" w:type="dxa"/>
                <w:vMerge w:val="restart"/>
                <w:tcMar>
                  <w:top w:w="0" w:type="dxa"/>
                  <w:left w:w="0" w:type="dxa"/>
                  <w:bottom w:w="0" w:type="dxa"/>
                  <w:right w:w="0" w:type="dxa"/>
                </w:tcMar>
              </w:tcPr>
              <w:p>
                <w:pPr>
                  <w:widowControl w:val="0"/>
                  <w:suppressLineNumbers/>
                  <w:suppressAutoHyphens/>
                  <w:rPr>
                    <w:rFonts w:eastAsia="Andale Sans UI"/>
                    <w:szCs w:val="24"/>
                    <w:lang w:bidi="en-US"/>
                  </w:rPr>
                </w:pPr>
                <w:r>
                  <w:rPr>
                    <w:rFonts w:eastAsia="Andale Sans UI" w:cs="Tahoma"/>
                    <w:szCs w:val="24"/>
                    <w:lang w:bidi="en-US"/>
                  </w:rPr>
                  <w:t>Gavėjams pagal sąrašą</w:t>
                </w:r>
              </w:p>
            </w:tc>
            <w:tc>
              <w:tcPr>
                <w:tcW w:w="284" w:type="dxa"/>
                <w:tcMar>
                  <w:top w:w="0" w:type="dxa"/>
                  <w:left w:w="0" w:type="dxa"/>
                  <w:bottom w:w="0" w:type="dxa"/>
                  <w:right w:w="0" w:type="dxa"/>
                </w:tcMar>
              </w:tcPr>
              <w:p>
                <w:pPr>
                  <w:widowControl w:val="0"/>
                  <w:suppressAutoHyphens/>
                  <w:snapToGrid w:val="0"/>
                  <w:ind w:right="67"/>
                  <w:jc w:val="right"/>
                  <w:rPr>
                    <w:rFonts w:eastAsia="Andale Sans UI" w:cs="Tahoma"/>
                    <w:spacing w:val="10"/>
                    <w:szCs w:val="24"/>
                    <w:lang w:bidi="en-US"/>
                  </w:rPr>
                </w:pPr>
              </w:p>
            </w:tc>
            <w:tc>
              <w:tcPr>
                <w:tcW w:w="1559" w:type="dxa"/>
                <w:tcMar>
                  <w:top w:w="0" w:type="dxa"/>
                  <w:left w:w="0" w:type="dxa"/>
                  <w:bottom w:w="0" w:type="dxa"/>
                  <w:right w:w="0" w:type="dxa"/>
                </w:tcMar>
              </w:tcPr>
              <w:p>
                <w:pPr>
                  <w:widowControl w:val="0"/>
                  <w:suppressLineNumbers/>
                  <w:suppressAutoHyphens/>
                  <w:snapToGrid w:val="0"/>
                  <w:ind w:right="67"/>
                  <w:rPr>
                    <w:rFonts w:eastAsia="Andale Sans UI" w:cs="Tahoma"/>
                    <w:szCs w:val="24"/>
                    <w:lang w:bidi="en-US"/>
                  </w:rPr>
                </w:pPr>
                <w:r>
                  <w:rPr>
                    <w:rFonts w:eastAsia="Andale Sans UI" w:cs="Tahoma"/>
                    <w:szCs w:val="24"/>
                    <w:lang w:bidi="en-US"/>
                  </w:rPr>
                  <w:t>2021-</w:t>
                </w:r>
              </w:p>
            </w:tc>
            <w:tc>
              <w:tcPr>
                <w:tcW w:w="614" w:type="dxa"/>
              </w:tcPr>
              <w:p>
                <w:pPr>
                  <w:widowControl w:val="0"/>
                  <w:suppressAutoHyphens/>
                  <w:snapToGrid w:val="0"/>
                  <w:ind w:right="67"/>
                  <w:jc w:val="right"/>
                  <w:rPr>
                    <w:rFonts w:eastAsia="Andale Sans UI" w:cs="Tahoma"/>
                    <w:spacing w:val="10"/>
                    <w:szCs w:val="24"/>
                    <w:lang w:bidi="en-US"/>
                  </w:rPr>
                </w:pPr>
                <w:r>
                  <w:rPr>
                    <w:rFonts w:eastAsia="Andale Sans UI" w:cs="Tahoma"/>
                    <w:spacing w:val="10"/>
                    <w:szCs w:val="24"/>
                    <w:lang w:bidi="en-US"/>
                  </w:rPr>
                  <w:t>Nr.</w:t>
                </w:r>
              </w:p>
            </w:tc>
            <w:tc>
              <w:tcPr>
                <w:tcW w:w="2153" w:type="dxa"/>
              </w:tcPr>
              <w:p>
                <w:pPr>
                  <w:widowControl w:val="0"/>
                  <w:suppressLineNumbers/>
                  <w:suppressAutoHyphens/>
                  <w:snapToGrid w:val="0"/>
                  <w:ind w:right="67"/>
                  <w:rPr>
                    <w:rFonts w:eastAsia="Andale Sans UI" w:cs="Tahoma"/>
                    <w:szCs w:val="24"/>
                    <w:lang w:bidi="en-US"/>
                  </w:rPr>
                </w:pPr>
                <w:r>
                  <w:rPr>
                    <w:rFonts w:eastAsia="Andale Sans UI" w:cs="Tahoma"/>
                    <w:szCs w:val="24"/>
                    <w:lang w:bidi="en-US"/>
                  </w:rPr>
                  <w:t>(14)-D8(E)-</w:t>
                </w:r>
              </w:p>
            </w:tc>
          </w:tr>
          <w:tr>
            <w:trPr>
              <w:cantSplit/>
              <w:trHeight w:hRule="exact" w:val="518"/>
            </w:trPr>
            <w:tc>
              <w:tcPr>
                <w:tcW w:w="5073" w:type="dxa"/>
                <w:vMerge/>
                <w:tcMar>
                  <w:top w:w="0" w:type="dxa"/>
                  <w:left w:w="0" w:type="dxa"/>
                  <w:bottom w:w="0" w:type="dxa"/>
                  <w:right w:w="0" w:type="dxa"/>
                </w:tcMar>
              </w:tcPr>
              <w:p/>
            </w:tc>
            <w:tc>
              <w:tcPr>
                <w:tcW w:w="284" w:type="dxa"/>
                <w:tcMar>
                  <w:top w:w="0" w:type="dxa"/>
                  <w:left w:w="0" w:type="dxa"/>
                  <w:bottom w:w="0" w:type="dxa"/>
                  <w:right w:w="0" w:type="dxa"/>
                </w:tcMar>
              </w:tcPr>
              <w:p>
                <w:pPr>
                  <w:widowControl w:val="0"/>
                  <w:tabs>
                    <w:tab w:val="left" w:pos="2869"/>
                  </w:tabs>
                  <w:suppressAutoHyphens/>
                  <w:snapToGrid w:val="0"/>
                  <w:ind w:right="67"/>
                  <w:jc w:val="right"/>
                  <w:rPr>
                    <w:rFonts w:eastAsia="Andale Sans UI" w:cs="Tahoma"/>
                    <w:spacing w:val="10"/>
                    <w:szCs w:val="24"/>
                    <w:lang w:bidi="en-US"/>
                  </w:rPr>
                </w:pPr>
                <w:r>
                  <w:rPr>
                    <w:rFonts w:eastAsia="Andale Sans UI" w:cs="Tahoma"/>
                    <w:spacing w:val="10"/>
                    <w:szCs w:val="24"/>
                    <w:lang w:bidi="en-US"/>
                  </w:rPr>
                  <w:t>Į</w:t>
                </w:r>
              </w:p>
            </w:tc>
            <w:tc>
              <w:tcPr>
                <w:tcW w:w="1559" w:type="dxa"/>
                <w:tcMar>
                  <w:top w:w="0" w:type="dxa"/>
                  <w:left w:w="0" w:type="dxa"/>
                  <w:bottom w:w="0" w:type="dxa"/>
                  <w:right w:w="0" w:type="dxa"/>
                </w:tcMar>
              </w:tcPr>
              <w:p>
                <w:pPr>
                  <w:widowControl w:val="0"/>
                  <w:suppressLineNumbers/>
                  <w:suppressAutoHyphens/>
                  <w:snapToGrid w:val="0"/>
                  <w:ind w:right="67"/>
                  <w:rPr>
                    <w:rFonts w:eastAsia="Andale Sans UI" w:cs="Tahoma"/>
                    <w:szCs w:val="24"/>
                    <w:lang w:bidi="en-US"/>
                  </w:rPr>
                </w:pPr>
              </w:p>
            </w:tc>
            <w:tc>
              <w:tcPr>
                <w:tcW w:w="614" w:type="dxa"/>
              </w:tcPr>
              <w:p>
                <w:pPr>
                  <w:widowControl w:val="0"/>
                  <w:tabs>
                    <w:tab w:val="left" w:pos="2869"/>
                  </w:tabs>
                  <w:suppressAutoHyphens/>
                  <w:snapToGrid w:val="0"/>
                  <w:ind w:right="67"/>
                  <w:jc w:val="right"/>
                  <w:rPr>
                    <w:rFonts w:eastAsia="Andale Sans UI" w:cs="Tahoma"/>
                    <w:spacing w:val="10"/>
                    <w:szCs w:val="24"/>
                    <w:lang w:bidi="en-US"/>
                  </w:rPr>
                </w:pPr>
                <w:r>
                  <w:rPr>
                    <w:rFonts w:eastAsia="Andale Sans UI" w:cs="Tahoma"/>
                    <w:spacing w:val="10"/>
                    <w:szCs w:val="24"/>
                    <w:lang w:bidi="en-US"/>
                  </w:rPr>
                  <w:t>Nr.</w:t>
                </w:r>
              </w:p>
            </w:tc>
            <w:tc>
              <w:tcPr>
                <w:tcW w:w="2153" w:type="dxa"/>
              </w:tcPr>
              <w:p>
                <w:pPr>
                  <w:widowControl w:val="0"/>
                  <w:suppressLineNumbers/>
                  <w:suppressAutoHyphens/>
                  <w:snapToGrid w:val="0"/>
                  <w:ind w:right="67"/>
                  <w:rPr>
                    <w:rFonts w:eastAsia="Andale Sans UI" w:cs="Tahoma"/>
                    <w:szCs w:val="24"/>
                    <w:lang w:bidi="en-US"/>
                  </w:rPr>
                </w:pPr>
              </w:p>
            </w:tc>
          </w:tr>
          <w:tr>
            <w:trPr>
              <w:trHeight w:val="886"/>
            </w:trPr>
            <w:tc>
              <w:tcPr>
                <w:tcW w:w="9683" w:type="dxa"/>
                <w:gridSpan w:val="5"/>
                <w:tcMar>
                  <w:top w:w="0" w:type="dxa"/>
                  <w:left w:w="0" w:type="dxa"/>
                  <w:bottom w:w="0" w:type="dxa"/>
                  <w:right w:w="0" w:type="dxa"/>
                </w:tcMar>
              </w:tcPr>
              <w:p>
                <w:pPr>
                  <w:widowControl w:val="0"/>
                  <w:suppressAutoHyphens/>
                  <w:jc w:val="both"/>
                  <w:rPr>
                    <w:rFonts w:eastAsia="Andale Sans UI"/>
                    <w:b/>
                    <w:bCs/>
                    <w:szCs w:val="24"/>
                    <w:lang w:bidi="en-US"/>
                  </w:rPr>
                </w:pPr>
              </w:p>
              <w:p>
                <w:pPr>
                  <w:widowControl w:val="0"/>
                  <w:suppressAutoHyphens/>
                  <w:jc w:val="both"/>
                  <w:rPr>
                    <w:rFonts w:eastAsia="Andale Sans UI" w:cs="Tahoma"/>
                    <w:b/>
                    <w:bCs/>
                    <w:szCs w:val="24"/>
                    <w:lang w:bidi="en-US"/>
                  </w:rPr>
                </w:pPr>
                <w:r>
                  <w:rPr>
                    <w:rFonts w:eastAsia="Andale Sans UI"/>
                    <w:b/>
                    <w:bCs/>
                    <w:szCs w:val="24"/>
                    <w:lang w:bidi="en-US"/>
                  </w:rPr>
                  <w:t xml:space="preserve">DĖL </w:t>
                </w:r>
                <w:r>
                  <w:rPr>
                    <w:rFonts w:eastAsia="Andale Sans UI" w:cs="Tahoma"/>
                    <w:b/>
                    <w:color w:val="000000"/>
                    <w:szCs w:val="24"/>
                    <w:lang w:bidi="en-US"/>
                  </w:rPr>
                  <w:t>ŽMONIŲ PALAIKŲ LAIDOJIMO ĮSTATYMO PAKEITIMO ĮSTATYMO PROJEKTO</w:t>
                </w:r>
              </w:p>
            </w:tc>
          </w:tr>
        </w:tbl>
        <w:p>
          <w:pPr>
            <w:widowControl w:val="0"/>
            <w:suppressAutoHyphens/>
            <w:spacing w:line="276" w:lineRule="auto"/>
            <w:ind w:firstLine="567"/>
            <w:jc w:val="both"/>
            <w:rPr>
              <w:rFonts w:eastAsia="Andale Sans UI" w:cs="Tahoma"/>
              <w:szCs w:val="24"/>
              <w:highlight w:val="yellow"/>
              <w:lang w:bidi="en-US"/>
            </w:rPr>
          </w:pPr>
        </w:p>
      </w:sdtContent>
    </w:sdt>
    <w:sdt>
      <w:sdtPr>
        <w:alias w:val="pastraipa"/>
        <w:tag w:val="part_d8f364f521b24a438725334bd9bb6836"/>
        <w:lock w:val="sdtLocked"/>
        <w:richText/>
      </w:sdtPr>
      <w:sdtContent>
        <w:p>
          <w:pPr>
            <w:widowControl w:val="0"/>
            <w:suppressAutoHyphens/>
            <w:ind w:firstLine="567"/>
            <w:jc w:val="both"/>
            <w:rPr>
              <w:rFonts w:eastAsia="Andale Sans UI" w:cs="Tahoma"/>
              <w:color w:val="000000"/>
              <w:szCs w:val="24"/>
              <w:lang w:bidi="en-US"/>
            </w:rPr>
          </w:pPr>
          <w:r>
            <w:rPr>
              <w:rFonts w:eastAsia="Andale Sans UI" w:cs="Tahoma"/>
              <w:color w:val="000000"/>
              <w:szCs w:val="24"/>
              <w:lang w:bidi="en-US"/>
            </w:rPr>
            <w:t xml:space="preserve">Aplinkos ministerija pakartotinai teikia derinti Lietuvos Respublikos žmonių palaikų laidojimo įstatymo Nr. X-1404 </w:t>
          </w:r>
          <w:r>
            <w:rPr>
              <w:rFonts w:eastAsia="Andale Sans UI" w:cs="Tahoma"/>
              <w:szCs w:val="24"/>
              <w:lang w:bidi="en-US"/>
            </w:rPr>
            <w:t>11, 11</w:t>
          </w:r>
          <w:r>
            <w:rPr>
              <w:rFonts w:eastAsia="Andale Sans UI" w:cs="Tahoma"/>
              <w:szCs w:val="24"/>
              <w:vertAlign w:val="superscript"/>
              <w:lang w:bidi="en-US"/>
            </w:rPr>
            <w:t>1</w:t>
          </w:r>
          <w:r>
            <w:rPr>
              <w:rFonts w:eastAsia="Andale Sans UI" w:cs="Tahoma"/>
              <w:szCs w:val="24"/>
              <w:lang w:bidi="en-US"/>
            </w:rPr>
            <w:t>, 13, 25, 27, 33</w:t>
          </w:r>
          <w:r>
            <w:rPr>
              <w:rFonts w:eastAsia="Andale Sans UI" w:cs="Tahoma"/>
              <w:b/>
              <w:szCs w:val="24"/>
              <w:lang w:bidi="en-US"/>
            </w:rPr>
            <w:t xml:space="preserve"> </w:t>
          </w:r>
          <w:r>
            <w:rPr>
              <w:rFonts w:eastAsia="Andale Sans UI" w:cs="Tahoma"/>
              <w:szCs w:val="24"/>
              <w:lang w:bidi="en-US"/>
            </w:rPr>
            <w:t xml:space="preserve">straipsnių pakeitimo ir įstatymo papildymo </w:t>
          </w:r>
          <w:r>
            <w:rPr>
              <w:rFonts w:eastAsia="Andale Sans UI" w:cs="Tahoma"/>
              <w:bCs/>
              <w:szCs w:val="24"/>
              <w:lang w:bidi="en-US"/>
            </w:rPr>
            <w:t>11</w:t>
          </w:r>
          <w:r>
            <w:rPr>
              <w:rFonts w:eastAsia="Andale Sans UI" w:cs="Tahoma"/>
              <w:bCs/>
              <w:szCs w:val="24"/>
              <w:vertAlign w:val="superscript"/>
              <w:lang w:bidi="en-US"/>
            </w:rPr>
            <w:t xml:space="preserve">2 </w:t>
          </w:r>
          <w:r>
            <w:rPr>
              <w:rFonts w:eastAsia="Andale Sans UI" w:cs="Tahoma"/>
              <w:szCs w:val="24"/>
              <w:lang w:bidi="en-US"/>
            </w:rPr>
            <w:t>straipsniu</w:t>
          </w:r>
          <w:r>
            <w:rPr>
              <w:rFonts w:eastAsia="Andale Sans UI" w:cs="Tahoma"/>
              <w:color w:val="000000"/>
              <w:szCs w:val="24"/>
              <w:lang w:bidi="en-US"/>
            </w:rPr>
            <w:t xml:space="preserve"> įstatymo projektą (toliau – Įstatymo projektas).</w:t>
          </w:r>
        </w:p>
      </w:sdtContent>
    </w:sdt>
    <w:sdt>
      <w:sdtPr>
        <w:alias w:val="pastraipa"/>
        <w:tag w:val="part_10a1cac6b20940b4b14a8a4a0e761fc7"/>
        <w:lock w:val="sdtLocked"/>
        <w:richText/>
      </w:sdtPr>
      <w:sdtContent>
        <w:p>
          <w:pPr>
            <w:widowControl w:val="0"/>
            <w:suppressAutoHyphens/>
            <w:ind w:firstLine="720"/>
            <w:jc w:val="both"/>
            <w:rPr>
              <w:rFonts w:eastAsia="Andale Sans UI" w:cs="Tahoma"/>
              <w:color w:val="000000"/>
              <w:szCs w:val="24"/>
              <w:lang w:bidi="en-US"/>
            </w:rPr>
          </w:pPr>
          <w:r>
            <w:rPr>
              <w:rFonts w:eastAsia="Andale Sans UI" w:cs="Tahoma"/>
              <w:color w:val="000000"/>
              <w:szCs w:val="24"/>
              <w:lang w:bidi="en-US"/>
            </w:rPr>
            <w:t>Įstatymo projekto tikslas – patikslinti kremavimo veiklos licencijavimo nuostatas atsižvelgiant į teisės aktų reikalavimus ir pašalinti kai kurias reglamentavimo spragas.</w:t>
          </w:r>
        </w:p>
      </w:sdtContent>
    </w:sdt>
    <w:sdt>
      <w:sdtPr>
        <w:alias w:val="pastraipa"/>
        <w:tag w:val="part_48284130dc164e858be4cbc7388e10fc"/>
        <w:lock w:val="sdtLocked"/>
        <w:richText/>
      </w:sdtPr>
      <w:sdtContent>
        <w:p>
          <w:pPr>
            <w:widowControl w:val="0"/>
            <w:suppressAutoHyphens/>
            <w:ind w:firstLine="720"/>
            <w:jc w:val="both"/>
            <w:rPr>
              <w:szCs w:val="24"/>
              <w:lang w:eastAsia="lt-LT"/>
            </w:rPr>
          </w:pPr>
          <w:r>
            <w:rPr>
              <w:rFonts w:eastAsia="Andale Sans UI" w:cs="Tahoma"/>
              <w:color w:val="000000"/>
              <w:szCs w:val="24"/>
              <w:lang w:bidi="en-US"/>
            </w:rPr>
            <w:t>Įstatymo projektas</w:t>
          </w:r>
          <w:r>
            <w:rPr>
              <w:szCs w:val="24"/>
              <w:lang w:eastAsia="lt-LT"/>
            </w:rPr>
            <w:t xml:space="preserve"> neprieštarauja Lietuvos Respublikos Vyriausybės programai, neperkelia ir neįgyvendina Europos Sąjungos teisės aktų. </w:t>
          </w:r>
          <w:r>
            <w:rPr>
              <w:rFonts w:eastAsia="Andale Sans UI" w:cs="Tahoma"/>
              <w:color w:val="000000"/>
              <w:szCs w:val="24"/>
              <w:lang w:bidi="en-US"/>
            </w:rPr>
            <w:t>Įstatymo projektas</w:t>
          </w:r>
          <w:r>
            <w:rPr>
              <w:szCs w:val="24"/>
              <w:lang w:eastAsia="lt-LT"/>
            </w:rPr>
            <w:t xml:space="preserve"> nenotifikuotinas Europos Komisijai.</w:t>
          </w:r>
        </w:p>
      </w:sdtContent>
    </w:sdt>
    <w:sdt>
      <w:sdtPr>
        <w:alias w:val="pastraipa"/>
        <w:tag w:val="part_9afa2e57bc3e455386f8c398cb89b004"/>
        <w:lock w:val="sdtLocked"/>
        <w:richText/>
      </w:sdtPr>
      <w:sdtContent>
        <w:p>
          <w:pPr>
            <w:widowControl w:val="0"/>
            <w:suppressAutoHyphens/>
            <w:ind w:firstLine="567"/>
            <w:jc w:val="both"/>
            <w:rPr>
              <w:rFonts w:eastAsia="Andale Sans UI" w:cs="Tahoma"/>
              <w:szCs w:val="24"/>
              <w:lang w:bidi="en-US"/>
            </w:rPr>
          </w:pPr>
          <w:r>
            <w:rPr>
              <w:rFonts w:eastAsia="Andale Sans UI" w:cs="Tahoma"/>
              <w:szCs w:val="24"/>
              <w:lang w:bidi="en-US"/>
            </w:rPr>
            <w:t>Įstatymo projekto poveikio vertinimas pateikiamas numatomo teisinio reguliavimo poveikio vertinimo pažymoje.</w:t>
          </w:r>
        </w:p>
      </w:sdtContent>
    </w:sdt>
    <w:sdt>
      <w:sdtPr>
        <w:alias w:val="pastraipa"/>
        <w:tag w:val="part_ef9d8a89427044eca3988683cce72d62"/>
        <w:lock w:val="sdtLocked"/>
        <w:richText/>
      </w:sdtPr>
      <w:sdtContent>
        <w:p>
          <w:pPr>
            <w:widowControl w:val="0"/>
            <w:suppressAutoHyphens/>
            <w:ind w:firstLine="567"/>
            <w:jc w:val="both"/>
            <w:rPr>
              <w:rFonts w:eastAsia="Andale Sans UI" w:cs="Tahoma"/>
              <w:szCs w:val="24"/>
              <w:lang w:bidi="en-US"/>
            </w:rPr>
          </w:pPr>
          <w:r>
            <w:rPr>
              <w:rFonts w:eastAsia="Andale Sans UI" w:cs="Tahoma"/>
              <w:szCs w:val="24"/>
              <w:lang w:bidi="en-US"/>
            </w:rPr>
            <w:t>Įstatymo projektas derintas su visuomene Ekonomikos ir inovacijų ministerija, Finansų ministerija, Kultūros ministerija, Sveikatos apsaugos ministerija, Teisingumo ministerija, Vidaus reikalų ministerija, Aplinkos apsaugos agentūra, Nacionaliniu visuomenės sveikatos centrui</w:t>
          </w:r>
          <w:r>
            <w:rPr>
              <w:rFonts w:eastAsia="Andale Sans UI"/>
              <w:color w:val="1E1B1B"/>
              <w:szCs w:val="24"/>
              <w:shd w:val="clear" w:color="auto" w:fill="FFFFFF"/>
              <w:lang w:bidi="en-US"/>
            </w:rPr>
            <w:t xml:space="preserve"> prie Sveikatos apsaugos ministerijos, Valstybine akreditavimo sveikatos priežiūros veiklai tarnyba prie Sveikatos apsaugos ministerijos, </w:t>
          </w:r>
          <w:r>
            <w:rPr>
              <w:rFonts w:eastAsia="Andale Sans UI" w:cs="Tahoma"/>
              <w:szCs w:val="24"/>
              <w:lang w:bidi="en-US"/>
            </w:rPr>
            <w:t xml:space="preserve">Generaline prokuratūra, Specialiųjų tyrimų tarnyba, Lietuvos savivaldybių asociacija, Lietuvos pramonininkų konfederacija. Pastabų neturėjo Sveikatos apsaugos ministerija, Aplinkos apsaugos agentūra, Generalinė prokuratūra. Pastabų nepateikė Nacionalinis visuomenės sveikatos centras. Įstatymo projektas patikslintas pagal Ekonomikos ir inovacijų ministerijos, Finansų ministerijos, Kultūros ministerijos, Teisingumo ministerijos, Vidaus reikalų ministerijos, Lietuvos savivaldybių asociacijos, Specialiųjų tyrimų tarnybos, </w:t>
          </w:r>
          <w:r>
            <w:rPr>
              <w:rFonts w:eastAsia="Andale Sans UI"/>
              <w:color w:val="1E1B1B"/>
              <w:szCs w:val="24"/>
              <w:shd w:val="clear" w:color="auto" w:fill="FFFFFF"/>
              <w:lang w:bidi="en-US"/>
            </w:rPr>
            <w:t>Valstybinės akreditavimo sveikatos priežiūros veiklai tarnybos</w:t>
          </w:r>
          <w:r>
            <w:rPr>
              <w:rFonts w:eastAsia="Andale Sans UI" w:cs="Tahoma"/>
              <w:szCs w:val="24"/>
              <w:lang w:bidi="en-US"/>
            </w:rPr>
            <w:t xml:space="preserve"> pastabas. Pastabos, į kurias neatsižvelgta, įvertintos derinimo pažymoje.</w:t>
          </w:r>
        </w:p>
      </w:sdtContent>
    </w:sdt>
    <w:sdt>
      <w:sdtPr>
        <w:alias w:val="pastraipa"/>
        <w:tag w:val="part_06d608a043d94ca388f5563530e2e7d0"/>
        <w:lock w:val="sdtLocked"/>
        <w:richText/>
      </w:sdtPr>
      <w:sdtContent>
        <w:p>
          <w:pPr>
            <w:widowControl w:val="0"/>
            <w:suppressAutoHyphens/>
            <w:ind w:firstLine="567"/>
            <w:jc w:val="both"/>
            <w:rPr>
              <w:rFonts w:eastAsia="Andale Sans UI" w:cs="Tahoma"/>
              <w:szCs w:val="24"/>
              <w:lang w:bidi="en-US"/>
            </w:rPr>
          </w:pPr>
          <w:r>
            <w:rPr>
              <w:rFonts w:eastAsia="Andale Sans UI" w:cs="Tahoma"/>
              <w:szCs w:val="24"/>
              <w:lang w:bidi="en-US"/>
            </w:rPr>
            <w:t>Su visuomene konsultuojamasi Įstatymo projektą skelbiant Lietuvos Respublikos Seimo teisės aktų informacinės sistemos (TAIS) Teisės aktų projektų posistemėje.</w:t>
          </w:r>
        </w:p>
      </w:sdtContent>
    </w:sdt>
    <w:sdt>
      <w:sdtPr>
        <w:alias w:val="pastraipa"/>
        <w:tag w:val="part_aa67e0aae3954f50badcb719e84750af"/>
        <w:lock w:val="sdtLocked"/>
        <w:richText/>
      </w:sdtPr>
      <w:sdtContent>
        <w:p>
          <w:pPr>
            <w:widowControl w:val="0"/>
            <w:suppressAutoHyphens/>
            <w:ind w:firstLine="567"/>
            <w:jc w:val="both"/>
            <w:rPr>
              <w:rFonts w:eastAsia="Andale Sans UI" w:cs="Tahoma"/>
              <w:szCs w:val="24"/>
              <w:lang w:bidi="en-US"/>
            </w:rPr>
          </w:pPr>
          <w:r>
            <w:rPr>
              <w:rFonts w:eastAsia="Andale Sans UI" w:cs="Tahoma"/>
              <w:szCs w:val="24"/>
              <w:lang w:bidi="en-US"/>
            </w:rPr>
            <w:t>Įstatymo projektą parengė A</w:t>
          </w:r>
          <w:r>
            <w:rPr>
              <w:rFonts w:eastAsia="Andale Sans UI" w:cs="Tahoma"/>
              <w:color w:val="000000"/>
              <w:szCs w:val="24"/>
              <w:lang w:bidi="en-US"/>
            </w:rPr>
            <w:t xml:space="preserve">plinkos ministerijos Statybos ir teritorijų planavimo politikos grupės (vadovas Dainius Čergelis, tel. </w:t>
          </w:r>
          <w:r>
            <w:rPr>
              <w:rFonts w:eastAsia="Andale Sans UI" w:cs="Tahoma"/>
              <w:szCs w:val="24"/>
              <w:lang w:bidi="en-US"/>
            </w:rPr>
            <w:t xml:space="preserve">8~616 98137, el. p. </w:t>
          </w:r>
          <w:r>
            <w:rPr>
              <w:rFonts w:eastAsia="Andale Sans UI" w:cs="Tahoma"/>
              <w:color w:val="000080"/>
              <w:szCs w:val="24"/>
              <w:u w:val="single"/>
              <w:lang w:bidi="en-US"/>
            </w:rPr>
            <w:t>dainius.cergelis@am.lt</w:t>
          </w:r>
          <w:r>
            <w:rPr>
              <w:rFonts w:eastAsia="Andale Sans UI" w:cs="Tahoma"/>
              <w:color w:val="000080"/>
              <w:szCs w:val="24"/>
              <w:lang w:bidi="en-US"/>
            </w:rPr>
            <w:t xml:space="preserve">, </w:t>
          </w:r>
          <w:r>
            <w:rPr>
              <w:rFonts w:eastAsia="Andale Sans UI" w:cs="Tahoma"/>
              <w:szCs w:val="24"/>
              <w:lang w:bidi="en-US"/>
            </w:rPr>
            <w:t xml:space="preserve">tiesioginis vadovas vyresnysis patarėjas Ramūnas Šveikauskas, tel. 8~616 05452, el. p. </w:t>
          </w:r>
          <w:r>
            <w:rPr>
              <w:rFonts w:eastAsia="Andale Sans UI" w:cs="Tahoma"/>
              <w:color w:val="000080"/>
              <w:szCs w:val="24"/>
              <w:u w:val="single"/>
              <w:lang w:bidi="en-US"/>
            </w:rPr>
            <w:t>ramunas.sveikauskas@am.lt</w:t>
          </w:r>
          <w:r>
            <w:rPr>
              <w:rFonts w:eastAsia="Andale Sans UI" w:cs="Tahoma"/>
              <w:szCs w:val="24"/>
              <w:lang w:bidi="en-US"/>
            </w:rPr>
            <w:t xml:space="preserve">) vyriausioji specialistė Vaiva Rumbutienė, tel. 8~695 31922, el. p. </w:t>
          </w:r>
          <w:r>
            <w:rPr>
              <w:rFonts w:eastAsia="Andale Sans UI" w:cs="Tahoma"/>
              <w:color w:val="000080"/>
              <w:szCs w:val="24"/>
              <w:u w:val="single"/>
              <w:lang w:bidi="en-US"/>
            </w:rPr>
            <w:t>vaiva.rumbutiene@am.lt</w:t>
          </w:r>
          <w:r>
            <w:rPr>
              <w:rFonts w:eastAsia="Andale Sans UI" w:cs="Tahoma"/>
              <w:szCs w:val="24"/>
              <w:lang w:bidi="en-US"/>
            </w:rPr>
            <w:t>.</w:t>
          </w:r>
        </w:p>
      </w:sdtContent>
    </w:sdt>
    <w:sdt>
      <w:sdtPr>
        <w:alias w:val="pastraipa"/>
        <w:tag w:val="part_1b496c3dccad42bc9d5632aaf448aa7d"/>
        <w:lock w:val="sdtLocked"/>
        <w:richText/>
      </w:sdtPr>
      <w:sdtContent>
        <w:p>
          <w:pPr>
            <w:widowControl w:val="0"/>
            <w:suppressAutoHyphens/>
            <w:ind w:firstLine="567"/>
            <w:jc w:val="both"/>
            <w:rPr>
              <w:rFonts w:eastAsia="Andale Sans UI" w:cs="Tahoma"/>
              <w:szCs w:val="24"/>
              <w:lang w:bidi="en-US"/>
            </w:rPr>
          </w:pPr>
          <w:r>
            <w:rPr>
              <w:rFonts w:eastAsia="Andale Sans UI" w:cs="Tahoma"/>
              <w:szCs w:val="24"/>
              <w:lang w:bidi="en-US"/>
            </w:rPr>
            <w:t>PRIDEDAMA:</w:t>
          </w:r>
        </w:p>
        <w:sdt>
          <w:sdtPr>
            <w:alias w:val="1 p."/>
            <w:tag w:val="part_8f80007fd04142ed95b98dcf28dca8f8"/>
            <w:lock w:val="sdtLocked"/>
            <w:richText/>
          </w:sdtPr>
          <w:sdtContent>
            <w:p>
              <w:pPr>
                <w:widowControl w:val="0"/>
                <w:suppressAutoHyphens/>
                <w:ind w:firstLine="567"/>
                <w:jc w:val="both"/>
                <w:rPr>
                  <w:rFonts w:eastAsia="Andale Sans UI" w:cs="Tahoma"/>
                  <w:color w:val="000000"/>
                  <w:szCs w:val="24"/>
                  <w:lang w:bidi="en-US"/>
                </w:rPr>
              </w:pPr>
              <w:sdt>
                <w:sdtPr>
                  <w:alias w:val="Numeris"/>
                  <w:tag w:val="nr_8f80007fd04142ed95b98dcf28dca8f8"/>
                  <w:lock w:val="sdtLocked"/>
                  <w:richText/>
                </w:sdtPr>
                <w:sdtContent>
                  <w:r>
                    <w:rPr>
                      <w:rFonts w:eastAsia="Andale Sans UI" w:cs="Tahoma"/>
                      <w:szCs w:val="24"/>
                      <w:lang w:bidi="en-US"/>
                    </w:rPr>
                    <w:t>1</w:t>
                  </w:r>
                </w:sdtContent>
              </w:sdt>
              <w:r>
                <w:rPr>
                  <w:rFonts w:eastAsia="Andale Sans UI" w:cs="Tahoma"/>
                  <w:szCs w:val="24"/>
                  <w:lang w:bidi="en-US"/>
                </w:rPr>
                <w:t xml:space="preserve">. </w:t>
              </w:r>
              <w:r>
                <w:rPr>
                  <w:rFonts w:eastAsia="Andale Sans UI" w:cs="Tahoma"/>
                  <w:color w:val="000000"/>
                  <w:szCs w:val="24"/>
                  <w:lang w:bidi="en-US"/>
                </w:rPr>
                <w:t>Įstatymo</w:t>
              </w:r>
              <w:r>
                <w:rPr>
                  <w:rFonts w:eastAsia="Andale Sans UI" w:cs="Tahoma"/>
                  <w:bCs/>
                  <w:szCs w:val="24"/>
                  <w:lang w:bidi="en-US"/>
                </w:rPr>
                <w:t xml:space="preserve"> projektas,</w:t>
              </w:r>
              <w:r>
                <w:rPr>
                  <w:rFonts w:eastAsia="Andale Sans UI" w:cs="Tahoma"/>
                  <w:color w:val="000000"/>
                  <w:szCs w:val="24"/>
                  <w:lang w:bidi="en-US"/>
                </w:rPr>
                <w:t xml:space="preserve"> 5 lapai.</w:t>
              </w:r>
            </w:p>
          </w:sdtContent>
        </w:sdt>
        <w:sdt>
          <w:sdtPr>
            <w:alias w:val="2 p."/>
            <w:tag w:val="part_4dd0c1181bea4705bc2217e4e0d32210"/>
            <w:lock w:val="sdtLocked"/>
            <w:richText/>
          </w:sdtPr>
          <w:sdtContent>
            <w:p>
              <w:pPr>
                <w:widowControl w:val="0"/>
                <w:suppressAutoHyphens/>
                <w:ind w:firstLine="567"/>
                <w:jc w:val="both"/>
                <w:rPr>
                  <w:rFonts w:eastAsia="Andale Sans UI" w:cs="Tahoma"/>
                  <w:color w:val="000000"/>
                  <w:szCs w:val="24"/>
                  <w:lang w:bidi="en-US"/>
                </w:rPr>
              </w:pPr>
              <w:sdt>
                <w:sdtPr>
                  <w:alias w:val="Numeris"/>
                  <w:tag w:val="nr_4dd0c1181bea4705bc2217e4e0d32210"/>
                  <w:lock w:val="sdtLocked"/>
                  <w:richText/>
                </w:sdtPr>
                <w:sdtContent>
                  <w:r>
                    <w:rPr>
                      <w:rFonts w:eastAsia="Andale Sans UI" w:cs="Tahoma"/>
                      <w:color w:val="000000"/>
                      <w:szCs w:val="24"/>
                      <w:lang w:bidi="en-US"/>
                    </w:rPr>
                    <w:t>2</w:t>
                  </w:r>
                </w:sdtContent>
              </w:sdt>
              <w:r>
                <w:rPr>
                  <w:rFonts w:eastAsia="Andale Sans UI" w:cs="Tahoma"/>
                  <w:color w:val="000000"/>
                  <w:szCs w:val="24"/>
                  <w:lang w:bidi="en-US"/>
                </w:rPr>
                <w:t>. Įstatymo</w:t>
              </w:r>
              <w:r>
                <w:rPr>
                  <w:rFonts w:eastAsia="Andale Sans UI" w:cs="Tahoma"/>
                  <w:bCs/>
                  <w:szCs w:val="24"/>
                  <w:lang w:bidi="en-US"/>
                </w:rPr>
                <w:t xml:space="preserve"> </w:t>
              </w:r>
              <w:r>
                <w:rPr>
                  <w:rFonts w:eastAsia="Andale Sans UI" w:cs="Tahoma"/>
                  <w:color w:val="000000"/>
                  <w:szCs w:val="24"/>
                  <w:lang w:bidi="en-US"/>
                </w:rPr>
                <w:t>projekto lyginamasis variantas, 6 lapai.</w:t>
              </w:r>
            </w:p>
          </w:sdtContent>
        </w:sdt>
        <w:sdt>
          <w:sdtPr>
            <w:alias w:val="3 p."/>
            <w:tag w:val="part_bfd5bd72faf9444788a882c7af7851b4"/>
            <w:lock w:val="sdtLocked"/>
            <w:richText/>
          </w:sdtPr>
          <w:sdtContent>
            <w:p>
              <w:pPr>
                <w:widowControl w:val="0"/>
                <w:suppressAutoHyphens/>
                <w:ind w:firstLine="567"/>
                <w:jc w:val="both"/>
                <w:rPr>
                  <w:rFonts w:eastAsia="Andale Sans UI" w:cs="Tahoma"/>
                  <w:color w:val="000000"/>
                  <w:szCs w:val="24"/>
                  <w:lang w:bidi="en-US"/>
                </w:rPr>
              </w:pPr>
              <w:sdt>
                <w:sdtPr>
                  <w:alias w:val="Numeris"/>
                  <w:tag w:val="nr_bfd5bd72faf9444788a882c7af7851b4"/>
                  <w:lock w:val="sdtLocked"/>
                  <w:richText/>
                </w:sdtPr>
                <w:sdtContent>
                  <w:r>
                    <w:rPr>
                      <w:rFonts w:eastAsia="Andale Sans UI" w:cs="Tahoma"/>
                      <w:color w:val="000000"/>
                      <w:szCs w:val="24"/>
                      <w:lang w:bidi="en-US"/>
                    </w:rPr>
                    <w:t>3</w:t>
                  </w:r>
                </w:sdtContent>
              </w:sdt>
              <w:r>
                <w:rPr>
                  <w:rFonts w:eastAsia="Andale Sans UI" w:cs="Tahoma"/>
                  <w:color w:val="000000"/>
                  <w:szCs w:val="24"/>
                  <w:lang w:bidi="en-US"/>
                </w:rPr>
                <w:t>. Įstatymo projekto aiškinamasis raštas, 7 lapai.</w:t>
              </w:r>
            </w:p>
          </w:sdtContent>
        </w:sdt>
        <w:sdt>
          <w:sdtPr>
            <w:alias w:val="4 p."/>
            <w:tag w:val="part_1880aacb8d8c41a0a013c40b3380353e"/>
            <w:lock w:val="sdtLocked"/>
            <w:richText/>
          </w:sdtPr>
          <w:sdtContent>
            <w:p>
              <w:pPr>
                <w:widowControl w:val="0"/>
                <w:suppressAutoHyphens/>
                <w:ind w:firstLine="567"/>
                <w:jc w:val="both"/>
                <w:rPr>
                  <w:rFonts w:eastAsia="Andale Sans UI" w:cs="Tahoma"/>
                  <w:szCs w:val="24"/>
                  <w:lang w:bidi="en-US"/>
                </w:rPr>
              </w:pPr>
              <w:sdt>
                <w:sdtPr>
                  <w:alias w:val="Numeris"/>
                  <w:tag w:val="nr_1880aacb8d8c41a0a013c40b3380353e"/>
                  <w:lock w:val="sdtLocked"/>
                  <w:richText/>
                </w:sdtPr>
                <w:sdtContent>
                  <w:r>
                    <w:rPr>
                      <w:rFonts w:eastAsia="Andale Sans UI" w:cs="Tahoma"/>
                      <w:szCs w:val="24"/>
                      <w:lang w:bidi="en-US"/>
                    </w:rPr>
                    <w:t>4</w:t>
                  </w:r>
                </w:sdtContent>
              </w:sdt>
              <w:r>
                <w:rPr>
                  <w:rFonts w:eastAsia="Andale Sans UI" w:cs="Tahoma"/>
                  <w:szCs w:val="24"/>
                  <w:lang w:bidi="en-US"/>
                </w:rPr>
                <w:t>. Numatomo teisinio reguliavimo poveikio vertinimo pažyma, 1 lapas.</w:t>
              </w:r>
            </w:p>
          </w:sdtContent>
        </w:sdt>
        <w:sdt>
          <w:sdtPr>
            <w:alias w:val="5 p."/>
            <w:tag w:val="part_b6a4a0ff0c5b47508bcc15373590733c"/>
            <w:lock w:val="sdtLocked"/>
            <w:richText/>
          </w:sdtPr>
          <w:sdtContent>
            <w:p>
              <w:pPr>
                <w:widowControl w:val="0"/>
                <w:suppressAutoHyphens/>
                <w:ind w:firstLine="567"/>
                <w:jc w:val="both"/>
                <w:rPr>
                  <w:rFonts w:eastAsia="Andale Sans UI" w:cs="Tahoma"/>
                  <w:szCs w:val="24"/>
                  <w:lang w:bidi="en-US"/>
                </w:rPr>
              </w:pPr>
              <w:sdt>
                <w:sdtPr>
                  <w:alias w:val="Numeris"/>
                  <w:tag w:val="nr_b6a4a0ff0c5b47508bcc15373590733c"/>
                  <w:lock w:val="sdtLocked"/>
                  <w:richText/>
                </w:sdtPr>
                <w:sdtContent>
                  <w:r>
                    <w:rPr>
                      <w:rFonts w:eastAsia="Andale Sans UI" w:cs="Tahoma"/>
                      <w:szCs w:val="24"/>
                      <w:lang w:bidi="en-US"/>
                    </w:rPr>
                    <w:t>5</w:t>
                  </w:r>
                </w:sdtContent>
              </w:sdt>
              <w:r>
                <w:rPr>
                  <w:rFonts w:eastAsia="Andale Sans UI" w:cs="Tahoma"/>
                  <w:szCs w:val="24"/>
                  <w:lang w:bidi="en-US"/>
                </w:rPr>
                <w:t>. Antikorupcinio vertinimo pažyma, 9 lapai.</w:t>
              </w:r>
            </w:p>
          </w:sdtContent>
        </w:sdt>
        <w:sdt>
          <w:sdtPr>
            <w:alias w:val="6 p."/>
            <w:tag w:val="part_26cf2a44f61043d2ba524f95d16371f9"/>
            <w:lock w:val="sdtLocked"/>
            <w:richText/>
          </w:sdtPr>
          <w:sdtContent>
            <w:p>
              <w:pPr>
                <w:widowControl w:val="0"/>
                <w:suppressAutoHyphens/>
                <w:ind w:firstLine="567"/>
                <w:jc w:val="both"/>
                <w:rPr>
                  <w:rFonts w:eastAsia="Andale Sans UI" w:cs="Tahoma"/>
                  <w:color w:val="000000"/>
                  <w:szCs w:val="24"/>
                  <w:lang w:bidi="en-US"/>
                </w:rPr>
              </w:pPr>
              <w:sdt>
                <w:sdtPr>
                  <w:alias w:val="Numeris"/>
                  <w:tag w:val="nr_26cf2a44f61043d2ba524f95d16371f9"/>
                  <w:lock w:val="sdtLocked"/>
                  <w:richText/>
                </w:sdtPr>
                <w:sdtContent>
                  <w:r>
                    <w:rPr>
                      <w:rFonts w:eastAsia="Andale Sans UI" w:cs="Tahoma"/>
                      <w:color w:val="000000"/>
                      <w:szCs w:val="24"/>
                      <w:lang w:bidi="en-US"/>
                    </w:rPr>
                    <w:t>6</w:t>
                  </w:r>
                </w:sdtContent>
              </w:sdt>
              <w:r>
                <w:rPr>
                  <w:rFonts w:eastAsia="Andale Sans UI" w:cs="Tahoma"/>
                  <w:color w:val="000000"/>
                  <w:szCs w:val="24"/>
                  <w:lang w:bidi="en-US"/>
                </w:rPr>
                <w:t>. Derinimo pažyma, 4 lapai.</w:t>
              </w:r>
            </w:p>
          </w:sdtContent>
        </w:sdt>
        <w:sdt>
          <w:sdtPr>
            <w:alias w:val="7 p."/>
            <w:tag w:val="part_984b738b0ea3443facea2b370e72e5d9"/>
            <w:lock w:val="sdtLocked"/>
            <w:richText/>
          </w:sdtPr>
          <w:sdtContent>
            <w:p>
              <w:pPr>
                <w:widowControl w:val="0"/>
                <w:suppressAutoHyphens/>
                <w:ind w:firstLine="567"/>
                <w:jc w:val="both"/>
                <w:rPr>
                  <w:rFonts w:eastAsia="Andale Sans UI" w:cs="Tahoma"/>
                  <w:color w:val="000000"/>
                  <w:szCs w:val="24"/>
                  <w:lang w:bidi="en-US"/>
                </w:rPr>
              </w:pPr>
              <w:sdt>
                <w:sdtPr>
                  <w:alias w:val="Numeris"/>
                  <w:tag w:val="nr_984b738b0ea3443facea2b370e72e5d9"/>
                  <w:lock w:val="sdtLocked"/>
                  <w:richText/>
                </w:sdtPr>
                <w:sdtContent>
                  <w:r>
                    <w:rPr>
                      <w:rFonts w:eastAsia="Andale Sans UI" w:cs="Tahoma"/>
                      <w:color w:val="000000"/>
                      <w:szCs w:val="24"/>
                      <w:lang w:bidi="en-US"/>
                    </w:rPr>
                    <w:t>7</w:t>
                  </w:r>
                </w:sdtContent>
              </w:sdt>
              <w:r>
                <w:rPr>
                  <w:rFonts w:eastAsia="Andale Sans UI" w:cs="Tahoma"/>
                  <w:color w:val="000000"/>
                  <w:szCs w:val="24"/>
                  <w:lang w:bidi="en-US"/>
                </w:rPr>
                <w:t xml:space="preserve">. Lietuvos Respublikos Vyriausybės nutarimas, 1  lapas.</w:t>
              </w:r>
            </w:p>
            <w:p>
              <w:pPr>
                <w:widowControl w:val="0"/>
                <w:suppressAutoHyphens/>
                <w:ind w:left="283"/>
                <w:jc w:val="both"/>
                <w:rPr>
                  <w:rFonts w:eastAsia="Andale Sans UI" w:cs="Tahoma"/>
                  <w:szCs w:val="24"/>
                  <w:lang w:bidi="en-US"/>
                </w:rPr>
              </w:pPr>
            </w:p>
            <w:p>
              <w:pPr>
                <w:widowControl w:val="0"/>
                <w:suppressAutoHyphens/>
                <w:ind w:left="283"/>
                <w:jc w:val="both"/>
                <w:rPr>
                  <w:rFonts w:eastAsia="Andale Sans UI" w:cs="Tahoma"/>
                  <w:szCs w:val="24"/>
                  <w:lang w:bidi="en-US"/>
                </w:rPr>
              </w:pPr>
            </w:p>
            <w:tbl>
              <w:tblPr>
                <w:tblW w:w="9758" w:type="dxa"/>
                <w:tblLayout w:type="fixed"/>
                <w:tblCellMar>
                  <w:left w:w="0" w:type="dxa"/>
                  <w:right w:w="0" w:type="dxa"/>
                </w:tblCellMar>
                <w:tblLook w:val="0000" w:firstRow="0" w:lastRow="0" w:firstColumn="0" w:lastColumn="0" w:noHBand="0" w:noVBand="0"/>
              </w:tblPr>
              <w:tblGrid>
                <w:gridCol w:w="4842"/>
                <w:gridCol w:w="4916"/>
              </w:tblGrid>
              <w:tr>
                <w:trPr>
                  <w:trHeight w:hRule="exact" w:val="485"/>
                </w:trPr>
                <w:tc>
                  <w:tcPr>
                    <w:tcW w:w="4842" w:type="dxa"/>
                    <w:vAlign w:val="bottom"/>
                  </w:tcPr>
                  <w:p>
                    <w:pPr>
                      <w:widowControl w:val="0"/>
                      <w:suppressLineNumbers/>
                      <w:suppressAutoHyphens/>
                      <w:snapToGrid w:val="0"/>
                      <w:rPr>
                        <w:rFonts w:eastAsia="Andale Sans UI" w:cs="Tahoma"/>
                        <w:szCs w:val="24"/>
                        <w:lang w:bidi="en-US"/>
                      </w:rPr>
                    </w:pPr>
                  </w:p>
                </w:tc>
                <w:tc>
                  <w:tcPr>
                    <w:tcW w:w="4916" w:type="dxa"/>
                    <w:vAlign w:val="bottom"/>
                  </w:tcPr>
                  <w:p>
                    <w:pPr>
                      <w:widowControl w:val="0"/>
                      <w:suppressAutoHyphens/>
                      <w:snapToGrid w:val="0"/>
                      <w:ind w:right="34"/>
                      <w:jc w:val="right"/>
                      <w:rPr>
                        <w:rFonts w:eastAsia="Andale Sans UI" w:cs="Tahoma"/>
                        <w:szCs w:val="24"/>
                        <w:lang w:bidi="en-US"/>
                      </w:rPr>
                    </w:pPr>
                  </w:p>
                </w:tc>
              </w:tr>
            </w:tbl>
            <w:p>
              <w:pPr>
                <w:widowControl w:val="0"/>
                <w:suppressAutoHyphens/>
                <w:jc w:val="both"/>
                <w:rPr>
                  <w:rFonts w:eastAsia="Andale Sans UI" w:cs="Tahoma"/>
                  <w:szCs w:val="24"/>
                  <w:lang w:bidi="en-US"/>
                </w:rPr>
              </w:pPr>
            </w:p>
            <w:p>
              <w:pPr>
                <w:widowControl w:val="0"/>
                <w:suppressAutoHyphens/>
                <w:jc w:val="both"/>
                <w:rPr>
                  <w:rFonts w:eastAsia="Andale Sans UI" w:cs="Tahoma"/>
                  <w:szCs w:val="24"/>
                  <w:lang w:bidi="en-US"/>
                </w:rPr>
              </w:pPr>
            </w:p>
            <w:p>
              <w:pPr>
                <w:widowControl w:val="0"/>
                <w:suppressLineNumbers/>
                <w:tabs>
                  <w:tab w:val="center" w:pos="4800"/>
                  <w:tab w:val="right" w:pos="9601"/>
                </w:tabs>
                <w:suppressAutoHyphens/>
                <w:rPr>
                  <w:rFonts w:eastAsia="Andale Sans UI" w:cs="Tahoma"/>
                  <w:szCs w:val="24"/>
                  <w:lang w:bidi="en-US"/>
                </w:rPr>
              </w:pPr>
            </w:p>
            <w:p>
              <w:pPr>
                <w:widowControl w:val="0"/>
                <w:suppressLineNumbers/>
                <w:tabs>
                  <w:tab w:val="center" w:pos="4800"/>
                  <w:tab w:val="right" w:pos="9601"/>
                </w:tabs>
                <w:suppressAutoHyphens/>
                <w:rPr>
                  <w:rFonts w:eastAsia="Andale Sans UI" w:cs="Tahoma"/>
                  <w:szCs w:val="24"/>
                  <w:lang w:bidi="en-US"/>
                </w:rPr>
              </w:pPr>
            </w:p>
            <w:p>
              <w:pPr>
                <w:widowControl w:val="0"/>
                <w:suppressLineNumbers/>
                <w:tabs>
                  <w:tab w:val="center" w:pos="4800"/>
                  <w:tab w:val="right" w:pos="9601"/>
                </w:tabs>
                <w:suppressAutoHyphens/>
                <w:rPr>
                  <w:rFonts w:eastAsia="Andale Sans UI" w:cs="Tahoma"/>
                  <w:szCs w:val="24"/>
                  <w:lang w:bidi="en-US"/>
                </w:rPr>
              </w:pPr>
            </w:p>
            <w:p>
              <w:pPr>
                <w:widowControl w:val="0"/>
                <w:suppressLineNumbers/>
                <w:tabs>
                  <w:tab w:val="center" w:pos="4800"/>
                  <w:tab w:val="right" w:pos="9601"/>
                </w:tabs>
                <w:suppressAutoHyphens/>
                <w:rPr>
                  <w:rFonts w:eastAsia="Andale Sans UI" w:cs="Tahoma"/>
                  <w:szCs w:val="24"/>
                  <w:lang w:bidi="en-US"/>
                </w:rPr>
              </w:pPr>
            </w:p>
            <w:p>
              <w:pPr>
                <w:widowControl w:val="0"/>
                <w:suppressLineNumbers/>
                <w:tabs>
                  <w:tab w:val="center" w:pos="4800"/>
                  <w:tab w:val="right" w:pos="9601"/>
                </w:tabs>
                <w:suppressAutoHyphens/>
                <w:rPr>
                  <w:rFonts w:eastAsia="Andale Sans UI" w:cs="Tahoma"/>
                  <w:szCs w:val="24"/>
                  <w:lang w:bidi="en-US"/>
                </w:rPr>
              </w:pPr>
            </w:p>
            <w:p>
              <w:pPr>
                <w:widowControl w:val="0"/>
                <w:suppressLineNumbers/>
                <w:tabs>
                  <w:tab w:val="center" w:pos="4800"/>
                  <w:tab w:val="right" w:pos="9601"/>
                </w:tabs>
                <w:suppressAutoHyphens/>
                <w:rPr>
                  <w:rFonts w:eastAsia="Andale Sans UI" w:cs="Tahoma"/>
                  <w:szCs w:val="24"/>
                  <w:lang w:bidi="en-US"/>
                </w:rPr>
              </w:pPr>
            </w:p>
            <w:p>
              <w:pPr>
                <w:widowControl w:val="0"/>
                <w:suppressLineNumbers/>
                <w:tabs>
                  <w:tab w:val="center" w:pos="4800"/>
                  <w:tab w:val="right" w:pos="9601"/>
                </w:tabs>
                <w:suppressAutoHyphens/>
                <w:rPr>
                  <w:rFonts w:eastAsia="Andale Sans UI" w:cs="Tahoma"/>
                  <w:szCs w:val="24"/>
                  <w:lang w:bidi="en-US"/>
                </w:rPr>
              </w:pPr>
            </w:p>
            <w:p>
              <w:pPr>
                <w:widowControl w:val="0"/>
                <w:suppressLineNumbers/>
                <w:tabs>
                  <w:tab w:val="center" w:pos="4800"/>
                  <w:tab w:val="right" w:pos="9601"/>
                </w:tabs>
                <w:suppressAutoHyphens/>
                <w:rPr>
                  <w:rFonts w:eastAsia="Andale Sans UI" w:cs="Tahoma"/>
                  <w:szCs w:val="24"/>
                  <w:lang w:bidi="en-US"/>
                </w:rPr>
              </w:pPr>
            </w:p>
            <w:p>
              <w:pPr>
                <w:widowControl w:val="0"/>
                <w:suppressLineNumbers/>
                <w:tabs>
                  <w:tab w:val="center" w:pos="4800"/>
                  <w:tab w:val="right" w:pos="9601"/>
                </w:tabs>
                <w:suppressAutoHyphens/>
                <w:rPr>
                  <w:rFonts w:eastAsia="Andale Sans UI" w:cs="Tahoma"/>
                  <w:szCs w:val="24"/>
                  <w:lang w:bidi="en-US"/>
                </w:rPr>
              </w:pPr>
            </w:p>
            <w:p>
              <w:pPr>
                <w:widowControl w:val="0"/>
                <w:suppressLineNumbers/>
                <w:tabs>
                  <w:tab w:val="center" w:pos="4800"/>
                  <w:tab w:val="right" w:pos="9601"/>
                </w:tabs>
                <w:suppressAutoHyphens/>
                <w:rPr>
                  <w:rFonts w:eastAsia="Andale Sans UI" w:cs="Tahoma"/>
                  <w:szCs w:val="24"/>
                  <w:lang w:bidi="en-US"/>
                </w:rPr>
              </w:pPr>
            </w:p>
            <w:p>
              <w:pPr>
                <w:widowControl w:val="0"/>
                <w:suppressLineNumbers/>
                <w:tabs>
                  <w:tab w:val="center" w:pos="4800"/>
                  <w:tab w:val="right" w:pos="9601"/>
                </w:tabs>
                <w:suppressAutoHyphens/>
                <w:rPr>
                  <w:rFonts w:eastAsia="Andale Sans UI" w:cs="Tahoma"/>
                  <w:szCs w:val="24"/>
                  <w:lang w:bidi="en-US"/>
                </w:rPr>
              </w:pPr>
            </w:p>
            <w:p>
              <w:pPr>
                <w:widowControl w:val="0"/>
                <w:suppressLineNumbers/>
                <w:tabs>
                  <w:tab w:val="center" w:pos="4800"/>
                  <w:tab w:val="right" w:pos="9601"/>
                </w:tabs>
                <w:suppressAutoHyphens/>
                <w:rPr>
                  <w:rFonts w:eastAsia="Andale Sans UI" w:cs="Tahoma"/>
                  <w:szCs w:val="24"/>
                  <w:lang w:bidi="en-US"/>
                </w:rPr>
              </w:pPr>
            </w:p>
            <w:p>
              <w:pPr>
                <w:widowControl w:val="0"/>
                <w:suppressLineNumbers/>
                <w:tabs>
                  <w:tab w:val="center" w:pos="4800"/>
                  <w:tab w:val="right" w:pos="9601"/>
                </w:tabs>
                <w:suppressAutoHyphens/>
                <w:rPr>
                  <w:rFonts w:eastAsia="Andale Sans UI" w:cs="Tahoma"/>
                  <w:szCs w:val="24"/>
                  <w:lang w:bidi="en-US"/>
                </w:rPr>
              </w:pPr>
            </w:p>
            <w:p>
              <w:pPr>
                <w:widowControl w:val="0"/>
                <w:suppressLineNumbers/>
                <w:tabs>
                  <w:tab w:val="center" w:pos="4800"/>
                  <w:tab w:val="right" w:pos="9601"/>
                </w:tabs>
                <w:suppressAutoHyphens/>
                <w:rPr>
                  <w:rFonts w:eastAsia="Andale Sans UI" w:cs="Tahoma"/>
                  <w:szCs w:val="24"/>
                  <w:lang w:bidi="en-US"/>
                </w:rPr>
              </w:pPr>
            </w:p>
            <w:p>
              <w:pPr>
                <w:widowControl w:val="0"/>
                <w:suppressLineNumbers/>
                <w:tabs>
                  <w:tab w:val="center" w:pos="4800"/>
                  <w:tab w:val="right" w:pos="9601"/>
                </w:tabs>
                <w:suppressAutoHyphens/>
                <w:rPr>
                  <w:rFonts w:eastAsia="Andale Sans UI" w:cs="Tahoma"/>
                  <w:szCs w:val="24"/>
                  <w:lang w:bidi="en-US"/>
                </w:rPr>
              </w:pPr>
            </w:p>
            <w:p>
              <w:pPr>
                <w:widowControl w:val="0"/>
                <w:suppressLineNumbers/>
                <w:tabs>
                  <w:tab w:val="center" w:pos="4800"/>
                  <w:tab w:val="right" w:pos="9601"/>
                </w:tabs>
                <w:suppressAutoHyphens/>
                <w:rPr>
                  <w:rFonts w:eastAsia="Andale Sans UI" w:cs="Tahoma"/>
                  <w:szCs w:val="24"/>
                  <w:lang w:bidi="en-US"/>
                </w:rPr>
              </w:pPr>
            </w:p>
            <w:p>
              <w:pPr>
                <w:widowControl w:val="0"/>
                <w:suppressLineNumbers/>
                <w:tabs>
                  <w:tab w:val="center" w:pos="4800"/>
                  <w:tab w:val="right" w:pos="9601"/>
                </w:tabs>
                <w:suppressAutoHyphens/>
                <w:rPr>
                  <w:rFonts w:eastAsia="Andale Sans UI" w:cs="Tahoma"/>
                  <w:szCs w:val="24"/>
                  <w:lang w:bidi="en-US"/>
                </w:rPr>
              </w:pPr>
            </w:p>
            <w:p>
              <w:pPr>
                <w:widowControl w:val="0"/>
                <w:suppressLineNumbers/>
                <w:tabs>
                  <w:tab w:val="center" w:pos="4800"/>
                  <w:tab w:val="right" w:pos="9601"/>
                </w:tabs>
                <w:suppressAutoHyphens/>
                <w:rPr>
                  <w:rFonts w:eastAsia="Andale Sans UI" w:cs="Tahoma"/>
                  <w:szCs w:val="24"/>
                  <w:lang w:bidi="en-US"/>
                </w:rPr>
              </w:pPr>
            </w:p>
            <w:p>
              <w:pPr>
                <w:widowControl w:val="0"/>
                <w:suppressLineNumbers/>
                <w:tabs>
                  <w:tab w:val="center" w:pos="4800"/>
                  <w:tab w:val="right" w:pos="9601"/>
                </w:tabs>
                <w:suppressAutoHyphens/>
                <w:rPr>
                  <w:rFonts w:eastAsia="Andale Sans UI" w:cs="Tahoma"/>
                  <w:szCs w:val="24"/>
                  <w:lang w:bidi="en-US"/>
                </w:rPr>
              </w:pPr>
            </w:p>
            <w:p>
              <w:pPr>
                <w:widowControl w:val="0"/>
                <w:suppressLineNumbers/>
                <w:tabs>
                  <w:tab w:val="center" w:pos="4800"/>
                  <w:tab w:val="right" w:pos="9601"/>
                </w:tabs>
                <w:suppressAutoHyphens/>
                <w:rPr>
                  <w:rFonts w:eastAsia="Andale Sans UI" w:cs="Tahoma"/>
                  <w:szCs w:val="24"/>
                  <w:lang w:bidi="en-US"/>
                </w:rPr>
              </w:pPr>
            </w:p>
            <w:p>
              <w:pPr>
                <w:widowControl w:val="0"/>
                <w:suppressLineNumbers/>
                <w:tabs>
                  <w:tab w:val="center" w:pos="4800"/>
                  <w:tab w:val="right" w:pos="9601"/>
                </w:tabs>
                <w:suppressAutoHyphens/>
                <w:rPr>
                  <w:rFonts w:eastAsia="Andale Sans UI" w:cs="Tahoma"/>
                  <w:szCs w:val="24"/>
                  <w:lang w:bidi="en-US"/>
                </w:rPr>
              </w:pPr>
            </w:p>
            <w:p>
              <w:pPr>
                <w:widowControl w:val="0"/>
                <w:suppressLineNumbers/>
                <w:tabs>
                  <w:tab w:val="center" w:pos="4800"/>
                  <w:tab w:val="right" w:pos="9601"/>
                </w:tabs>
                <w:suppressAutoHyphens/>
                <w:rPr>
                  <w:rFonts w:eastAsia="Andale Sans UI" w:cs="Tahoma"/>
                  <w:szCs w:val="24"/>
                  <w:lang w:bidi="en-US"/>
                </w:rPr>
              </w:pPr>
            </w:p>
            <w:p>
              <w:pPr>
                <w:widowControl w:val="0"/>
                <w:suppressLineNumbers/>
                <w:tabs>
                  <w:tab w:val="center" w:pos="4800"/>
                  <w:tab w:val="right" w:pos="9601"/>
                </w:tabs>
                <w:suppressAutoHyphens/>
                <w:rPr>
                  <w:rFonts w:eastAsia="Andale Sans UI" w:cs="Tahoma"/>
                  <w:szCs w:val="24"/>
                  <w:lang w:bidi="en-US"/>
                </w:rPr>
              </w:pPr>
            </w:p>
            <w:p>
              <w:pPr>
                <w:widowControl w:val="0"/>
                <w:suppressLineNumbers/>
                <w:tabs>
                  <w:tab w:val="center" w:pos="4800"/>
                  <w:tab w:val="right" w:pos="9601"/>
                </w:tabs>
                <w:suppressAutoHyphens/>
                <w:rPr>
                  <w:rFonts w:eastAsia="Andale Sans UI" w:cs="Tahoma"/>
                  <w:szCs w:val="24"/>
                  <w:lang w:bidi="en-US"/>
                </w:rPr>
              </w:pPr>
            </w:p>
            <w:p>
              <w:pPr>
                <w:widowControl w:val="0"/>
                <w:suppressLineNumbers/>
                <w:tabs>
                  <w:tab w:val="center" w:pos="4800"/>
                  <w:tab w:val="right" w:pos="9601"/>
                </w:tabs>
                <w:suppressAutoHyphens/>
                <w:rPr>
                  <w:rFonts w:eastAsia="Andale Sans UI" w:cs="Tahoma"/>
                  <w:szCs w:val="24"/>
                  <w:lang w:bidi="en-US"/>
                </w:rPr>
              </w:pPr>
            </w:p>
            <w:p>
              <w:pPr>
                <w:widowControl w:val="0"/>
                <w:suppressLineNumbers/>
                <w:tabs>
                  <w:tab w:val="center" w:pos="4800"/>
                  <w:tab w:val="right" w:pos="9601"/>
                </w:tabs>
                <w:suppressAutoHyphens/>
                <w:rPr>
                  <w:rFonts w:eastAsia="Andale Sans UI" w:cs="Tahoma"/>
                  <w:szCs w:val="24"/>
                  <w:lang w:bidi="en-US"/>
                </w:rPr>
              </w:pPr>
            </w:p>
            <w:p>
              <w:pPr>
                <w:widowControl w:val="0"/>
                <w:suppressLineNumbers/>
                <w:tabs>
                  <w:tab w:val="center" w:pos="4800"/>
                  <w:tab w:val="right" w:pos="9601"/>
                </w:tabs>
                <w:suppressAutoHyphens/>
                <w:rPr>
                  <w:rFonts w:eastAsia="Andale Sans UI" w:cs="Tahoma"/>
                  <w:szCs w:val="24"/>
                  <w:lang w:bidi="en-US"/>
                </w:rPr>
              </w:pPr>
            </w:p>
            <w:p>
              <w:pPr>
                <w:widowControl w:val="0"/>
                <w:suppressLineNumbers/>
                <w:tabs>
                  <w:tab w:val="center" w:pos="4800"/>
                  <w:tab w:val="right" w:pos="9601"/>
                </w:tabs>
                <w:suppressAutoHyphens/>
                <w:rPr>
                  <w:rFonts w:eastAsia="Andale Sans UI" w:cs="Tahoma"/>
                  <w:szCs w:val="24"/>
                  <w:lang w:bidi="en-US"/>
                </w:rPr>
              </w:pPr>
            </w:p>
            <w:p>
              <w:pPr>
                <w:widowControl w:val="0"/>
                <w:suppressLineNumbers/>
                <w:tabs>
                  <w:tab w:val="center" w:pos="4800"/>
                  <w:tab w:val="right" w:pos="9601"/>
                </w:tabs>
                <w:suppressAutoHyphens/>
                <w:rPr>
                  <w:rFonts w:eastAsia="Andale Sans UI" w:cs="Tahoma"/>
                  <w:szCs w:val="24"/>
                  <w:lang w:bidi="en-US"/>
                </w:rPr>
              </w:pPr>
            </w:p>
            <w:p>
              <w:pPr>
                <w:widowControl w:val="0"/>
                <w:suppressLineNumbers/>
                <w:tabs>
                  <w:tab w:val="center" w:pos="4800"/>
                  <w:tab w:val="right" w:pos="9601"/>
                </w:tabs>
                <w:suppressAutoHyphens/>
                <w:rPr>
                  <w:rFonts w:eastAsia="Andale Sans UI" w:cs="Tahoma"/>
                  <w:szCs w:val="24"/>
                  <w:lang w:bidi="en-US"/>
                </w:rPr>
              </w:pPr>
            </w:p>
            <w:p>
              <w:pPr>
                <w:widowControl w:val="0"/>
                <w:suppressLineNumbers/>
                <w:tabs>
                  <w:tab w:val="center" w:pos="4800"/>
                  <w:tab w:val="right" w:pos="9601"/>
                </w:tabs>
                <w:suppressAutoHyphens/>
                <w:rPr>
                  <w:rFonts w:eastAsia="Andale Sans UI" w:cs="Tahoma"/>
                  <w:szCs w:val="24"/>
                  <w:lang w:bidi="en-US"/>
                </w:rPr>
              </w:pPr>
            </w:p>
            <w:p>
              <w:pPr>
                <w:widowControl w:val="0"/>
                <w:suppressLineNumbers/>
                <w:tabs>
                  <w:tab w:val="center" w:pos="4800"/>
                  <w:tab w:val="right" w:pos="9601"/>
                </w:tabs>
                <w:suppressAutoHyphens/>
                <w:rPr>
                  <w:rFonts w:eastAsia="Andale Sans UI" w:cs="Tahoma"/>
                  <w:szCs w:val="24"/>
                  <w:lang w:bidi="en-US"/>
                </w:rPr>
              </w:pPr>
            </w:p>
            <w:p>
              <w:pPr>
                <w:widowControl w:val="0"/>
                <w:suppressLineNumbers/>
                <w:tabs>
                  <w:tab w:val="center" w:pos="4800"/>
                  <w:tab w:val="right" w:pos="9601"/>
                </w:tabs>
                <w:suppressAutoHyphens/>
                <w:rPr>
                  <w:rFonts w:eastAsia="Andale Sans UI" w:cs="Tahoma"/>
                  <w:szCs w:val="24"/>
                  <w:lang w:bidi="en-US"/>
                </w:rPr>
              </w:pPr>
            </w:p>
            <w:p>
              <w:pPr>
                <w:widowControl w:val="0"/>
                <w:suppressLineNumbers/>
                <w:tabs>
                  <w:tab w:val="center" w:pos="4800"/>
                  <w:tab w:val="right" w:pos="9601"/>
                </w:tabs>
                <w:suppressAutoHyphens/>
                <w:rPr>
                  <w:rFonts w:eastAsia="Andale Sans UI" w:cs="Tahoma"/>
                  <w:szCs w:val="24"/>
                  <w:lang w:bidi="en-US"/>
                </w:rPr>
              </w:pPr>
            </w:p>
            <w:p>
              <w:pPr>
                <w:widowControl w:val="0"/>
                <w:suppressLineNumbers/>
                <w:tabs>
                  <w:tab w:val="center" w:pos="4800"/>
                  <w:tab w:val="right" w:pos="9601"/>
                </w:tabs>
                <w:suppressAutoHyphens/>
                <w:rPr>
                  <w:rFonts w:eastAsia="Andale Sans UI" w:cs="Tahoma"/>
                  <w:szCs w:val="24"/>
                  <w:lang w:bidi="en-US"/>
                </w:rPr>
              </w:pPr>
            </w:p>
            <w:p>
              <w:pPr>
                <w:widowControl w:val="0"/>
                <w:suppressLineNumbers/>
                <w:tabs>
                  <w:tab w:val="center" w:pos="4800"/>
                  <w:tab w:val="right" w:pos="9601"/>
                </w:tabs>
                <w:suppressAutoHyphens/>
                <w:rPr>
                  <w:rFonts w:eastAsia="Andale Sans UI" w:cs="Tahoma"/>
                  <w:szCs w:val="24"/>
                  <w:lang w:bidi="en-US"/>
                </w:rPr>
              </w:pPr>
            </w:p>
            <w:p>
              <w:pPr>
                <w:widowControl w:val="0"/>
                <w:suppressLineNumbers/>
                <w:tabs>
                  <w:tab w:val="center" w:pos="4800"/>
                  <w:tab w:val="right" w:pos="9601"/>
                </w:tabs>
                <w:suppressAutoHyphens/>
                <w:rPr>
                  <w:rFonts w:eastAsia="Andale Sans UI" w:cs="Tahoma"/>
                  <w:szCs w:val="24"/>
                  <w:lang w:bidi="en-US"/>
                </w:rPr>
              </w:pPr>
            </w:p>
            <w:p>
              <w:pPr>
                <w:widowControl w:val="0"/>
                <w:suppressLineNumbers/>
                <w:tabs>
                  <w:tab w:val="center" w:pos="4800"/>
                  <w:tab w:val="right" w:pos="9601"/>
                </w:tabs>
                <w:suppressAutoHyphens/>
                <w:rPr>
                  <w:rFonts w:eastAsia="Andale Sans UI" w:cs="Tahoma"/>
                  <w:szCs w:val="24"/>
                  <w:lang w:bidi="en-US"/>
                </w:rPr>
              </w:pPr>
            </w:p>
            <w:p>
              <w:pPr>
                <w:widowControl w:val="0"/>
                <w:suppressLineNumbers/>
                <w:tabs>
                  <w:tab w:val="center" w:pos="4800"/>
                  <w:tab w:val="right" w:pos="9601"/>
                </w:tabs>
                <w:suppressAutoHyphens/>
                <w:rPr>
                  <w:rFonts w:eastAsia="Andale Sans UI" w:cs="Tahoma"/>
                  <w:szCs w:val="24"/>
                  <w:lang w:bidi="en-US"/>
                </w:rPr>
              </w:pPr>
            </w:p>
            <w:p>
              <w:pPr>
                <w:widowControl w:val="0"/>
                <w:suppressLineNumbers/>
                <w:tabs>
                  <w:tab w:val="center" w:pos="4800"/>
                  <w:tab w:val="right" w:pos="9601"/>
                </w:tabs>
                <w:suppressAutoHyphens/>
                <w:rPr>
                  <w:rFonts w:eastAsia="Andale Sans UI" w:cs="Tahoma"/>
                  <w:szCs w:val="24"/>
                  <w:lang w:bidi="en-US"/>
                </w:rPr>
              </w:pPr>
            </w:p>
            <w:p>
              <w:pPr>
                <w:widowControl w:val="0"/>
                <w:suppressLineNumbers/>
                <w:tabs>
                  <w:tab w:val="center" w:pos="4800"/>
                  <w:tab w:val="right" w:pos="9601"/>
                </w:tabs>
                <w:suppressAutoHyphens/>
                <w:rPr>
                  <w:rFonts w:eastAsia="Andale Sans UI" w:cs="Tahoma"/>
                  <w:szCs w:val="24"/>
                  <w:lang w:bidi="en-US"/>
                </w:rPr>
              </w:pPr>
            </w:p>
            <w:p>
              <w:pPr>
                <w:widowControl w:val="0"/>
                <w:suppressLineNumbers/>
                <w:tabs>
                  <w:tab w:val="center" w:pos="4800"/>
                  <w:tab w:val="right" w:pos="9601"/>
                </w:tabs>
                <w:suppressAutoHyphens/>
                <w:rPr>
                  <w:rFonts w:ascii="Arial" w:eastAsia="Andale Sans UI" w:hAnsi="Arial" w:cs="Tahoma"/>
                  <w:spacing w:val="16"/>
                  <w:sz w:val="10"/>
                  <w:szCs w:val="24"/>
                  <w:lang w:val="en-US" w:bidi="en-US"/>
                </w:rPr>
              </w:pPr>
              <w:r>
                <w:rPr>
                  <w:rFonts w:eastAsia="Andale Sans UI" w:cs="Tahoma"/>
                  <w:szCs w:val="24"/>
                  <w:lang w:bidi="en-US"/>
                </w:rPr>
                <w:t>V. Rumbutienė, 8~695 31922, el. p. vaiva.rumbutiene@am.lt</w:t>
              </w:r>
              <w:r>
                <w:rPr>
                  <w:rFonts w:ascii="Arial" w:eastAsia="Andale Sans UI" w:hAnsi="Arial" w:cs="Tahoma"/>
                  <w:spacing w:val="16"/>
                  <w:sz w:val="10"/>
                  <w:szCs w:val="24"/>
                  <w:lang w:val="en-US" w:bidi="en-US"/>
                </w:rPr>
                <w:t xml:space="preserve"> </w:t>
              </w:r>
            </w:p>
            <w:p>
              <w:pPr>
                <w:rPr>
                  <w:rFonts w:ascii="Arial" w:eastAsia="Andale Sans UI" w:hAnsi="Arial" w:cs="Tahoma"/>
                  <w:spacing w:val="16"/>
                  <w:sz w:val="10"/>
                  <w:szCs w:val="24"/>
                  <w:lang w:val="en-US" w:bidi="en-US"/>
                </w:rPr>
              </w:pPr>
              <w:r>
                <w:rPr>
                  <w:rFonts w:ascii="Arial" w:eastAsia="Andale Sans UI" w:hAnsi="Arial" w:cs="Tahoma"/>
                  <w:spacing w:val="16"/>
                  <w:sz w:val="10"/>
                  <w:szCs w:val="24"/>
                  <w:lang w:val="en-US" w:bidi="en-US"/>
                </w:rPr>
                <w:br w:type="page"/>
              </w:r>
            </w:p>
            <w:p>
              <w:pPr>
                <w:widowControl w:val="0"/>
                <w:suppressLineNumbers/>
                <w:tabs>
                  <w:tab w:val="center" w:pos="4800"/>
                  <w:tab w:val="right" w:pos="9601"/>
                </w:tabs>
                <w:suppressAutoHyphens/>
                <w:jc w:val="center"/>
                <w:rPr>
                  <w:rFonts w:eastAsia="Andale Sans UI" w:cs="Tahoma"/>
                  <w:b/>
                  <w:szCs w:val="24"/>
                  <w:lang w:bidi="en-US"/>
                </w:rPr>
              </w:pPr>
              <w:r>
                <w:rPr>
                  <w:rFonts w:eastAsia="Andale Sans UI" w:cs="Tahoma"/>
                  <w:b/>
                  <w:szCs w:val="24"/>
                  <w:lang w:bidi="en-US"/>
                </w:rPr>
                <w:t xml:space="preserve">LIETUVOS RESPUBLIKOS APLINKOS MINISTERIJOS </w:t>
              </w:r>
            </w:p>
            <w:p>
              <w:pPr>
                <w:widowControl w:val="0"/>
                <w:suppressLineNumbers/>
                <w:tabs>
                  <w:tab w:val="center" w:pos="4800"/>
                  <w:tab w:val="right" w:pos="9601"/>
                </w:tabs>
                <w:suppressAutoHyphens/>
                <w:jc w:val="center"/>
                <w:rPr>
                  <w:rFonts w:eastAsia="Andale Sans UI" w:cs="Tahoma"/>
                  <w:b/>
                  <w:szCs w:val="24"/>
                  <w:lang w:bidi="en-US"/>
                </w:rPr>
              </w:pPr>
              <w:r>
                <w:rPr>
                  <w:rFonts w:eastAsia="Andale Sans UI" w:cs="Tahoma"/>
                  <w:b/>
                  <w:szCs w:val="24"/>
                  <w:lang w:bidi="en-US"/>
                </w:rPr>
                <w:t xml:space="preserve">2021-         RAŠTO NR. (14)-D8(E)-             </w:t>
              </w:r>
            </w:p>
            <w:p>
              <w:pPr>
                <w:widowControl w:val="0"/>
                <w:suppressLineNumbers/>
                <w:tabs>
                  <w:tab w:val="center" w:pos="4800"/>
                  <w:tab w:val="right" w:pos="9601"/>
                </w:tabs>
                <w:suppressAutoHyphens/>
                <w:jc w:val="center"/>
                <w:rPr>
                  <w:rFonts w:eastAsia="Andale Sans UI" w:cs="Tahoma"/>
                  <w:b/>
                  <w:szCs w:val="24"/>
                  <w:lang w:bidi="en-US"/>
                </w:rPr>
              </w:pPr>
              <w:r>
                <w:rPr>
                  <w:rFonts w:eastAsia="Andale Sans UI" w:cs="Tahoma"/>
                  <w:b/>
                  <w:szCs w:val="24"/>
                  <w:lang w:bidi="en-US"/>
                </w:rPr>
                <w:t>GAVĖJŲ SĄRAŠAS</w:t>
              </w:r>
            </w:p>
            <w:p>
              <w:pPr>
                <w:widowControl w:val="0"/>
                <w:suppressLineNumbers/>
                <w:tabs>
                  <w:tab w:val="center" w:pos="4800"/>
                  <w:tab w:val="right" w:pos="9601"/>
                </w:tabs>
                <w:suppressAutoHyphens/>
                <w:jc w:val="center"/>
                <w:rPr>
                  <w:rFonts w:eastAsia="Andale Sans UI" w:cs="Tahoma"/>
                  <w:b/>
                  <w:szCs w:val="24"/>
                  <w:lang w:bidi="en-US"/>
                </w:rPr>
              </w:pPr>
            </w:p>
            <w:p>
              <w:pPr>
                <w:widowControl w:val="0"/>
                <w:suppressLineNumbers/>
                <w:tabs>
                  <w:tab w:val="center" w:pos="4800"/>
                  <w:tab w:val="right" w:pos="9601"/>
                </w:tabs>
                <w:suppressAutoHyphens/>
                <w:jc w:val="center"/>
                <w:rPr>
                  <w:rFonts w:eastAsia="Andale Sans UI" w:cs="Tahoma"/>
                  <w:b/>
                  <w:szCs w:val="24"/>
                  <w:lang w:bidi="en-US"/>
                </w:rPr>
              </w:pPr>
            </w:p>
            <w:p>
              <w:pPr>
                <w:widowControl w:val="0"/>
                <w:suppressLineNumbers/>
                <w:suppressAutoHyphens/>
                <w:spacing w:line="276" w:lineRule="auto"/>
                <w:rPr>
                  <w:rFonts w:eastAsia="Andale Sans UI" w:cs="Tahoma"/>
                  <w:szCs w:val="24"/>
                  <w:lang w:bidi="en-US"/>
                </w:rPr>
              </w:pPr>
              <w:r>
                <w:rPr>
                  <w:rFonts w:eastAsia="Andale Sans UI" w:cs="Tahoma"/>
                  <w:szCs w:val="24"/>
                  <w:lang w:bidi="en-US"/>
                </w:rPr>
                <w:t>Ekonomikos ir inovacijų ministerijai</w:t>
              </w:r>
            </w:p>
            <w:p>
              <w:pPr>
                <w:widowControl w:val="0"/>
                <w:suppressLineNumbers/>
                <w:suppressAutoHyphens/>
                <w:spacing w:line="276" w:lineRule="auto"/>
                <w:rPr>
                  <w:rFonts w:eastAsia="Andale Sans UI" w:cs="Tahoma"/>
                  <w:szCs w:val="24"/>
                  <w:lang w:bidi="en-US"/>
                </w:rPr>
              </w:pPr>
              <w:r>
                <w:rPr>
                  <w:rFonts w:eastAsia="Andale Sans UI" w:cs="Tahoma"/>
                  <w:szCs w:val="24"/>
                  <w:lang w:bidi="en-US"/>
                </w:rPr>
                <w:t>Finansų ministerija</w:t>
              </w:r>
            </w:p>
            <w:p>
              <w:pPr>
                <w:widowControl w:val="0"/>
                <w:suppressLineNumbers/>
                <w:suppressAutoHyphens/>
                <w:spacing w:line="276" w:lineRule="auto"/>
                <w:rPr>
                  <w:rFonts w:eastAsia="Andale Sans UI" w:cs="Tahoma"/>
                  <w:szCs w:val="24"/>
                  <w:lang w:bidi="en-US"/>
                </w:rPr>
              </w:pPr>
              <w:r>
                <w:rPr>
                  <w:rFonts w:eastAsia="Andale Sans UI" w:cs="Tahoma"/>
                  <w:szCs w:val="24"/>
                  <w:lang w:bidi="en-US"/>
                </w:rPr>
                <w:t>Generalinei prokuratūrai</w:t>
              </w:r>
            </w:p>
            <w:p>
              <w:pPr>
                <w:widowControl w:val="0"/>
                <w:suppressLineNumbers/>
                <w:suppressAutoHyphens/>
                <w:spacing w:line="276" w:lineRule="auto"/>
                <w:rPr>
                  <w:rFonts w:eastAsia="Andale Sans UI" w:cs="Tahoma"/>
                  <w:szCs w:val="24"/>
                  <w:lang w:bidi="en-US"/>
                </w:rPr>
              </w:pPr>
              <w:r>
                <w:rPr>
                  <w:rFonts w:eastAsia="Andale Sans UI" w:cs="Tahoma"/>
                  <w:szCs w:val="24"/>
                  <w:lang w:bidi="en-US"/>
                </w:rPr>
                <w:t>Kultūros ministerijai</w:t>
              </w:r>
            </w:p>
            <w:p>
              <w:pPr>
                <w:widowControl w:val="0"/>
                <w:suppressLineNumbers/>
                <w:suppressAutoHyphens/>
                <w:spacing w:line="276" w:lineRule="auto"/>
                <w:rPr>
                  <w:rFonts w:eastAsia="Andale Sans UI" w:cs="Tahoma"/>
                  <w:szCs w:val="24"/>
                  <w:lang w:bidi="en-US"/>
                </w:rPr>
              </w:pPr>
              <w:r>
                <w:rPr>
                  <w:rFonts w:eastAsia="Andale Sans UI" w:cs="Tahoma"/>
                  <w:szCs w:val="24"/>
                  <w:lang w:bidi="en-US"/>
                </w:rPr>
                <w:t>Sveikatos apsaugos ministerijai</w:t>
              </w:r>
            </w:p>
            <w:p>
              <w:pPr>
                <w:widowControl w:val="0"/>
                <w:suppressLineNumbers/>
                <w:suppressAutoHyphens/>
                <w:spacing w:line="276" w:lineRule="auto"/>
                <w:rPr>
                  <w:rFonts w:eastAsia="Andale Sans UI" w:cs="Tahoma"/>
                  <w:szCs w:val="24"/>
                  <w:lang w:bidi="en-US"/>
                </w:rPr>
              </w:pPr>
              <w:r>
                <w:rPr>
                  <w:rFonts w:eastAsia="Andale Sans UI" w:cs="Tahoma"/>
                  <w:szCs w:val="24"/>
                  <w:lang w:bidi="en-US"/>
                </w:rPr>
                <w:t>Teisingumo ministerijai</w:t>
              </w:r>
            </w:p>
            <w:p>
              <w:pPr>
                <w:widowControl w:val="0"/>
                <w:suppressLineNumbers/>
                <w:suppressAutoHyphens/>
                <w:spacing w:line="276" w:lineRule="auto"/>
                <w:rPr>
                  <w:rFonts w:eastAsia="Andale Sans UI" w:cs="Tahoma"/>
                  <w:szCs w:val="24"/>
                  <w:lang w:bidi="en-US"/>
                </w:rPr>
              </w:pPr>
              <w:r>
                <w:rPr>
                  <w:rFonts w:eastAsia="Andale Sans UI" w:cs="Tahoma"/>
                  <w:szCs w:val="24"/>
                  <w:lang w:bidi="en-US"/>
                </w:rPr>
                <w:t>Vidaus reikalų ministerijai</w:t>
              </w:r>
            </w:p>
            <w:p>
              <w:pPr>
                <w:widowControl w:val="0"/>
                <w:suppressLineNumbers/>
                <w:suppressAutoHyphens/>
                <w:spacing w:line="276" w:lineRule="auto"/>
                <w:rPr>
                  <w:rFonts w:eastAsia="Andale Sans UI" w:cs="Tahoma"/>
                  <w:szCs w:val="24"/>
                  <w:lang w:bidi="en-US"/>
                </w:rPr>
              </w:pPr>
              <w:r>
                <w:rPr>
                  <w:rFonts w:eastAsia="Andale Sans UI" w:cs="Tahoma"/>
                  <w:szCs w:val="24"/>
                  <w:lang w:bidi="en-US"/>
                </w:rPr>
                <w:t>Aplinkos apsaugos agentūrai</w:t>
              </w:r>
            </w:p>
            <w:p>
              <w:pPr>
                <w:widowControl w:val="0"/>
                <w:suppressLineNumbers/>
                <w:suppressAutoHyphens/>
                <w:spacing w:line="276" w:lineRule="auto"/>
                <w:rPr>
                  <w:rFonts w:eastAsia="Andale Sans UI" w:cs="Tahoma"/>
                  <w:szCs w:val="24"/>
                  <w:lang w:bidi="en-US"/>
                </w:rPr>
              </w:pPr>
              <w:r>
                <w:rPr>
                  <w:rFonts w:eastAsia="Andale Sans UI" w:cs="Tahoma"/>
                  <w:szCs w:val="24"/>
                  <w:lang w:bidi="en-US"/>
                </w:rPr>
                <w:t>Nacionaliniam visuomenės sveikatos centrui</w:t>
              </w:r>
              <w:r>
                <w:rPr>
                  <w:rFonts w:eastAsia="Andale Sans UI"/>
                  <w:color w:val="1E1B1B"/>
                  <w:szCs w:val="24"/>
                  <w:shd w:val="clear" w:color="auto" w:fill="FFFFFF"/>
                  <w:lang w:bidi="en-US"/>
                </w:rPr>
                <w:t xml:space="preserve"> prie Sveikatos apsaugos ministerijos</w:t>
              </w:r>
            </w:p>
            <w:p>
              <w:pPr>
                <w:widowControl w:val="0"/>
                <w:suppressLineNumbers/>
                <w:tabs>
                  <w:tab w:val="center" w:pos="4800"/>
                  <w:tab w:val="right" w:pos="9601"/>
                </w:tabs>
                <w:suppressAutoHyphens/>
                <w:spacing w:line="276" w:lineRule="auto"/>
                <w:rPr>
                  <w:rFonts w:eastAsia="Andale Sans UI"/>
                  <w:color w:val="1E1B1B"/>
                  <w:szCs w:val="24"/>
                  <w:shd w:val="clear" w:color="auto" w:fill="FFFFFF"/>
                  <w:lang w:bidi="en-US"/>
                </w:rPr>
              </w:pPr>
              <w:r>
                <w:rPr>
                  <w:rFonts w:eastAsia="Andale Sans UI"/>
                  <w:color w:val="1E1B1B"/>
                  <w:szCs w:val="24"/>
                  <w:shd w:val="clear" w:color="auto" w:fill="FFFFFF"/>
                  <w:lang w:bidi="en-US"/>
                </w:rPr>
                <w:t>Valstybinei akreditavimo sveikatos priežiūros veiklai tarnybai prie Sveikatos apsaugos ministerijos</w:t>
              </w:r>
            </w:p>
          </w:sdtContent>
        </w:sdt>
        <w:sdt>
          <w:sdtPr>
            <w:alias w:val="signatura"/>
            <w:tag w:val="part_96d40d1436b947699aacd87555de0856"/>
            <w:lock w:val="sdtLocked"/>
            <w:richText/>
          </w:sdtPr>
          <w:sdtContent>
            <w:p>
              <w:pPr>
                <w:widowControl w:val="0"/>
                <w:suppressLineNumbers/>
                <w:suppressAutoHyphens/>
                <w:spacing w:line="276" w:lineRule="auto"/>
                <w:rPr>
                  <w:rFonts w:eastAsia="Andale Sans UI" w:cs="Tahoma"/>
                  <w:szCs w:val="24"/>
                  <w:highlight w:val="yellow"/>
                  <w:lang w:bidi="en-US"/>
                </w:rPr>
              </w:pPr>
              <w:r>
                <w:rPr>
                  <w:rFonts w:eastAsia="Andale Sans UI" w:cs="Tahoma"/>
                  <w:szCs w:val="24"/>
                  <w:lang w:bidi="en-US"/>
                </w:rPr>
                <w:t>Valstybinei duomenų apsaugos inspekcijai</w:t>
              </w:r>
            </w:p>
            <w:p>
              <w:pPr>
                <w:widowControl w:val="0"/>
                <w:suppressLineNumbers/>
                <w:suppressAutoHyphens/>
                <w:spacing w:line="276" w:lineRule="auto"/>
                <w:rPr>
                  <w:rFonts w:eastAsia="Andale Sans UI" w:cs="Tahoma"/>
                  <w:szCs w:val="24"/>
                  <w:lang w:bidi="en-US"/>
                </w:rPr>
              </w:pPr>
              <w:r>
                <w:rPr>
                  <w:rFonts w:eastAsia="Andale Sans UI" w:cs="Tahoma"/>
                  <w:szCs w:val="24"/>
                  <w:lang w:bidi="en-US"/>
                </w:rPr>
                <w:t>Policijos departamentui prie Vidaus reikalų ministerijos</w:t>
              </w:r>
            </w:p>
            <w:p>
              <w:pPr>
                <w:widowControl w:val="0"/>
                <w:suppressLineNumbers/>
                <w:suppressAutoHyphens/>
                <w:spacing w:line="276" w:lineRule="auto"/>
                <w:rPr>
                  <w:rFonts w:eastAsia="Andale Sans UI" w:cs="Tahoma"/>
                  <w:szCs w:val="24"/>
                  <w:lang w:bidi="en-US"/>
                </w:rPr>
              </w:pPr>
              <w:r>
                <w:rPr>
                  <w:rFonts w:eastAsia="Andale Sans UI" w:cs="Tahoma"/>
                  <w:szCs w:val="24"/>
                  <w:lang w:bidi="en-US"/>
                </w:rPr>
                <w:t>Specialiųjų tyrimų tarnybai</w:t>
              </w:r>
            </w:p>
            <w:p>
              <w:pPr>
                <w:widowControl w:val="0"/>
                <w:suppressLineNumbers/>
                <w:suppressAutoHyphens/>
                <w:spacing w:line="276" w:lineRule="auto"/>
                <w:rPr>
                  <w:rFonts w:eastAsia="Andale Sans UI" w:cs="Tahoma"/>
                  <w:szCs w:val="24"/>
                  <w:lang w:bidi="en-US"/>
                </w:rPr>
              </w:pPr>
              <w:r>
                <w:rPr>
                  <w:rFonts w:eastAsia="Andale Sans UI" w:cs="Tahoma"/>
                  <w:szCs w:val="24"/>
                  <w:lang w:bidi="en-US"/>
                </w:rPr>
                <w:t>Lietuvos savivaldybių asociacijai</w:t>
              </w:r>
            </w:p>
            <w:p>
              <w:pPr>
                <w:widowControl w:val="0"/>
                <w:suppressLineNumbers/>
                <w:suppressAutoHyphens/>
                <w:spacing w:line="276" w:lineRule="auto"/>
                <w:rPr>
                  <w:rFonts w:eastAsia="Andale Sans UI" w:cs="Tahoma"/>
                  <w:szCs w:val="24"/>
                  <w:lang w:bidi="en-US"/>
                </w:rPr>
              </w:pPr>
              <w:r>
                <w:rPr>
                  <w:rFonts w:eastAsia="Andale Sans UI" w:cs="Tahoma"/>
                  <w:szCs w:val="24"/>
                  <w:lang w:bidi="en-US"/>
                </w:rPr>
                <w:t>Lietuvos pramonininkų konfederacijai</w:t>
              </w:r>
            </w:p>
            <w:p>
              <w:pPr>
                <w:widowControl w:val="0"/>
                <w:suppressLineNumbers/>
                <w:tabs>
                  <w:tab w:val="center" w:pos="4800"/>
                  <w:tab w:val="right" w:pos="9601"/>
                </w:tabs>
                <w:suppressAutoHyphens/>
                <w:rPr>
                  <w:rFonts w:eastAsia="Andale Sans UI" w:cs="Tahoma"/>
                  <w:b/>
                  <w:szCs w:val="24"/>
                  <w:lang w:bidi="en-US"/>
                </w:rPr>
              </w:pPr>
            </w:p>
          </w:sdtContent>
        </w:sdt>
      </w:sdtContent>
    </w:sdt>
    <w:sectPr>
      <w:headerReference w:type="even" r:id="rId12"/>
      <w:footerReference w:type="default" r:id="rId13"/>
      <w:headerReference w:type="first" r:id="rId14"/>
      <w:footerReference w:type="first" r:id="rId15"/>
      <w:footnotePr>
        <w:pos w:val="beneathText"/>
      </w:footnotePr>
      <w:pgSz w:w="11905" w:h="16837"/>
      <w:pgMar w:top="1134" w:right="567" w:bottom="907"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widowControl w:val="0"/>
        <w:suppressAutoHyphens/>
        <w:rPr>
          <w:rFonts w:eastAsia="Andale Sans UI" w:cs="Tahoma"/>
          <w:szCs w:val="24"/>
          <w:lang w:bidi="en-US"/>
        </w:rPr>
      </w:pPr>
      <w:r>
        <w:rPr>
          <w:rFonts w:eastAsia="Andale Sans UI" w:cs="Tahoma"/>
          <w:szCs w:val="24"/>
          <w:lang w:bidi="en-US"/>
        </w:rPr>
        <w:separator/>
      </w:r>
    </w:p>
  </w:endnote>
  <w:endnote w:type="continuationSeparator" w:id="0">
    <w:p>
      <w:pPr>
        <w:widowControl w:val="0"/>
        <w:suppressAutoHyphens/>
        <w:rPr>
          <w:rFonts w:eastAsia="Andale Sans UI" w:cs="Tahoma"/>
          <w:szCs w:val="24"/>
          <w:lang w:bidi="en-US"/>
        </w:rPr>
      </w:pPr>
      <w:r>
        <w:rPr>
          <w:rFonts w:eastAsia="Andale Sans UI" w:cs="Tahoma"/>
          <w:szCs w:val="24"/>
          <w:lang w:bidi="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Andale Sans UI">
    <w:altName w:val="Century Gothic"/>
    <w:charset w:val="BA"/>
    <w:family w:val="swiss"/>
    <w:pitch w:val="variable"/>
    <w:sig w:usb0="00000287" w:usb1="00000000" w:usb2="00000000" w:usb3="00000000" w:csb0="000000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widowControl w:val="0"/>
      <w:suppressLineNumbers/>
      <w:tabs>
        <w:tab w:val="center" w:pos="4800"/>
        <w:tab w:val="right" w:pos="9601"/>
      </w:tabs>
      <w:suppressAutoHyphens/>
      <w:jc w:val="right"/>
      <w:rPr>
        <w:rFonts w:eastAsia="Andale Sans UI" w:cs="Tahoma"/>
        <w:szCs w:val="24"/>
        <w:lang w:bidi="en-US"/>
      </w:rPr>
    </w:pPr>
    <w:r>
      <w:rPr>
        <w:rFonts w:eastAsia="Andale Sans UI" w:cs="Tahoma"/>
        <w:szCs w:val="24"/>
        <w:lang w:val="en-US"/>
      </w:rPr>
      <w:drawing>
        <wp:inline distT="0" distB="0" distL="0" distR="0" wp14:anchorId="05FE4C0E" wp14:editId="07B85A41">
          <wp:extent cx="466725" cy="762000"/>
          <wp:effectExtent l="19050" t="0" r="9525" b="0"/>
          <wp:docPr id="2" name="Picture 2" descr="emas_zenklas_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mas_zenklas_grey"/>
                  <pic:cNvPicPr>
                    <a:picLocks noChangeAspect="1" noChangeArrowheads="1"/>
                  </pic:cNvPicPr>
                </pic:nvPicPr>
                <pic:blipFill>
                  <a:blip r:embed="rId1"/>
                  <a:srcRect/>
                  <a:stretch>
                    <a:fillRect/>
                  </a:stretch>
                </pic:blipFill>
                <pic:spPr bwMode="auto">
                  <a:xfrm>
                    <a:off x="0" y="0"/>
                    <a:ext cx="466725" cy="762000"/>
                  </a:xfrm>
                  <a:prstGeom prst="rect">
                    <a:avLst/>
                  </a:prstGeom>
                  <a:noFill/>
                  <a:ln w="9525">
                    <a:noFill/>
                    <a:miter lim="800000"/>
                    <a:headEnd/>
                    <a:tailEnd/>
                  </a:ln>
                </pic:spPr>
              </pic:pic>
            </a:graphicData>
          </a:graphic>
        </wp:inline>
      </w:drawing>
    </w: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widowControl w:val="0"/>
      <w:suppressLineNumbers/>
      <w:tabs>
        <w:tab w:val="center" w:pos="4800"/>
        <w:tab w:val="right" w:pos="9601"/>
      </w:tabs>
      <w:suppressAutoHyphens/>
      <w:jc w:val="right"/>
      <w:rPr>
        <w:rFonts w:eastAsia="Andale Sans UI" w:cs="Tahoma"/>
        <w:szCs w:val="24"/>
        <w:lang w:bidi="en-US"/>
      </w:rPr>
    </w:pPr>
    <w:r>
      <w:rPr>
        <w:rFonts w:eastAsia="Andale Sans UI" w:cs="Tahoma"/>
        <w:szCs w:val="24"/>
        <w:lang w:val="en-US"/>
      </w:rPr>
      <w:drawing>
        <wp:inline distT="0" distB="0" distL="0" distR="0" wp14:anchorId="3BA32CE8" wp14:editId="7DFE9399">
          <wp:extent cx="1666875" cy="523875"/>
          <wp:effectExtent l="0" t="0" r="9525" b="9525"/>
          <wp:docPr id="4" name="Picture 4" descr="atkurtailietuvai100-horizontalus-logo-tamsus-spalvotas-cmy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tkurtailietuvai100-horizontalus-logo-tamsus-spalvotas-cmyk"/>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1666875" cy="523875"/>
                  </a:xfrm>
                  <a:prstGeom prst="rect">
                    <a:avLst/>
                  </a:prstGeom>
                  <a:noFill/>
                  <a:ln>
                    <a:noFill/>
                  </a:ln>
                </pic:spPr>
              </pic:pic>
            </a:graphicData>
          </a:graphic>
        </wp:inline>
      </w:drawing>
      <w:drawing>
        <wp:inline distT="0" distB="0" distL="0" distR="0" wp14:anchorId="2A716293" wp14:editId="5ADF5CF8">
          <wp:extent cx="466725" cy="762000"/>
          <wp:effectExtent l="19050" t="0" r="9525" b="0"/>
          <wp:docPr id="6" name="Picture 6" descr="emas_zenklas_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mas_zenklas_grey"/>
                  <pic:cNvPicPr>
                    <a:picLocks noChangeAspect="1" noChangeArrowheads="1"/>
                  </pic:cNvPicPr>
                </pic:nvPicPr>
                <pic:blipFill>
                  <a:blip r:embed="rId3"/>
                  <a:srcRect/>
                  <a:stretch>
                    <a:fillRect/>
                  </a:stretch>
                </pic:blipFill>
                <pic:spPr bwMode="auto">
                  <a:xfrm>
                    <a:off x="0" y="0"/>
                    <a:ext cx="466725" cy="762000"/>
                  </a:xfrm>
                  <a:prstGeom prst="rect">
                    <a:avLst/>
                  </a:prstGeom>
                  <a:noFill/>
                  <a:ln w="9525">
                    <a:noFill/>
                    <a:miter lim="800000"/>
                    <a:headEnd/>
                    <a:tailEnd/>
                  </a:ln>
                </pic:spPr>
              </pic:pic>
            </a:graphicData>
          </a:graphic>
        </wp:inline>
      </w:drawing>
    </w: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widowControl w:val="0"/>
        <w:suppressAutoHyphens/>
        <w:rPr>
          <w:rFonts w:eastAsia="Andale Sans UI" w:cs="Tahoma"/>
          <w:szCs w:val="24"/>
          <w:lang w:bidi="en-US"/>
        </w:rPr>
      </w:pPr>
      <w:r>
        <w:rPr>
          <w:rFonts w:eastAsia="Andale Sans UI" w:cs="Tahoma"/>
          <w:szCs w:val="24"/>
          <w:lang w:bidi="en-US"/>
        </w:rPr>
        <w:separator/>
      </w:r>
    </w:p>
  </w:footnote>
  <w:footnote w:type="continuationSeparator" w:id="0">
    <w:p>
      <w:pPr>
        <w:widowControl w:val="0"/>
        <w:suppressAutoHyphens/>
        <w:rPr>
          <w:rFonts w:eastAsia="Andale Sans UI" w:cs="Tahoma"/>
          <w:szCs w:val="24"/>
          <w:lang w:bidi="en-US"/>
        </w:rPr>
      </w:pPr>
      <w:r>
        <w:rPr>
          <w:rFonts w:eastAsia="Andale Sans UI" w:cs="Tahoma"/>
          <w:szCs w:val="24"/>
          <w:lang w:bidi="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widowControl w:val="0"/>
      <w:suppressLineNumbers/>
      <w:tabs>
        <w:tab w:val="center" w:pos="4800"/>
        <w:tab w:val="right" w:pos="9601"/>
      </w:tabs>
      <w:suppressAutoHyphens/>
      <w:jc w:val="center"/>
      <w:rPr>
        <w:rFonts w:eastAsia="Andale Sans UI" w:cs="Tahoma"/>
        <w:szCs w:val="24"/>
        <w:lang w:bidi="en-US"/>
      </w:rPr>
    </w:pPr>
  </w:p>
  <w:p>
    <w:pPr>
      <w:widowControl w:val="0"/>
      <w:suppressLineNumbers/>
      <w:tabs>
        <w:tab w:val="center" w:pos="4800"/>
        <w:tab w:val="right" w:pos="9601"/>
      </w:tabs>
      <w:suppressAutoHyphens/>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widowControl w:val="0"/>
      <w:suppressLineNumbers/>
      <w:tabs>
        <w:tab w:val="center" w:pos="4800"/>
        <w:tab w:val="right" w:pos="9601"/>
      </w:tabs>
      <w:suppressAutoHyphens/>
      <w:jc w:val="center"/>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PAGE   \* MERGEFORMAT</w:instrText>
    </w:r>
    <w:r>
      <w:rPr>
        <w:rFonts w:eastAsia="Andale Sans UI" w:cs="Tahoma"/>
        <w:szCs w:val="24"/>
        <w:lang w:bidi="en-US"/>
      </w:rPr>
      <w:fldChar w:fldCharType="separate"/>
    </w:r>
    <w:r>
      <w:rPr>
        <w:rFonts w:eastAsia="Andale Sans UI" w:cs="Tahoma"/>
        <w:szCs w:val="24"/>
        <w:lang w:bidi="en-US"/>
      </w:rPr>
      <w:t>1</w:t>
    </w:r>
    <w:r>
      <w:rPr>
        <w:rFonts w:eastAsia="Andale Sans UI" w:cs="Tahoma"/>
        <w:szCs w:val="24"/>
        <w:lang w:bidi="en-US"/>
      </w:rPr>
      <w:fldChar w:fldCharType="end"/>
    </w:r>
  </w:p>
  <w:p>
    <w:pPr>
      <w:widowControl w:val="0"/>
      <w:suppressLineNumbers/>
      <w:tabs>
        <w:tab w:val="center" w:pos="4800"/>
        <w:tab w:val="right" w:pos="9601"/>
      </w:tabs>
      <w:suppressAutoHyphens/>
      <w:rPr>
        <w:rFonts w:eastAsia="Andale Sans UI" w:cs="Tahoma"/>
        <w:szCs w:val="24"/>
        <w:lang w:bidi="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defaultTabStop w:val="170"/>
  <w:hyphenationZone w:val="396"/>
  <w:doNotHyphenateCaps/>
  <w:evenAndOddHeaders/>
  <w:drawingGridHorizontalSpacing w:val="120"/>
  <w:drawingGridVerticalSpacing w:val="0"/>
  <w:displayHorizontalDrawingGridEvery w:val="0"/>
  <w:displayVerticalDrawingGridEvery w:val="0"/>
  <w:noPunctuationKerning/>
  <w:characterSpacingControl w:val="doNotCompress"/>
  <w:strictFirstAndLastChars/>
  <w:hdrShapeDefaults>
    <o:shapedefaults v:ext="edit" spidmax="75777"/>
  </w:hdrShapeDefaults>
  <w:footnotePr>
    <w:pos w:val="beneathText"/>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244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75777"/>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01801083">
      <w:bodyDiv w:val="1"/>
      <w:marLeft w:val="225"/>
      <w:marRight w:val="225"/>
      <w:marTop w:val="0"/>
      <w:marBottom w:val="0"/>
      <w:divBdr>
        <w:top w:val="none" w:sz="0" w:space="0" w:color="auto"/>
        <w:left w:val="none" w:sz="0" w:space="0" w:color="auto"/>
        <w:bottom w:val="none" w:sz="0" w:space="0" w:color="auto"/>
        <w:right w:val="none" w:sz="0" w:space="0" w:color="auto"/>
      </w:divBdr>
      <w:divsChild>
        <w:div w:id="1636793389">
          <w:marLeft w:val="0"/>
          <w:marRight w:val="0"/>
          <w:marTop w:val="0"/>
          <w:marBottom w:val="0"/>
          <w:divBdr>
            <w:top w:val="none" w:sz="0" w:space="0" w:color="auto"/>
            <w:left w:val="none" w:sz="0" w:space="0" w:color="auto"/>
            <w:bottom w:val="none" w:sz="0" w:space="0" w:color="auto"/>
            <w:right w:val="none" w:sz="0" w:space="0" w:color="auto"/>
          </w:divBdr>
        </w:div>
      </w:divsChild>
    </w:div>
    <w:div w:id="146828498">
      <w:bodyDiv w:val="1"/>
      <w:marLeft w:val="225"/>
      <w:marRight w:val="225"/>
      <w:marTop w:val="0"/>
      <w:marBottom w:val="0"/>
      <w:divBdr>
        <w:top w:val="none" w:sz="0" w:space="0" w:color="auto"/>
        <w:left w:val="none" w:sz="0" w:space="0" w:color="auto"/>
        <w:bottom w:val="none" w:sz="0" w:space="0" w:color="auto"/>
        <w:right w:val="none" w:sz="0" w:space="0" w:color="auto"/>
      </w:divBdr>
      <w:divsChild>
        <w:div w:id="838352674">
          <w:marLeft w:val="0"/>
          <w:marRight w:val="0"/>
          <w:marTop w:val="0"/>
          <w:marBottom w:val="0"/>
          <w:divBdr>
            <w:top w:val="none" w:sz="0" w:space="0" w:color="auto"/>
            <w:left w:val="none" w:sz="0" w:space="0" w:color="auto"/>
            <w:bottom w:val="none" w:sz="0" w:space="0" w:color="auto"/>
            <w:right w:val="none" w:sz="0" w:space="0" w:color="auto"/>
          </w:divBdr>
        </w:div>
      </w:divsChild>
    </w:div>
    <w:div w:id="350449322">
      <w:bodyDiv w:val="1"/>
      <w:marLeft w:val="0"/>
      <w:marRight w:val="0"/>
      <w:marTop w:val="0"/>
      <w:marBottom w:val="0"/>
      <w:divBdr>
        <w:top w:val="none" w:sz="0" w:space="0" w:color="auto"/>
        <w:left w:val="none" w:sz="0" w:space="0" w:color="auto"/>
        <w:bottom w:val="none" w:sz="0" w:space="0" w:color="auto"/>
        <w:right w:val="none" w:sz="0" w:space="0" w:color="auto"/>
      </w:divBdr>
    </w:div>
    <w:div w:id="400250277">
      <w:bodyDiv w:val="1"/>
      <w:marLeft w:val="0"/>
      <w:marRight w:val="0"/>
      <w:marTop w:val="0"/>
      <w:marBottom w:val="0"/>
      <w:divBdr>
        <w:top w:val="none" w:sz="0" w:space="0" w:color="auto"/>
        <w:left w:val="none" w:sz="0" w:space="0" w:color="auto"/>
        <w:bottom w:val="none" w:sz="0" w:space="0" w:color="auto"/>
        <w:right w:val="none" w:sz="0" w:space="0" w:color="auto"/>
      </w:divBdr>
    </w:div>
    <w:div w:id="576597463">
      <w:bodyDiv w:val="1"/>
      <w:marLeft w:val="0"/>
      <w:marRight w:val="0"/>
      <w:marTop w:val="0"/>
      <w:marBottom w:val="0"/>
      <w:divBdr>
        <w:top w:val="none" w:sz="0" w:space="0" w:color="auto"/>
        <w:left w:val="none" w:sz="0" w:space="0" w:color="auto"/>
        <w:bottom w:val="none" w:sz="0" w:space="0" w:color="auto"/>
        <w:right w:val="none" w:sz="0" w:space="0" w:color="auto"/>
      </w:divBdr>
    </w:div>
    <w:div w:id="741177765">
      <w:bodyDiv w:val="1"/>
      <w:marLeft w:val="225"/>
      <w:marRight w:val="225"/>
      <w:marTop w:val="0"/>
      <w:marBottom w:val="0"/>
      <w:divBdr>
        <w:top w:val="none" w:sz="0" w:space="0" w:color="auto"/>
        <w:left w:val="none" w:sz="0" w:space="0" w:color="auto"/>
        <w:bottom w:val="none" w:sz="0" w:space="0" w:color="auto"/>
        <w:right w:val="none" w:sz="0" w:space="0" w:color="auto"/>
      </w:divBdr>
      <w:divsChild>
        <w:div w:id="957250600">
          <w:marLeft w:val="0"/>
          <w:marRight w:val="0"/>
          <w:marTop w:val="0"/>
          <w:marBottom w:val="0"/>
          <w:divBdr>
            <w:top w:val="none" w:sz="0" w:space="0" w:color="auto"/>
            <w:left w:val="none" w:sz="0" w:space="0" w:color="auto"/>
            <w:bottom w:val="none" w:sz="0" w:space="0" w:color="auto"/>
            <w:right w:val="none" w:sz="0" w:space="0" w:color="auto"/>
          </w:divBdr>
        </w:div>
      </w:divsChild>
    </w:div>
    <w:div w:id="1268544614">
      <w:bodyDiv w:val="1"/>
      <w:marLeft w:val="0"/>
      <w:marRight w:val="0"/>
      <w:marTop w:val="0"/>
      <w:marBottom w:val="0"/>
      <w:divBdr>
        <w:top w:val="none" w:sz="0" w:space="0" w:color="auto"/>
        <w:left w:val="none" w:sz="0" w:space="0" w:color="auto"/>
        <w:bottom w:val="none" w:sz="0" w:space="0" w:color="auto"/>
        <w:right w:val="none" w:sz="0" w:space="0" w:color="auto"/>
      </w:divBdr>
    </w:div>
    <w:div w:id="1311398744">
      <w:bodyDiv w:val="1"/>
      <w:marLeft w:val="225"/>
      <w:marRight w:val="225"/>
      <w:marTop w:val="0"/>
      <w:marBottom w:val="0"/>
      <w:divBdr>
        <w:top w:val="none" w:sz="0" w:space="0" w:color="auto"/>
        <w:left w:val="none" w:sz="0" w:space="0" w:color="auto"/>
        <w:bottom w:val="none" w:sz="0" w:space="0" w:color="auto"/>
        <w:right w:val="none" w:sz="0" w:space="0" w:color="auto"/>
      </w:divBdr>
      <w:divsChild>
        <w:div w:id="2442353">
          <w:marLeft w:val="0"/>
          <w:marRight w:val="0"/>
          <w:marTop w:val="0"/>
          <w:marBottom w:val="0"/>
          <w:divBdr>
            <w:top w:val="none" w:sz="0" w:space="0" w:color="auto"/>
            <w:left w:val="none" w:sz="0" w:space="0" w:color="auto"/>
            <w:bottom w:val="none" w:sz="0" w:space="0" w:color="auto"/>
            <w:right w:val="none" w:sz="0" w:space="0" w:color="auto"/>
          </w:divBdr>
        </w:div>
      </w:divsChild>
    </w:div>
    <w:div w:id="1502233671">
      <w:bodyDiv w:val="1"/>
      <w:marLeft w:val="225"/>
      <w:marRight w:val="225"/>
      <w:marTop w:val="0"/>
      <w:marBottom w:val="0"/>
      <w:divBdr>
        <w:top w:val="none" w:sz="0" w:space="0" w:color="auto"/>
        <w:left w:val="none" w:sz="0" w:space="0" w:color="auto"/>
        <w:bottom w:val="none" w:sz="0" w:space="0" w:color="auto"/>
        <w:right w:val="none" w:sz="0" w:space="0" w:color="auto"/>
      </w:divBdr>
      <w:divsChild>
        <w:div w:id="877281637">
          <w:marLeft w:val="0"/>
          <w:marRight w:val="0"/>
          <w:marTop w:val="0"/>
          <w:marBottom w:val="0"/>
          <w:divBdr>
            <w:top w:val="none" w:sz="0" w:space="0" w:color="auto"/>
            <w:left w:val="none" w:sz="0" w:space="0" w:color="auto"/>
            <w:bottom w:val="none" w:sz="0" w:space="0" w:color="auto"/>
            <w:right w:val="none" w:sz="0" w:space="0" w:color="auto"/>
          </w:divBdr>
        </w:div>
      </w:divsChild>
    </w:div>
    <w:div w:id="1657492984">
      <w:bodyDiv w:val="1"/>
      <w:marLeft w:val="0"/>
      <w:marRight w:val="0"/>
      <w:marTop w:val="0"/>
      <w:marBottom w:val="0"/>
      <w:divBdr>
        <w:top w:val="none" w:sz="0" w:space="0" w:color="auto"/>
        <w:left w:val="none" w:sz="0" w:space="0" w:color="auto"/>
        <w:bottom w:val="none" w:sz="0" w:space="0" w:color="auto"/>
        <w:right w:val="none" w:sz="0" w:space="0" w:color="auto"/>
      </w:divBdr>
    </w:div>
    <w:div w:id="1667978210">
      <w:bodyDiv w:val="1"/>
      <w:marLeft w:val="0"/>
      <w:marRight w:val="0"/>
      <w:marTop w:val="0"/>
      <w:marBottom w:val="0"/>
      <w:divBdr>
        <w:top w:val="none" w:sz="0" w:space="0" w:color="auto"/>
        <w:left w:val="none" w:sz="0" w:space="0" w:color="auto"/>
        <w:bottom w:val="none" w:sz="0" w:space="0" w:color="auto"/>
        <w:right w:val="none" w:sz="0" w:space="0" w:color="auto"/>
      </w:divBdr>
    </w:div>
    <w:div w:id="1733651875">
      <w:bodyDiv w:val="1"/>
      <w:marLeft w:val="225"/>
      <w:marRight w:val="225"/>
      <w:marTop w:val="0"/>
      <w:marBottom w:val="0"/>
      <w:divBdr>
        <w:top w:val="none" w:sz="0" w:space="0" w:color="auto"/>
        <w:left w:val="none" w:sz="0" w:space="0" w:color="auto"/>
        <w:bottom w:val="none" w:sz="0" w:space="0" w:color="auto"/>
        <w:right w:val="none" w:sz="0" w:space="0" w:color="auto"/>
      </w:divBdr>
      <w:divsChild>
        <w:div w:id="963927313">
          <w:marLeft w:val="0"/>
          <w:marRight w:val="0"/>
          <w:marTop w:val="0"/>
          <w:marBottom w:val="0"/>
          <w:divBdr>
            <w:top w:val="none" w:sz="0" w:space="0" w:color="auto"/>
            <w:left w:val="none" w:sz="0" w:space="0" w:color="auto"/>
            <w:bottom w:val="none" w:sz="0" w:space="0" w:color="auto"/>
            <w:right w:val="none" w:sz="0" w:space="0" w:color="auto"/>
          </w:divBdr>
        </w:div>
      </w:divsChild>
    </w:div>
    <w:div w:id="1968122811">
      <w:bodyDiv w:val="1"/>
      <w:marLeft w:val="0"/>
      <w:marRight w:val="0"/>
      <w:marTop w:val="0"/>
      <w:marBottom w:val="0"/>
      <w:divBdr>
        <w:top w:val="none" w:sz="0" w:space="0" w:color="auto"/>
        <w:left w:val="none" w:sz="0" w:space="0" w:color="auto"/>
        <w:bottom w:val="none" w:sz="0" w:space="0" w:color="auto"/>
        <w:right w:val="none" w:sz="0" w:space="0" w:color="auto"/>
      </w:divBdr>
    </w:div>
    <w:div w:id="20237768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2" Type="http://schemas.openxmlformats.org/officeDocument/2006/relationships/header" Target="header1.xml"/>
  <Relationship Id="rId13" Type="http://schemas.openxmlformats.org/officeDocument/2006/relationships/footer" Target="footer1.xml"/>
  <Relationship Id="rId14" Type="http://schemas.openxmlformats.org/officeDocument/2006/relationships/header" Target="header2.xml"/>
  <Relationship Id="rId15" Type="http://schemas.openxmlformats.org/officeDocument/2006/relationships/footer" Target="footer2.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image" Target="media/image1.png"/>
</Relationships>

</file>

<file path=word/_rels/footer1.xml.rels><?xml version="1.0" encoding="UTF-8"?>

<Relationships xmlns="http://schemas.openxmlformats.org/package/2006/relationships">
  <Relationship Id="rId1" Type="http://schemas.openxmlformats.org/officeDocument/2006/relationships/image" Target="media/image2.jpeg"/>
</Relationships>

</file>

<file path=word/_rels/footer2.xml.rels><?xml version="1.0" encoding="UTF-8"?>

<Relationships xmlns="http://schemas.openxmlformats.org/package/2006/relationships">
  <Relationship Id="rId1" Type="http://schemas.openxmlformats.org/officeDocument/2006/relationships/image" Target="media/image3.jpeg"/>
  <Relationship Id="rId2" Type="http://schemas.openxmlformats.org/officeDocument/2006/relationships/image" TargetMode="External" Target="cid:image001.jpg@01D29343.2557F920"/>
  <Relationship Id="rId3" Type="http://schemas.openxmlformats.org/officeDocument/2006/relationships/image" Target="media/image2.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lentele" DocPartId="c8db888073e646209cc535bd1ac627aa" PartId="c10a4394ae9b4bec88d27988f035e97c"/>
  <Part Type="pastraipa" DocPartId="2ebe5fcc36a04f9980cb314a9067ac9d" PartId="d8f364f521b24a438725334bd9bb6836"/>
  <Part Type="pastraipa" DocPartId="4040d3fa3c634b4a95ae5ae9bfb3f2c7" PartId="10a1cac6b20940b4b14a8a4a0e761fc7"/>
  <Part Type="pastraipa" DocPartId="3e02ba6becc944dd87a02deb6a672e4d" PartId="48284130dc164e858be4cbc7388e10fc"/>
  <Part Type="pastraipa" DocPartId="6eb34b4a344d4a9783e25d79d7e0e732" PartId="9afa2e57bc3e455386f8c398cb89b004"/>
  <Part Type="pastraipa" DocPartId="08a001d2ac4648a895ef0a2ae25754a5" PartId="ef9d8a89427044eca3988683cce72d62"/>
  <Part Type="pastraipa" DocPartId="e70e13763a7446c5b74a57aedc74bd31" PartId="06d608a043d94ca388f5563530e2e7d0"/>
  <Part Type="pastraipa" DocPartId="f7c3771fb17b4960b066b2011c7f6305" PartId="aa67e0aae3954f50badcb719e84750af"/>
  <Part Type="pastraipa" DocPartId="59dc2d48f7d3491397aed2562345263f" PartId="1b496c3dccad42bc9d5632aaf448aa7d">
    <Part Type="punktas" Nr="1" Abbr="1 p." DocPartId="2396b1eb037b4441b6a30f79e7618c7c" PartId="8f80007fd04142ed95b98dcf28dca8f8"/>
    <Part Type="punktas" Nr="2" Abbr="2 p." DocPartId="372eec66ba1344849edda361e6c1a01a" PartId="4dd0c1181bea4705bc2217e4e0d32210"/>
    <Part Type="punktas" Nr="3" Abbr="3 p." DocPartId="ccc7168b39e94f56b456eff07db652e7" PartId="bfd5bd72faf9444788a882c7af7851b4"/>
    <Part Type="punktas" Nr="4" Abbr="4 p." DocPartId="e55edca7b0144e23881a860129bb1c84" PartId="1880aacb8d8c41a0a013c40b3380353e"/>
    <Part Type="punktas" Nr="5" Abbr="5 p." DocPartId="1719171bb05646b98ed93322478fab57" PartId="b6a4a0ff0c5b47508bcc15373590733c"/>
    <Part Type="punktas" Nr="6" Abbr="6 p." DocPartId="e107706eba874955b60e71bfdc944282" PartId="26cf2a44f61043d2ba524f95d16371f9"/>
    <Part Type="punktas" Nr="7" Abbr="7 p." DocPartId="d77d7bec2ccc4454bbbaa09e83606fd2" PartId="984b738b0ea3443facea2b370e72e5d9"/>
    <Part Type="signatura" DocPartId="571f97bb0c404e7fbbf93791a53eef92" PartId="96d40d1436b947699aacd87555de0856"/>
  </Part>
</Parts>
</file>

<file path=customXml/itemProps1.xml><?xml version="1.0" encoding="utf-8"?>
<ds:datastoreItem xmlns:ds="http://schemas.openxmlformats.org/officeDocument/2006/customXml" ds:itemID="{56511FB0-F2BD-4E2A-BAB5-90A9FE8CD19C}">
  <ds:schemaRefs>
    <ds:schemaRef ds:uri="http://schemas.openxmlformats.org/officeDocument/2006/bibliography"/>
  </ds:schemaRefs>
</ds:datastoreItem>
</file>

<file path=customXml/itemProps2.xml><?xml version="1.0" encoding="utf-8"?>
<ds:datastoreItem xmlns:ds="http://schemas.openxmlformats.org/officeDocument/2006/customXml" ds:itemID="{AE565899-F1EA-4583-ADFC-AC1BAD92278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443</Words>
  <Characters>3565</Characters>
  <Application>Microsoft Office Word</Application>
  <DocSecurity>4</DocSecurity>
  <Lines>137</Lines>
  <Paragraphs>53</Paragraphs>
  <ScaleCrop>false</ScaleCrop>
  <HeadingPairs>
    <vt:vector size="2" baseType="variant">
      <vt:variant>
        <vt:lpstr>Title</vt:lpstr>
      </vt:variant>
      <vt:variant>
        <vt:i4>1</vt:i4>
      </vt:variant>
    </vt:vector>
  </HeadingPairs>
  <TitlesOfParts>
    <vt:vector size="1" baseType="lpstr">
      <vt:lpstr/>
    </vt:vector>
  </TitlesOfParts>
  <Company>AM</Company>
  <LinksUpToDate>false</LinksUpToDate>
  <CharactersWithSpaces>3955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2021-05-12T13:22:00Z</dcterms:created>
  <dc:creator>v-rumbutiene</dc:creator>
  <lastModifiedBy>adlibuser</lastModifiedBy>
  <lastPrinted>2017-09-08T10:17:00Z</lastPrinted>
  <dcterms:modified xsi:type="dcterms:W3CDTF">2021-05-12T13:22:00Z</dcterms:modified>
  <revision>2</revision>
</coreProperties>
</file>