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348a43251d4cf7ba0e40a83153b53d"/>
        <w:lock w:val="sdtLocked"/>
        <w:richText/>
      </w:sdtPr>
      <w:sdtContent>
        <w:p>
          <w:pPr>
            <w:rPr>
              <w:sz w:val="20"/>
            </w:rPr>
          </w:pPr>
        </w:p>
        <w:sdt>
          <w:sdtPr>
            <w:alias w:val="6.2 pp."/>
            <w:tag w:val="part_c2657565e468462b994a1dee5dde925b"/>
            <w:lock w:val="sdtLocked"/>
            <w:richText/>
          </w:sdtPr>
          <w:sdtContent>
            <w:p>
              <w:pPr>
                <w:keepNext/>
                <w:keepLines/>
                <w:suppressAutoHyphens/>
                <w:spacing w:line="280" w:lineRule="atLeast"/>
                <w:jc w:val="both"/>
                <w:outlineLvl w:val="2"/>
                <w:rPr>
                  <w:rFonts w:ascii="Verdana" w:hAnsi="Verdana"/>
                  <w:b/>
                  <w:color w:val="000000"/>
                  <w:sz w:val="20"/>
                  <w:szCs w:val="26"/>
                  <w:lang w:eastAsia="lt-LT"/>
                </w:rPr>
              </w:pPr>
              <w:sdt>
                <w:sdtPr>
                  <w:alias w:val="Numeris"/>
                  <w:tag w:val="nr_c2657565e468462b994a1dee5dde925b"/>
                  <w:lock w:val="sdtLocked"/>
                  <w:richText/>
                </w:sdtPr>
                <w:sdtContent>
                  <w:r>
                    <w:rPr>
                      <w:rFonts w:ascii="Verdana" w:hAnsi="Verdana"/>
                      <w:b/>
                      <w:color w:val="000000"/>
                      <w:sz w:val="20"/>
                      <w:szCs w:val="26"/>
                      <w:lang w:eastAsia="lt-LT"/>
                    </w:rPr>
                    <w:t>6.2</w:t>
                  </w:r>
                </w:sdtContent>
              </w:sdt>
              <w:r>
                <w:rPr>
                  <w:rFonts w:ascii="Verdana" w:hAnsi="Verdana"/>
                  <w:b/>
                  <w:color w:val="000000"/>
                  <w:sz w:val="20"/>
                  <w:szCs w:val="26"/>
                  <w:lang w:eastAsia="lt-LT"/>
                </w:rPr>
                <w:t xml:space="preserve">.   Bevariklio transporto sprendinių įgyvenimo prioritetai</w:t>
              </w:r>
            </w:p>
            <w:p>
              <w:pPr>
                <w:rPr>
                  <w:sz w:val="16"/>
                  <w:szCs w:val="16"/>
                </w:rPr>
              </w:pPr>
            </w:p>
            <w:p>
              <w:pPr>
                <w:spacing w:line="280" w:lineRule="atLeast"/>
                <w:rPr>
                  <w:sz w:val="22"/>
                  <w:szCs w:val="22"/>
                </w:rPr>
              </w:pPr>
              <w:r>
                <w:rPr>
                  <w:sz w:val="22"/>
                  <w:szCs w:val="22"/>
                </w:rPr>
                <w:t>Bevariklio transporto trasų įgyvendinimo prioritetai išskirti siekiant pagerinti tinklo rišlumą, įvertinant esamą situaciją, teikiamą naudą bei atsižvelgiant į gyventojų išreikštas pastabas ir pageidavimus.</w:t>
              </w:r>
            </w:p>
            <w:p>
              <w:pPr>
                <w:spacing w:line="280" w:lineRule="atLeast"/>
                <w:rPr>
                  <w:sz w:val="22"/>
                  <w:szCs w:val="22"/>
                </w:rPr>
              </w:pPr>
            </w:p>
            <w:p>
              <w:pPr>
                <w:spacing w:line="280" w:lineRule="atLeast"/>
                <w:rPr>
                  <w:i/>
                  <w:sz w:val="18"/>
                  <w:szCs w:val="18"/>
                </w:rPr>
              </w:pPr>
              <w:r>
                <w:rPr>
                  <w:b/>
                  <w:i/>
                  <w:sz w:val="18"/>
                  <w:szCs w:val="18"/>
                  <w:lang w:eastAsia="da-DK"/>
                </w:rPr>
                <w:t xml:space="preserve">69 lentelė. </w:t>
              </w:r>
              <w:r>
                <w:rPr>
                  <w:i/>
                  <w:sz w:val="18"/>
                  <w:szCs w:val="18"/>
                </w:rPr>
                <w:t>Dviračių bei pėsčiųjų ir dviračių takų, dviračių eismo juostų</w:t>
              </w:r>
              <w:r>
                <w:rPr>
                  <w:b/>
                  <w:i/>
                  <w:sz w:val="18"/>
                  <w:szCs w:val="18"/>
                </w:rPr>
                <w:t>, dviračių gatvių</w:t>
              </w:r>
              <w:r>
                <w:rPr>
                  <w:i/>
                  <w:sz w:val="18"/>
                  <w:szCs w:val="18"/>
                </w:rPr>
                <w:t xml:space="preserve"> įrengimo ir rekonstravimo prioritetinės atkarpos (žr. Dviračių tinklo plėtros schemą)</w:t>
              </w:r>
            </w:p>
            <w:p>
              <w:pPr>
                <w:spacing w:line="280" w:lineRule="atLeast"/>
                <w:rPr>
                  <w:i/>
                  <w:szCs w:val="24"/>
                </w:rPr>
              </w:pPr>
            </w:p>
            <w:tbl>
              <w:tblPr>
                <w:tblW w:w="9628" w:type="dxa"/>
                <w:tblInd w:w="-10" w:type="dxa"/>
                <w:tblLook w:val="04A0" w:firstRow="1" w:lastRow="0" w:firstColumn="1" w:lastColumn="0" w:noHBand="0" w:noVBand="1"/>
              </w:tblPr>
              <w:tblGrid>
                <w:gridCol w:w="637"/>
                <w:gridCol w:w="2221"/>
                <w:gridCol w:w="2622"/>
                <w:gridCol w:w="1741"/>
                <w:gridCol w:w="719"/>
                <w:gridCol w:w="1690"/>
              </w:tblGrid>
              <w:tr>
                <w:trPr>
                  <w:trHeight w:val="540"/>
                </w:trPr>
                <w:tc>
                  <w:tcPr>
                    <w:tcW w:w="637" w:type="dxa"/>
                    <w:tcBorders>
                      <w:top w:val="single" w:sz="8" w:space="0" w:color="auto"/>
                      <w:left w:val="single" w:sz="8" w:space="0" w:color="auto"/>
                      <w:bottom w:val="single" w:sz="8" w:space="0" w:color="auto"/>
                      <w:right w:val="single" w:sz="4" w:space="0" w:color="auto"/>
                    </w:tcBorders>
                    <w:shd w:val="clear" w:color="auto" w:fill="auto"/>
                    <w:vAlign w:val="center"/>
                    <w:hideMark/>
                  </w:tcPr>
                  <w:p>
                    <w:pPr>
                      <w:jc w:val="center"/>
                      <w:rPr>
                        <w:b/>
                        <w:bCs/>
                        <w:strike/>
                        <w:sz w:val="22"/>
                        <w:szCs w:val="22"/>
                        <w:lang w:eastAsia="lt-LT"/>
                      </w:rPr>
                    </w:pPr>
                    <w:r>
                      <w:rPr>
                        <w:b/>
                        <w:bCs/>
                        <w:strike/>
                        <w:sz w:val="22"/>
                        <w:szCs w:val="22"/>
                        <w:lang w:eastAsia="lt-LT"/>
                      </w:rPr>
                      <w:t>Eil. Nr.*</w:t>
                    </w:r>
                  </w:p>
                </w:tc>
                <w:tc>
                  <w:tcPr>
                    <w:tcW w:w="2221" w:type="dxa"/>
                    <w:tcBorders>
                      <w:top w:val="single" w:sz="8" w:space="0" w:color="auto"/>
                      <w:left w:val="nil"/>
                      <w:bottom w:val="single" w:sz="8" w:space="0" w:color="auto"/>
                      <w:right w:val="single" w:sz="4" w:space="0" w:color="auto"/>
                    </w:tcBorders>
                    <w:shd w:val="clear" w:color="auto" w:fill="auto"/>
                    <w:noWrap/>
                    <w:vAlign w:val="center"/>
                    <w:hideMark/>
                  </w:tcPr>
                  <w:p>
                    <w:pPr>
                      <w:jc w:val="center"/>
                      <w:rPr>
                        <w:b/>
                        <w:bCs/>
                        <w:strike/>
                        <w:sz w:val="22"/>
                        <w:szCs w:val="22"/>
                        <w:lang w:eastAsia="lt-LT"/>
                      </w:rPr>
                    </w:pPr>
                    <w:r>
                      <w:rPr>
                        <w:b/>
                        <w:bCs/>
                        <w:strike/>
                        <w:sz w:val="22"/>
                        <w:szCs w:val="22"/>
                        <w:lang w:eastAsia="lt-LT"/>
                      </w:rPr>
                      <w:t>Gatvė</w:t>
                    </w:r>
                  </w:p>
                </w:tc>
                <w:tc>
                  <w:tcPr>
                    <w:tcW w:w="2622" w:type="dxa"/>
                    <w:tcBorders>
                      <w:top w:val="single" w:sz="8" w:space="0" w:color="auto"/>
                      <w:left w:val="nil"/>
                      <w:bottom w:val="single" w:sz="8" w:space="0" w:color="auto"/>
                      <w:right w:val="single" w:sz="4" w:space="0" w:color="auto"/>
                    </w:tcBorders>
                    <w:shd w:val="clear" w:color="auto" w:fill="auto"/>
                    <w:noWrap/>
                    <w:vAlign w:val="center"/>
                    <w:hideMark/>
                  </w:tcPr>
                  <w:p>
                    <w:pPr>
                      <w:jc w:val="center"/>
                      <w:rPr>
                        <w:b/>
                        <w:bCs/>
                        <w:strike/>
                        <w:sz w:val="22"/>
                        <w:szCs w:val="22"/>
                        <w:lang w:eastAsia="lt-LT"/>
                      </w:rPr>
                    </w:pPr>
                    <w:r>
                      <w:rPr>
                        <w:b/>
                        <w:bCs/>
                        <w:strike/>
                        <w:sz w:val="22"/>
                        <w:szCs w:val="22"/>
                        <w:lang w:eastAsia="lt-LT"/>
                      </w:rPr>
                      <w:t>Atkarpa</w:t>
                    </w:r>
                  </w:p>
                </w:tc>
                <w:tc>
                  <w:tcPr>
                    <w:tcW w:w="1741" w:type="dxa"/>
                    <w:tcBorders>
                      <w:top w:val="single" w:sz="8" w:space="0" w:color="auto"/>
                      <w:left w:val="nil"/>
                      <w:bottom w:val="single" w:sz="8" w:space="0" w:color="auto"/>
                      <w:right w:val="single" w:sz="4" w:space="0" w:color="auto"/>
                    </w:tcBorders>
                    <w:shd w:val="clear" w:color="auto" w:fill="auto"/>
                    <w:vAlign w:val="center"/>
                    <w:hideMark/>
                  </w:tcPr>
                  <w:p>
                    <w:pPr>
                      <w:jc w:val="center"/>
                      <w:rPr>
                        <w:b/>
                        <w:bCs/>
                        <w:strike/>
                        <w:sz w:val="22"/>
                        <w:szCs w:val="22"/>
                        <w:lang w:eastAsia="lt-LT"/>
                      </w:rPr>
                    </w:pPr>
                    <w:r>
                      <w:rPr>
                        <w:b/>
                        <w:bCs/>
                        <w:strike/>
                        <w:sz w:val="22"/>
                        <w:szCs w:val="22"/>
                        <w:lang w:eastAsia="lt-LT"/>
                      </w:rPr>
                      <w:t>Planuojamai darbai**</w:t>
                    </w:r>
                  </w:p>
                </w:tc>
                <w:tc>
                  <w:tcPr>
                    <w:tcW w:w="717" w:type="dxa"/>
                    <w:tcBorders>
                      <w:top w:val="single" w:sz="8" w:space="0" w:color="auto"/>
                      <w:left w:val="nil"/>
                      <w:bottom w:val="single" w:sz="8" w:space="0" w:color="auto"/>
                      <w:right w:val="single" w:sz="4" w:space="0" w:color="auto"/>
                    </w:tcBorders>
                    <w:shd w:val="clear" w:color="auto" w:fill="auto"/>
                    <w:vAlign w:val="center"/>
                    <w:hideMark/>
                  </w:tcPr>
                  <w:p>
                    <w:pPr>
                      <w:jc w:val="center"/>
                      <w:rPr>
                        <w:b/>
                        <w:bCs/>
                        <w:strike/>
                        <w:sz w:val="22"/>
                        <w:szCs w:val="22"/>
                        <w:lang w:eastAsia="lt-LT"/>
                      </w:rPr>
                    </w:pPr>
                    <w:r>
                      <w:rPr>
                        <w:b/>
                        <w:bCs/>
                        <w:strike/>
                        <w:sz w:val="22"/>
                        <w:szCs w:val="22"/>
                        <w:lang w:eastAsia="lt-LT"/>
                      </w:rPr>
                      <w:t xml:space="preserve">Ilgis, km </w:t>
                    </w:r>
                  </w:p>
                </w:tc>
                <w:tc>
                  <w:tcPr>
                    <w:tcW w:w="1690" w:type="dxa"/>
                    <w:tcBorders>
                      <w:top w:val="single" w:sz="8" w:space="0" w:color="auto"/>
                      <w:left w:val="nil"/>
                      <w:bottom w:val="single" w:sz="8" w:space="0" w:color="auto"/>
                      <w:right w:val="single" w:sz="8" w:space="0" w:color="auto"/>
                    </w:tcBorders>
                    <w:shd w:val="clear" w:color="auto" w:fill="auto"/>
                    <w:vAlign w:val="center"/>
                    <w:hideMark/>
                  </w:tcPr>
                  <w:p>
                    <w:pPr>
                      <w:jc w:val="center"/>
                      <w:rPr>
                        <w:b/>
                        <w:bCs/>
                        <w:strike/>
                        <w:sz w:val="22"/>
                        <w:szCs w:val="22"/>
                        <w:lang w:eastAsia="lt-LT"/>
                      </w:rPr>
                    </w:pPr>
                    <w:r>
                      <w:rPr>
                        <w:b/>
                        <w:bCs/>
                        <w:strike/>
                        <w:sz w:val="22"/>
                        <w:szCs w:val="22"/>
                        <w:lang w:eastAsia="lt-LT"/>
                      </w:rPr>
                      <w:t>Įgyvendinimo metai***</w:t>
                    </w:r>
                  </w:p>
                </w:tc>
              </w:tr>
              <w:tr>
                <w:trPr>
                  <w:trHeight w:val="455"/>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Aviacijos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Aviacijos g. 50 – Parašiutų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0,82</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Aukštabalio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Išradėjų g. – Serbentų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1,82</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Dainų tak.</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Lyros g. – Aido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0,48</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Architektų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Gegužių g. – Jono Jablonskio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2,3</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Sevastopolio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Lieporių g. – Krymo g. 38</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0,18</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Statybininkų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 – Signatarų 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0,22</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2022–2023</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Serbentų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Aukštabalio g. – Pramonės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0,66</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2022–2030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Aerouosto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 – gatvės pabaiga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1,9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2023–2030 </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Lakūnų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Aerouosto g. – gatvės pabaiga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0,27</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tc>
              </w:tr>
              <w:tr>
                <w:trPr>
                  <w:trHeight w:val="492"/>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10.</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Takas Talkšos ež. Pakrantėje iki Tilžės g.</w:t>
                    </w:r>
                  </w:p>
                </w:tc>
                <w:tc>
                  <w:tcPr>
                    <w:tcW w:w="2622"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1,41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 Vytauto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0,36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Karaliaučiaus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Gegužių g. – miesto riba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1,44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Pramonės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 – Bačiūnų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4,55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14.</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Jono Jablonskio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Architektų g. – Jono Jablonskio g. 22</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0,36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Žemaitės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 xml:space="preserve">Dubijos g. – Dvaro g. </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2,32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16.</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Vilniaus g.</w:t>
                    </w:r>
                  </w:p>
                </w:tc>
                <w:tc>
                  <w:tcPr>
                    <w:tcW w:w="2622"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Draugystės pr. – miesto riba (link Kairių)</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2,56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Žuvininkų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Vilniaus g. – Šeduvos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0,28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Aušros al.</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 Kudirkos g. – Žemaitės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0,62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Žemaitės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Dvaro g. – Pakruojo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1,5</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20.</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Saulės tak.</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Lieporių g. – S. Dariaus ir S. Girėno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0,56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Aukštabalio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Aukštabalio g. 12 – Išradėjų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0,9 </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2023–2030 </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22.</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Tauro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Baltų g. – Pikeliškės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0,19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2023–2030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23.</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Takas nuo Aukštabalio g. iki Liejyklos g.</w:t>
                    </w:r>
                  </w:p>
                </w:tc>
                <w:tc>
                  <w:tcPr>
                    <w:tcW w:w="2622" w:type="dxa"/>
                    <w:tcBorders>
                      <w:top w:val="nil"/>
                      <w:left w:val="nil"/>
                      <w:bottom w:val="single" w:sz="4" w:space="0" w:color="auto"/>
                      <w:right w:val="single" w:sz="4" w:space="0" w:color="auto"/>
                    </w:tcBorders>
                    <w:shd w:val="clear" w:color="auto" w:fill="auto"/>
                    <w:noWrap/>
                    <w:vAlign w:val="center"/>
                    <w:hideMark/>
                  </w:tcPr>
                  <w:p>
                    <w:pPr>
                      <w:ind w:firstLine="57"/>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0,41</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24.</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Liejyklos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Liejyklos g. – Pramonės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0,58</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2023–2030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Vilniaus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Miesto riba – Žemaitės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1,87 </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26.</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 xml:space="preserve">Ragainės g. – Dubijos g. </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0,5 </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 99 – Ežero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1,46</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Bačiūnų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Per geležinkelį</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0,1</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Serbentų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Pramonės g. – Dubijos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1,34 </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30.</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Serbentų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 – Vilniaus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 xml:space="preserve">1,1 </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31.</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Takas tarp Ginkūnų ir Meškerių gatvių</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 xml:space="preserve">Rekonstravimas </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 xml:space="preserve">0,48 </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 Dariaus ir S. Girėno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Lieporių g. – Statybininkų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0,42</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p>
                    <w:pPr>
                      <w:jc w:val="center"/>
                      <w:rPr>
                        <w:b/>
                        <w:strike/>
                        <w:sz w:val="22"/>
                        <w:szCs w:val="22"/>
                        <w:lang w:eastAsia="lt-LT"/>
                      </w:rPr>
                    </w:pP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Lieporių g.</w:t>
                    </w:r>
                  </w:p>
                </w:tc>
                <w:tc>
                  <w:tcPr>
                    <w:tcW w:w="2622"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V. Grinkevičiaus g. – S. Dariaus ir S. Girėno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34.</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Sembos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Kalniškių g. – Jotvingių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0,55</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Statybininkų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Garažų g. – Latvių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0,43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2024–2030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36.</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Takai nuo Dainų parko takų iki Gardino g. tako</w:t>
                    </w:r>
                  </w:p>
                </w:tc>
                <w:tc>
                  <w:tcPr>
                    <w:tcW w:w="2622" w:type="dxa"/>
                    <w:tcBorders>
                      <w:top w:val="nil"/>
                      <w:left w:val="nil"/>
                      <w:bottom w:val="single" w:sz="4" w:space="0" w:color="auto"/>
                      <w:right w:val="single" w:sz="4" w:space="0" w:color="auto"/>
                    </w:tcBorders>
                    <w:shd w:val="clear" w:color="auto" w:fill="auto"/>
                    <w:noWrap/>
                    <w:vAlign w:val="center"/>
                    <w:hideMark/>
                  </w:tcPr>
                  <w:p>
                    <w:pPr>
                      <w:ind w:firstLine="57"/>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0,31</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2024–2030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Gegužių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Architektų g. – Tilžės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1,37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Serbentų g. – Aerouosto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1,79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39.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Ežero g. – Serbentų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1,43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40.</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 Bielskio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Panevėžio g. – J. Basanavičiaus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1,03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Išradėjų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Pramonės g. – K. Donelaičio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 Donelaičio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 – Išradėjų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1,19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Panevėžio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Birutės g. – V. Bielskio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1,18</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44.</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 Bielskio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 Basanavičiaus g. – Žemaitės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2025–2030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45.</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J. Basanavičiaus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V. Bielskio g. – Vaidoto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0,39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525"/>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46.</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 Daukanto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Vilniaus g. – Birutės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0,73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Birutės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Skroblų g. – Žemaitės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2,53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Dubijos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 Daukanto g. – Gumbinės g. 33C</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0,31</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49.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S. Daukanto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Pumpučių g. 19 – Vilniaus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1,15</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50.</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Takas nuo S. Daukanto g. iki Pumpučių g. 19</w:t>
                    </w:r>
                  </w:p>
                </w:tc>
                <w:tc>
                  <w:tcPr>
                    <w:tcW w:w="2622" w:type="dxa"/>
                    <w:tcBorders>
                      <w:top w:val="nil"/>
                      <w:left w:val="nil"/>
                      <w:bottom w:val="single" w:sz="4" w:space="0" w:color="auto"/>
                      <w:right w:val="single" w:sz="4" w:space="0" w:color="auto"/>
                    </w:tcBorders>
                    <w:shd w:val="clear" w:color="auto" w:fill="auto"/>
                    <w:noWrap/>
                    <w:vAlign w:val="center"/>
                    <w:hideMark/>
                  </w:tcPr>
                  <w:p>
                    <w:pPr>
                      <w:ind w:firstLine="57"/>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0,09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Tilžės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Pakruojo g. – miesto riba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0,67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Gytarių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 Korsako g. – Gegužių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0,38</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Gytarių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Kviečių g. – K. Korsako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0,36</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54.</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Takai nuo Dainų parko takų iki Tilžės g. tako</w:t>
                    </w:r>
                  </w:p>
                </w:tc>
                <w:tc>
                  <w:tcPr>
                    <w:tcW w:w="2622" w:type="dxa"/>
                    <w:tcBorders>
                      <w:top w:val="nil"/>
                      <w:left w:val="nil"/>
                      <w:bottom w:val="single" w:sz="4" w:space="0" w:color="auto"/>
                      <w:right w:val="single" w:sz="4" w:space="0" w:color="auto"/>
                    </w:tcBorders>
                    <w:shd w:val="clear" w:color="auto" w:fill="auto"/>
                    <w:noWrap/>
                    <w:vAlign w:val="center"/>
                    <w:hideMark/>
                  </w:tcPr>
                  <w:p>
                    <w:pPr>
                      <w:ind w:firstLine="57"/>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0,55</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Jono Jablonskio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Jono Jablonskio g. 22 – Tilžės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0,58</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792"/>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56.</w:t>
                    </w:r>
                  </w:p>
                </w:tc>
                <w:tc>
                  <w:tcPr>
                    <w:tcW w:w="222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Takas Rėkyvos parke ir takas nuo Rėkyvos parko iki Energetikų g.</w:t>
                    </w:r>
                  </w:p>
                </w:tc>
                <w:tc>
                  <w:tcPr>
                    <w:tcW w:w="2622" w:type="dxa"/>
                    <w:tcBorders>
                      <w:top w:val="nil"/>
                      <w:left w:val="nil"/>
                      <w:bottom w:val="single" w:sz="4" w:space="0" w:color="auto"/>
                      <w:right w:val="single" w:sz="4" w:space="0" w:color="auto"/>
                    </w:tcBorders>
                    <w:shd w:val="clear" w:color="auto" w:fill="auto"/>
                    <w:noWrap/>
                    <w:vAlign w:val="center"/>
                    <w:hideMark/>
                  </w:tcPr>
                  <w:p>
                    <w:pPr>
                      <w:ind w:firstLine="57"/>
                      <w:rPr>
                        <w:strike/>
                        <w:sz w:val="22"/>
                        <w:szCs w:val="22"/>
                        <w:lang w:eastAsia="lt-LT"/>
                      </w:rPr>
                    </w:pP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0,3</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Energetikų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Rėkyvos parko takas – Bačiūnų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0,45</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58.</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Bačiūnų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Pramonės g. – Dubijos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0,99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59.</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Žemynos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Žiogų g. – Pramonės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1,67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2026–2030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60.</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Žiogų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Žemynos g. – Bačiūnų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2,14</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2027–2030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Kviečių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Javų g. – Gytarių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0,67</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2027–2030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 Basanavičiaus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Žemaitės g. – V. Bielskio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1,96</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2027–2030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Dainų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Lyros g. – Lyros g. 24</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0,11</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2027–2030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64.</w:t>
                    </w:r>
                  </w:p>
                </w:tc>
                <w:tc>
                  <w:tcPr>
                    <w:tcW w:w="222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V. Bielskio g.</w:t>
                    </w:r>
                  </w:p>
                </w:tc>
                <w:tc>
                  <w:tcPr>
                    <w:tcW w:w="2622"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Miesto riba – Panevėžio g.</w:t>
                    </w:r>
                  </w:p>
                </w:tc>
                <w:tc>
                  <w:tcPr>
                    <w:tcW w:w="1741" w:type="dxa"/>
                    <w:tcBorders>
                      <w:top w:val="nil"/>
                      <w:left w:val="nil"/>
                      <w:bottom w:val="single" w:sz="4" w:space="0" w:color="auto"/>
                      <w:right w:val="single" w:sz="4" w:space="0" w:color="auto"/>
                    </w:tcBorders>
                    <w:shd w:val="clear" w:color="auto" w:fill="auto"/>
                    <w:noWrap/>
                    <w:vAlign w:val="center"/>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0,69</w:t>
                    </w:r>
                  </w:p>
                </w:tc>
                <w:tc>
                  <w:tcPr>
                    <w:tcW w:w="1690" w:type="dxa"/>
                    <w:tcBorders>
                      <w:top w:val="nil"/>
                      <w:left w:val="nil"/>
                      <w:bottom w:val="single" w:sz="4" w:space="0" w:color="auto"/>
                      <w:right w:val="single" w:sz="8" w:space="0" w:color="auto"/>
                    </w:tcBorders>
                    <w:shd w:val="clear" w:color="auto" w:fill="auto"/>
                    <w:noWrap/>
                    <w:vAlign w:val="center"/>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65.</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Ukmergės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 Bielskio g. – miesto riba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1,57</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66.</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Metalistų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 xml:space="preserve">Pramonės g. – Ragainės g. </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1,14</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67.</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Dvaro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Aušros al. – Žemaitės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1,47</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68.</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 Lukšio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Dvaro g. – Aukštoji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0,2</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69.</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Aukštoji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P. Lukšio g. – Tilžės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0,11</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70.</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Vaidoto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Žemaitės g. – Tilžės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0,57</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528"/>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71.</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K. Korsako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Gegužių g. – Gegužių g.</w:t>
                    </w:r>
                  </w:p>
                </w:tc>
                <w:tc>
                  <w:tcPr>
                    <w:tcW w:w="1741" w:type="dxa"/>
                    <w:tcBorders>
                      <w:top w:val="nil"/>
                      <w:left w:val="nil"/>
                      <w:bottom w:val="single" w:sz="4" w:space="0" w:color="auto"/>
                      <w:right w:val="single" w:sz="4" w:space="0" w:color="auto"/>
                    </w:tcBorders>
                    <w:shd w:val="clear" w:color="auto" w:fill="auto"/>
                    <w:vAlign w:val="center"/>
                    <w:hideMark/>
                  </w:tcPr>
                  <w:p>
                    <w:pPr>
                      <w:rPr>
                        <w:strike/>
                        <w:sz w:val="22"/>
                        <w:szCs w:val="22"/>
                        <w:lang w:eastAsia="lt-LT"/>
                      </w:rPr>
                    </w:pPr>
                    <w:r>
                      <w:rPr>
                        <w:strike/>
                        <w:sz w:val="22"/>
                        <w:szCs w:val="22"/>
                        <w:lang w:eastAsia="lt-LT"/>
                      </w:rPr>
                      <w:t>Įrengimas ir rekonstravimas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1,45</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76"/>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72.</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 Kudirkos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Vilniaus g. – Birutės g.</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0,79</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64"/>
                </w:trPr>
                <w:tc>
                  <w:tcPr>
                    <w:tcW w:w="637" w:type="dxa"/>
                    <w:tcBorders>
                      <w:top w:val="nil"/>
                      <w:left w:val="single" w:sz="8" w:space="0" w:color="auto"/>
                      <w:bottom w:val="single" w:sz="4" w:space="0" w:color="auto"/>
                      <w:right w:val="single" w:sz="4" w:space="0" w:color="auto"/>
                    </w:tcBorders>
                    <w:shd w:val="clear" w:color="auto" w:fill="auto"/>
                    <w:noWrap/>
                    <w:vAlign w:val="center"/>
                  </w:tcPr>
                  <w:p>
                    <w:pPr>
                      <w:jc w:val="center"/>
                      <w:rPr>
                        <w:strike/>
                        <w:sz w:val="22"/>
                        <w:szCs w:val="22"/>
                        <w:lang w:eastAsia="lt-LT"/>
                      </w:rPr>
                    </w:pPr>
                    <w:r>
                      <w:rPr>
                        <w:strike/>
                        <w:sz w:val="22"/>
                        <w:szCs w:val="22"/>
                        <w:lang w:eastAsia="lt-LT"/>
                      </w:rPr>
                      <w:t>73.</w:t>
                    </w:r>
                  </w:p>
                </w:tc>
                <w:tc>
                  <w:tcPr>
                    <w:tcW w:w="222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J. Basanavičiaus g.</w:t>
                    </w:r>
                  </w:p>
                </w:tc>
                <w:tc>
                  <w:tcPr>
                    <w:tcW w:w="2622"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Vaidoto g. – miesto riba</w:t>
                    </w:r>
                  </w:p>
                </w:tc>
                <w:tc>
                  <w:tcPr>
                    <w:tcW w:w="1741" w:type="dxa"/>
                    <w:tcBorders>
                      <w:top w:val="nil"/>
                      <w:left w:val="nil"/>
                      <w:bottom w:val="single" w:sz="4" w:space="0" w:color="auto"/>
                      <w:right w:val="single" w:sz="4" w:space="0" w:color="auto"/>
                    </w:tcBorders>
                    <w:shd w:val="clear" w:color="auto" w:fill="auto"/>
                    <w:noWrap/>
                    <w:vAlign w:val="center"/>
                    <w:hideMark/>
                  </w:tcPr>
                  <w:p>
                    <w:pPr>
                      <w:rPr>
                        <w:strike/>
                        <w:sz w:val="22"/>
                        <w:szCs w:val="22"/>
                        <w:lang w:eastAsia="lt-LT"/>
                      </w:rPr>
                    </w:pPr>
                    <w:r>
                      <w:rPr>
                        <w:strike/>
                        <w:sz w:val="22"/>
                        <w:szCs w:val="22"/>
                        <w:lang w:eastAsia="lt-LT"/>
                      </w:rPr>
                      <w:t>Įrengimas</w:t>
                    </w:r>
                  </w:p>
                </w:tc>
                <w:tc>
                  <w:tcPr>
                    <w:tcW w:w="717" w:type="dxa"/>
                    <w:tcBorders>
                      <w:top w:val="nil"/>
                      <w:left w:val="nil"/>
                      <w:bottom w:val="single" w:sz="4" w:space="0" w:color="auto"/>
                      <w:right w:val="single" w:sz="4" w:space="0" w:color="auto"/>
                    </w:tcBorders>
                    <w:shd w:val="clear" w:color="auto" w:fill="auto"/>
                    <w:noWrap/>
                    <w:vAlign w:val="center"/>
                    <w:hideMark/>
                  </w:tcPr>
                  <w:p>
                    <w:pPr>
                      <w:jc w:val="center"/>
                      <w:rPr>
                        <w:strike/>
                        <w:sz w:val="22"/>
                        <w:szCs w:val="22"/>
                        <w:lang w:eastAsia="lt-LT"/>
                      </w:rPr>
                    </w:pPr>
                    <w:r>
                      <w:rPr>
                        <w:strike/>
                        <w:sz w:val="22"/>
                        <w:szCs w:val="22"/>
                        <w:lang w:eastAsia="lt-LT"/>
                      </w:rPr>
                      <w:t>1,26</w:t>
                    </w:r>
                  </w:p>
                </w:tc>
                <w:tc>
                  <w:tcPr>
                    <w:tcW w:w="1690" w:type="dxa"/>
                    <w:tcBorders>
                      <w:top w:val="nil"/>
                      <w:left w:val="nil"/>
                      <w:bottom w:val="single" w:sz="4" w:space="0" w:color="auto"/>
                      <w:right w:val="single" w:sz="8" w:space="0" w:color="auto"/>
                    </w:tcBorders>
                    <w:shd w:val="clear" w:color="auto" w:fill="auto"/>
                    <w:noWrap/>
                    <w:vAlign w:val="center"/>
                    <w:hideMark/>
                  </w:tcPr>
                  <w:p>
                    <w:pPr>
                      <w:jc w:val="center"/>
                      <w:rPr>
                        <w:strike/>
                        <w:sz w:val="22"/>
                        <w:szCs w:val="22"/>
                        <w:lang w:eastAsia="lt-LT"/>
                      </w:rPr>
                    </w:pPr>
                    <w:r>
                      <w:rPr>
                        <w:strike/>
                        <w:sz w:val="22"/>
                        <w:szCs w:val="22"/>
                        <w:lang w:eastAsia="lt-LT"/>
                      </w:rPr>
                      <w:t>2028–2030</w:t>
                    </w:r>
                  </w:p>
                </w:tc>
              </w:tr>
              <w:tr>
                <w:trPr>
                  <w:trHeight w:val="276"/>
                </w:trPr>
                <w:tc>
                  <w:tcPr>
                    <w:tcW w:w="7221" w:type="dxa"/>
                    <w:gridSpan w:val="4"/>
                    <w:tcBorders>
                      <w:top w:val="single" w:sz="4" w:space="0" w:color="auto"/>
                      <w:left w:val="single" w:sz="8" w:space="0" w:color="auto"/>
                      <w:bottom w:val="single" w:sz="8" w:space="0" w:color="auto"/>
                      <w:right w:val="single" w:sz="4" w:space="0" w:color="000000"/>
                    </w:tcBorders>
                    <w:shd w:val="clear" w:color="auto" w:fill="auto"/>
                    <w:noWrap/>
                    <w:vAlign w:val="bottom"/>
                    <w:hideMark/>
                  </w:tcPr>
                  <w:p>
                    <w:pPr>
                      <w:jc w:val="right"/>
                      <w:rPr>
                        <w:b/>
                        <w:bCs/>
                        <w:strike/>
                        <w:sz w:val="22"/>
                        <w:szCs w:val="22"/>
                        <w:lang w:eastAsia="lt-LT"/>
                      </w:rPr>
                    </w:pPr>
                    <w:r>
                      <w:rPr>
                        <w:b/>
                        <w:bCs/>
                        <w:strike/>
                        <w:sz w:val="22"/>
                        <w:szCs w:val="22"/>
                        <w:lang w:eastAsia="lt-LT"/>
                      </w:rPr>
                      <w:t>Iš viso ilgis km:</w:t>
                    </w:r>
                  </w:p>
                </w:tc>
                <w:tc>
                  <w:tcPr>
                    <w:tcW w:w="717" w:type="dxa"/>
                    <w:tcBorders>
                      <w:top w:val="single" w:sz="4" w:space="0" w:color="auto"/>
                      <w:left w:val="nil"/>
                      <w:bottom w:val="single" w:sz="8" w:space="0" w:color="auto"/>
                      <w:right w:val="nil"/>
                    </w:tcBorders>
                    <w:shd w:val="clear" w:color="auto" w:fill="auto"/>
                    <w:noWrap/>
                    <w:vAlign w:val="center"/>
                    <w:hideMark/>
                  </w:tcPr>
                  <w:p>
                    <w:pPr>
                      <w:jc w:val="center"/>
                      <w:rPr>
                        <w:b/>
                        <w:bCs/>
                        <w:strike/>
                        <w:sz w:val="22"/>
                        <w:szCs w:val="22"/>
                        <w:lang w:eastAsia="lt-LT"/>
                      </w:rPr>
                    </w:pPr>
                    <w:r>
                      <w:rPr>
                        <w:b/>
                        <w:bCs/>
                        <w:strike/>
                        <w:sz w:val="22"/>
                        <w:szCs w:val="22"/>
                        <w:lang w:eastAsia="lt-LT"/>
                      </w:rPr>
                      <w:t>70,12</w:t>
                    </w:r>
                  </w:p>
                </w:tc>
                <w:tc>
                  <w:tcPr>
                    <w:tcW w:w="1690" w:type="dxa"/>
                    <w:tcBorders>
                      <w:top w:val="single" w:sz="4" w:space="0" w:color="auto"/>
                      <w:left w:val="nil"/>
                      <w:bottom w:val="single" w:sz="8" w:space="0" w:color="auto"/>
                      <w:right w:val="single" w:sz="8" w:space="0" w:color="auto"/>
                    </w:tcBorders>
                    <w:shd w:val="clear" w:color="auto" w:fill="auto"/>
                    <w:noWrap/>
                    <w:vAlign w:val="bottom"/>
                    <w:hideMark/>
                  </w:tcPr>
                  <w:p>
                    <w:pPr>
                      <w:ind w:firstLine="57"/>
                      <w:rPr>
                        <w:b/>
                        <w:bCs/>
                        <w:strike/>
                        <w:sz w:val="22"/>
                        <w:szCs w:val="22"/>
                        <w:lang w:eastAsia="lt-LT"/>
                      </w:rPr>
                    </w:pPr>
                  </w:p>
                </w:tc>
              </w:tr>
            </w:tbl>
            <w:p>
              <w:pPr>
                <w:spacing w:line="259" w:lineRule="auto"/>
                <w:rPr>
                  <w:i/>
                  <w:sz w:val="22"/>
                  <w:szCs w:val="22"/>
                </w:rPr>
              </w:pPr>
              <w:r>
                <w:rPr>
                  <w:b/>
                  <w:i/>
                  <w:sz w:val="22"/>
                  <w:szCs w:val="22"/>
                </w:rPr>
                <w:t>Šaltinis</w:t>
              </w:r>
              <w:r>
                <w:rPr>
                  <w:i/>
                  <w:sz w:val="22"/>
                  <w:szCs w:val="22"/>
                </w:rPr>
                <w:t>: sudaryta vyr. specialisto</w:t>
              </w:r>
            </w:p>
            <w:p>
              <w:pPr>
                <w:rPr>
                  <w:sz w:val="14"/>
                  <w:szCs w:val="14"/>
                </w:rPr>
              </w:pPr>
            </w:p>
            <w:tbl>
              <w:tblPr>
                <w:tblW w:w="10060" w:type="dxa"/>
                <w:tblLook w:val="04A0" w:firstRow="1" w:lastRow="0" w:firstColumn="1" w:lastColumn="0" w:noHBand="0" w:noVBand="1"/>
              </w:tblPr>
              <w:tblGrid>
                <w:gridCol w:w="608"/>
                <w:gridCol w:w="2081"/>
                <w:gridCol w:w="2718"/>
                <w:gridCol w:w="1676"/>
                <w:gridCol w:w="1569"/>
                <w:gridCol w:w="1458"/>
              </w:tblGrid>
              <w:tr>
                <w:trPr>
                  <w:trHeight w:val="792"/>
                </w:trPr>
                <w:tc>
                  <w:tcPr>
                    <w:tcW w:w="608"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b/>
                        <w:bCs/>
                        <w:sz w:val="22"/>
                        <w:szCs w:val="22"/>
                        <w:lang w:eastAsia="lt-LT"/>
                      </w:rPr>
                    </w:pPr>
                    <w:r>
                      <w:rPr>
                        <w:b/>
                        <w:bCs/>
                        <w:sz w:val="22"/>
                        <w:szCs w:val="22"/>
                        <w:lang w:eastAsia="lt-LT"/>
                      </w:rPr>
                      <w:t>Eil. Nr.*</w:t>
                    </w:r>
                  </w:p>
                </w:tc>
                <w:tc>
                  <w:tcPr>
                    <w:tcW w:w="2081" w:type="dxa"/>
                    <w:tcBorders>
                      <w:top w:val="single" w:sz="4" w:space="0" w:color="auto"/>
                      <w:left w:val="nil"/>
                      <w:bottom w:val="single" w:sz="4" w:space="0" w:color="auto"/>
                      <w:right w:val="single" w:sz="4" w:space="0" w:color="auto"/>
                    </w:tcBorders>
                    <w:shd w:val="clear" w:color="000000" w:fill="FFFFFF"/>
                    <w:noWrap/>
                    <w:vAlign w:val="center"/>
                    <w:hideMark/>
                  </w:tcPr>
                  <w:p>
                    <w:pPr>
                      <w:jc w:val="center"/>
                      <w:rPr>
                        <w:b/>
                        <w:bCs/>
                        <w:sz w:val="22"/>
                        <w:szCs w:val="22"/>
                        <w:lang w:eastAsia="lt-LT"/>
                      </w:rPr>
                    </w:pPr>
                    <w:r>
                      <w:rPr>
                        <w:b/>
                        <w:bCs/>
                        <w:sz w:val="22"/>
                        <w:szCs w:val="22"/>
                        <w:lang w:eastAsia="lt-LT"/>
                      </w:rPr>
                      <w:t>Gatvė</w:t>
                    </w:r>
                  </w:p>
                </w:tc>
                <w:tc>
                  <w:tcPr>
                    <w:tcW w:w="2718" w:type="dxa"/>
                    <w:tcBorders>
                      <w:top w:val="single" w:sz="4" w:space="0" w:color="auto"/>
                      <w:left w:val="nil"/>
                      <w:bottom w:val="single" w:sz="4" w:space="0" w:color="auto"/>
                      <w:right w:val="single" w:sz="4" w:space="0" w:color="auto"/>
                    </w:tcBorders>
                    <w:shd w:val="clear" w:color="000000" w:fill="FFFFFF"/>
                    <w:noWrap/>
                    <w:vAlign w:val="center"/>
                    <w:hideMark/>
                  </w:tcPr>
                  <w:p>
                    <w:pPr>
                      <w:jc w:val="center"/>
                      <w:rPr>
                        <w:b/>
                        <w:bCs/>
                        <w:sz w:val="22"/>
                        <w:szCs w:val="22"/>
                        <w:lang w:eastAsia="lt-LT"/>
                      </w:rPr>
                    </w:pPr>
                    <w:r>
                      <w:rPr>
                        <w:b/>
                        <w:bCs/>
                        <w:sz w:val="22"/>
                        <w:szCs w:val="22"/>
                        <w:lang w:eastAsia="lt-LT"/>
                      </w:rPr>
                      <w:t>Atkarpa</w:t>
                    </w:r>
                  </w:p>
                </w:tc>
                <w:tc>
                  <w:tcPr>
                    <w:tcW w:w="1676" w:type="dxa"/>
                    <w:tcBorders>
                      <w:top w:val="single" w:sz="4" w:space="0" w:color="auto"/>
                      <w:left w:val="nil"/>
                      <w:bottom w:val="single" w:sz="4" w:space="0" w:color="auto"/>
                      <w:right w:val="single" w:sz="4" w:space="0" w:color="auto"/>
                    </w:tcBorders>
                    <w:shd w:val="clear" w:color="000000" w:fill="FFFFFF"/>
                    <w:noWrap/>
                    <w:vAlign w:val="center"/>
                    <w:hideMark/>
                  </w:tcPr>
                  <w:p>
                    <w:pPr>
                      <w:jc w:val="center"/>
                      <w:rPr>
                        <w:b/>
                        <w:bCs/>
                        <w:sz w:val="22"/>
                        <w:szCs w:val="22"/>
                        <w:lang w:eastAsia="lt-LT"/>
                      </w:rPr>
                    </w:pPr>
                    <w:r>
                      <w:rPr>
                        <w:b/>
                        <w:bCs/>
                        <w:sz w:val="22"/>
                        <w:szCs w:val="22"/>
                        <w:lang w:eastAsia="lt-LT"/>
                      </w:rPr>
                      <w:t>Planuojami darbai**</w:t>
                    </w:r>
                  </w:p>
                </w:tc>
                <w:tc>
                  <w:tcPr>
                    <w:tcW w:w="1569" w:type="dxa"/>
                    <w:tcBorders>
                      <w:top w:val="single" w:sz="4" w:space="0" w:color="auto"/>
                      <w:left w:val="nil"/>
                      <w:bottom w:val="single" w:sz="4" w:space="0" w:color="auto"/>
                      <w:right w:val="single" w:sz="4" w:space="0" w:color="auto"/>
                    </w:tcBorders>
                    <w:shd w:val="clear" w:color="000000" w:fill="FFFFFF"/>
                    <w:noWrap/>
                    <w:vAlign w:val="center"/>
                    <w:hideMark/>
                  </w:tcPr>
                  <w:p>
                    <w:pPr>
                      <w:jc w:val="center"/>
                      <w:rPr>
                        <w:b/>
                        <w:bCs/>
                        <w:sz w:val="22"/>
                        <w:szCs w:val="22"/>
                        <w:lang w:eastAsia="lt-LT"/>
                      </w:rPr>
                    </w:pPr>
                    <w:r>
                      <w:rPr>
                        <w:b/>
                        <w:bCs/>
                        <w:sz w:val="22"/>
                        <w:szCs w:val="22"/>
                        <w:lang w:eastAsia="lt-LT"/>
                      </w:rPr>
                      <w:t>Ilgis (preliminarus), km</w:t>
                    </w:r>
                  </w:p>
                </w:tc>
                <w:tc>
                  <w:tcPr>
                    <w:tcW w:w="1408" w:type="dxa"/>
                    <w:tcBorders>
                      <w:top w:val="single" w:sz="4" w:space="0" w:color="auto"/>
                      <w:left w:val="nil"/>
                      <w:bottom w:val="single" w:sz="4" w:space="0" w:color="auto"/>
                      <w:right w:val="single" w:sz="4" w:space="0" w:color="auto"/>
                    </w:tcBorders>
                    <w:shd w:val="clear" w:color="000000" w:fill="FFFFFF"/>
                    <w:vAlign w:val="center"/>
                    <w:hideMark/>
                  </w:tcPr>
                  <w:p>
                    <w:pPr>
                      <w:jc w:val="center"/>
                      <w:rPr>
                        <w:b/>
                        <w:bCs/>
                        <w:sz w:val="22"/>
                        <w:szCs w:val="22"/>
                        <w:lang w:eastAsia="lt-LT"/>
                      </w:rPr>
                    </w:pPr>
                    <w:r>
                      <w:rPr>
                        <w:b/>
                        <w:bCs/>
                        <w:sz w:val="22"/>
                        <w:szCs w:val="22"/>
                        <w:lang w:eastAsia="lt-LT"/>
                      </w:rPr>
                      <w:t>Įgyvendinimo metai***</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Aerouosto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Lakūnų g. - Lakūnų g. 4</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Karaliaučiaus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Gegužių g. - miesto riba</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1,00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Jono Jablonskio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Architektų g. - Jono Jablonskio g. 22</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Žuvininkų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Vilniaus g. - Žuvininkų g. 11</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Aukštabalio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Aukštabalio g. 12 - Baltų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0,85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Takas nuo Aukštabalio g. iki Liejyklos g.</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Liejyklos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Liejyklos g. 10 - Pramonės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Pramonės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 - Bačiūnų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4,41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2024 - 2025</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Ežero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 - Vilniaus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2024 - 2025</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Ežero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Talšos g.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2024 - 2025</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Ežero g. - Aukštosios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2024 - 2025</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Aušros al.</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Kudirkos g. - Žemaitės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Saulės tak.</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Saulės tak. 7 - S. Dariaus ir S. Girėno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Trasa Talkšos ež. pakrantėje iki 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1,61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Serbentų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Pramonės g. - Vilniaus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2,62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2024 - 2027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Bačiūnų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Per geležinkelį</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 Dariaus ir S. Girėno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Lieporių g. - Statybininkų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Statybininkų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Garažų g. - Latvių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19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Takai nuo Gardino g. iki Dainų parko</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Takai nuo Dainų parko iki Tilžės g. tako</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2025 - 2026</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Vilniaus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Draugystės pr. - Vilkaviškio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1,88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Signatarų al.</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Lieporių g. - Statybininkų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Žemaitės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 - Pakruojo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6,94</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Birutės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Karklų g. - Žemaitės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2,51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Sembos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Kalniškių g. - Jotvingių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Vilniaus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Miesto riba - Žemaitės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1,81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Vilniaus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Vilkaviškio g. - miesto riba</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 Daukanto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Pumpučių g. 19 - Birutės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1,87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29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Takas tarp Pumpučių g. 19 ir S. Daukanto g.</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0,08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Stumbro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Žemaitės g.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Takas nuo Dainų g. iki Gardino g.</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Dainų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Aido g. - Dainų g. 5</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2025 - 2030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Ragainės g. - Tilžės g. 101</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Lieporių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Grinkevičiaus g. - S. Dariaus ir S. Girėno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Energetikų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Energetikų g. 18 - Bačiūnų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2026 - 2027</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Takai tarp Ginkūnų ir Meškerių gatvių</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Ežero g. - Aerouosto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3,22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Išradėjų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 xml:space="preserve">Pramonės g.  - K. Donelaičio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39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 Donelaičio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 - Išradėjų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1,19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Panevėžio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Birutės g. - V. Bielskio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1,18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Pakruojo g. - miesto riba</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Metalistų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Pramonės g. - Ragainės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1,16</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Gegužių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Architektų g.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2,88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Bielskio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Panevėžio g. - Žemaitės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1,72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 Daukanto g. - Žemaitės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Bielskio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Miesto riba - Panevėžio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 Korsako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Gegužių g. - Gegužių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1,45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Gvazdikų tak.</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Saulės tak. - Lieporių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0,42</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49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Smėlio g. - Stumbro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0,54</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 tęsinys</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Miesto riba - S. Daukanto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1,37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Geležinkelio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 - Vilniaus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528"/>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52</w:t>
                    </w:r>
                  </w:p>
                </w:tc>
                <w:tc>
                  <w:tcPr>
                    <w:tcW w:w="2081" w:type="dxa"/>
                    <w:tcBorders>
                      <w:top w:val="nil"/>
                      <w:left w:val="nil"/>
                      <w:bottom w:val="single" w:sz="4" w:space="0" w:color="auto"/>
                      <w:right w:val="single" w:sz="4" w:space="0" w:color="auto"/>
                    </w:tcBorders>
                    <w:shd w:val="clear" w:color="000000" w:fill="FFFFFF"/>
                    <w:vAlign w:val="bottom"/>
                    <w:hideMark/>
                  </w:tcPr>
                  <w:p>
                    <w:pPr>
                      <w:rPr>
                        <w:sz w:val="22"/>
                        <w:szCs w:val="22"/>
                        <w:lang w:eastAsia="lt-LT"/>
                      </w:rPr>
                    </w:pPr>
                    <w:r>
                      <w:rPr>
                        <w:sz w:val="22"/>
                        <w:szCs w:val="22"/>
                        <w:lang w:eastAsia="lt-LT"/>
                      </w:rPr>
                      <w:t>Gatvė nuo Uosių g. iki "Talkšos ež." stovėjimo aikštelės</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Žemynos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Žiogų g. - Pramonės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1,66</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Jono Jablonskio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Jono Jablonskio g. 22 -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Išradėjų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Daubos g. - Pramonės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0,68</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Dainų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Dainų g. 7 - Lyros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0,40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2026 - 2030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 101 - Vytauto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2027 - 2028</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 99 - Ežero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1,46</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2027 - 2029</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59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Žemaitės g. takas ties "Park and Ride" aikštele</w:t>
                    </w:r>
                  </w:p>
                </w:tc>
                <w:tc>
                  <w:tcPr>
                    <w:tcW w:w="2718" w:type="dxa"/>
                    <w:tcBorders>
                      <w:top w:val="nil"/>
                      <w:left w:val="nil"/>
                      <w:bottom w:val="single" w:sz="4" w:space="0" w:color="auto"/>
                      <w:right w:val="single" w:sz="4" w:space="0" w:color="auto"/>
                    </w:tcBorders>
                    <w:shd w:val="clear" w:color="000000" w:fill="FFFFFF"/>
                    <w:noWrap/>
                    <w:vAlign w:val="bottom"/>
                    <w:hideMark/>
                  </w:tcPr>
                  <w:p>
                    <w:pPr>
                      <w:ind w:firstLine="57"/>
                      <w:rPr>
                        <w:sz w:val="22"/>
                        <w:szCs w:val="22"/>
                        <w:lang w:eastAsia="lt-LT"/>
                      </w:rPr>
                    </w:pP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0,16</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Gytarių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 Korsako g. - Gegužių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Radviliškio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Dubijos g. - Aerouosto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0,24</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Tilžės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Aukštoji g. - Tilžės g. 227</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Žiogų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Žemynos g. - Bačiūnų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2,14</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Gytarių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Kviečių g. - K. Korsako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Kviečių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Javų g. - Gytarių g.</w:t>
                    </w:r>
                  </w:p>
                </w:tc>
                <w:tc>
                  <w:tcPr>
                    <w:tcW w:w="1676" w:type="dxa"/>
                    <w:tcBorders>
                      <w:top w:val="nil"/>
                      <w:left w:val="nil"/>
                      <w:bottom w:val="single" w:sz="4" w:space="0" w:color="auto"/>
                      <w:right w:val="single" w:sz="4" w:space="0" w:color="auto"/>
                    </w:tcBorders>
                    <w:shd w:val="clear" w:color="000000" w:fill="FFFFFF"/>
                    <w:vAlign w:val="bottom"/>
                    <w:hideMark/>
                  </w:tcPr>
                  <w:p>
                    <w:pPr>
                      <w:jc w:val="center"/>
                      <w:rPr>
                        <w:sz w:val="22"/>
                        <w:szCs w:val="22"/>
                        <w:lang w:eastAsia="lt-LT"/>
                      </w:rPr>
                    </w:pPr>
                    <w:r>
                      <w:rPr>
                        <w:sz w:val="22"/>
                        <w:szCs w:val="22"/>
                        <w:lang w:eastAsia="lt-LT"/>
                      </w:rPr>
                      <w:t>Įrengimas ir 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0,67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Dainų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Lyros g. - Dainų g. 86</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67</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 Basanavičiaus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Žemaitės g. - Vaidoto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2,40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68</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Statybininkų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Latvių g. - Baltų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0,33</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69</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Bačiūnų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Pramonės g. - Dubijos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0,99</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2027 - 2030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70</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Ukmergės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Bielskio g. - Vinkšnėnų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71</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Dvaro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Aušros al. - Žemaitės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1,44</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72</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 Lukšio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Dvaro g. - Aukštoji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0,20</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73</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Aukštoji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P. Lukšio g.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Rekonstravimas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0,11</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74</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Vaidoto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Žemaitės g. - Tilžės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0,55</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75</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 Kudirkos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Vilniaus g. - Birutės g.</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0,77</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608" w:type="dxa"/>
                    <w:tcBorders>
                      <w:top w:val="nil"/>
                      <w:left w:val="single" w:sz="4" w:space="0" w:color="auto"/>
                      <w:bottom w:val="single" w:sz="4" w:space="0" w:color="auto"/>
                      <w:right w:val="single" w:sz="4" w:space="0" w:color="auto"/>
                    </w:tcBorders>
                    <w:shd w:val="clear" w:color="000000" w:fill="FFFFFF"/>
                    <w:noWrap/>
                    <w:vAlign w:val="center"/>
                    <w:hideMark/>
                  </w:tcPr>
                  <w:p>
                    <w:pPr>
                      <w:jc w:val="center"/>
                      <w:rPr>
                        <w:sz w:val="22"/>
                        <w:szCs w:val="22"/>
                        <w:lang w:eastAsia="lt-LT"/>
                      </w:rPr>
                    </w:pPr>
                    <w:r>
                      <w:rPr>
                        <w:sz w:val="22"/>
                        <w:szCs w:val="22"/>
                        <w:lang w:eastAsia="lt-LT"/>
                      </w:rPr>
                      <w:t>76</w:t>
                    </w:r>
                  </w:p>
                </w:tc>
                <w:tc>
                  <w:tcPr>
                    <w:tcW w:w="2081"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J. Basanavičiaus g.</w:t>
                    </w:r>
                  </w:p>
                </w:tc>
                <w:tc>
                  <w:tcPr>
                    <w:tcW w:w="2718" w:type="dxa"/>
                    <w:tcBorders>
                      <w:top w:val="nil"/>
                      <w:left w:val="nil"/>
                      <w:bottom w:val="single" w:sz="4" w:space="0" w:color="auto"/>
                      <w:right w:val="single" w:sz="4" w:space="0" w:color="auto"/>
                    </w:tcBorders>
                    <w:shd w:val="clear" w:color="000000" w:fill="FFFFFF"/>
                    <w:noWrap/>
                    <w:vAlign w:val="bottom"/>
                    <w:hideMark/>
                  </w:tcPr>
                  <w:p>
                    <w:pPr>
                      <w:rPr>
                        <w:sz w:val="22"/>
                        <w:szCs w:val="22"/>
                        <w:lang w:eastAsia="lt-LT"/>
                      </w:rPr>
                    </w:pPr>
                    <w:r>
                      <w:rPr>
                        <w:sz w:val="22"/>
                        <w:szCs w:val="22"/>
                        <w:lang w:eastAsia="lt-LT"/>
                      </w:rPr>
                      <w:t>Vaidoto g. - miesto riba</w:t>
                    </w:r>
                  </w:p>
                </w:tc>
                <w:tc>
                  <w:tcPr>
                    <w:tcW w:w="1676"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Įrengimas</w:t>
                    </w:r>
                  </w:p>
                </w:tc>
                <w:tc>
                  <w:tcPr>
                    <w:tcW w:w="1569"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1,26</w:t>
                    </w:r>
                  </w:p>
                </w:tc>
                <w:tc>
                  <w:tcPr>
                    <w:tcW w:w="1408" w:type="dxa"/>
                    <w:tcBorders>
                      <w:top w:val="nil"/>
                      <w:left w:val="nil"/>
                      <w:bottom w:val="single" w:sz="4" w:space="0" w:color="auto"/>
                      <w:right w:val="single" w:sz="4" w:space="0" w:color="auto"/>
                    </w:tcBorders>
                    <w:shd w:val="clear" w:color="000000" w:fill="FFFFFF"/>
                    <w:noWrap/>
                    <w:vAlign w:val="bottom"/>
                    <w:hideMark/>
                  </w:tcPr>
                  <w:p>
                    <w:pPr>
                      <w:jc w:val="center"/>
                      <w:rPr>
                        <w:sz w:val="22"/>
                        <w:szCs w:val="22"/>
                        <w:lang w:eastAsia="lt-LT"/>
                      </w:rPr>
                    </w:pPr>
                    <w:r>
                      <w:rPr>
                        <w:sz w:val="22"/>
                        <w:szCs w:val="22"/>
                        <w:lang w:eastAsia="lt-LT"/>
                      </w:rPr>
                      <w:t>2028 - 2030</w:t>
                    </w:r>
                  </w:p>
                </w:tc>
              </w:tr>
              <w:tr>
                <w:trPr>
                  <w:trHeight w:val="264"/>
                </w:trPr>
                <w:tc>
                  <w:tcPr>
                    <w:tcW w:w="708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pPr>
                      <w:jc w:val="right"/>
                      <w:rPr>
                        <w:b/>
                        <w:bCs/>
                        <w:sz w:val="22"/>
                        <w:szCs w:val="22"/>
                        <w:lang w:eastAsia="lt-LT"/>
                      </w:rPr>
                    </w:pPr>
                    <w:r>
                      <w:rPr>
                        <w:b/>
                        <w:bCs/>
                        <w:sz w:val="22"/>
                        <w:szCs w:val="22"/>
                        <w:lang w:eastAsia="lt-LT"/>
                      </w:rPr>
                      <w:t>Iš viso ilgis, km (apytikslis):</w:t>
                    </w:r>
                  </w:p>
                </w:tc>
                <w:tc>
                  <w:tcPr>
                    <w:tcW w:w="2977" w:type="dxa"/>
                    <w:gridSpan w:val="2"/>
                    <w:tcBorders>
                      <w:top w:val="single" w:sz="4" w:space="0" w:color="auto"/>
                      <w:left w:val="nil"/>
                      <w:bottom w:val="single" w:sz="4" w:space="0" w:color="auto"/>
                      <w:right w:val="single" w:sz="4" w:space="0" w:color="000000"/>
                    </w:tcBorders>
                    <w:shd w:val="clear" w:color="auto" w:fill="auto"/>
                    <w:noWrap/>
                    <w:vAlign w:val="bottom"/>
                    <w:hideMark/>
                  </w:tcPr>
                  <w:p>
                    <w:pPr>
                      <w:rPr>
                        <w:b/>
                        <w:bCs/>
                        <w:sz w:val="22"/>
                        <w:szCs w:val="22"/>
                        <w:lang w:eastAsia="lt-LT"/>
                      </w:rPr>
                    </w:pPr>
                    <w:r>
                      <w:rPr>
                        <w:b/>
                        <w:bCs/>
                        <w:sz w:val="22"/>
                        <w:szCs w:val="22"/>
                        <w:lang w:eastAsia="lt-LT"/>
                      </w:rPr>
                      <w:t>74,21</w:t>
                    </w:r>
                  </w:p>
                </w:tc>
              </w:tr>
            </w:tbl>
            <w:p>
              <w:pPr>
                <w:spacing w:line="259" w:lineRule="auto"/>
                <w:rPr>
                  <w:i/>
                  <w:sz w:val="22"/>
                  <w:szCs w:val="22"/>
                </w:rPr>
              </w:pPr>
              <w:r>
                <w:rPr>
                  <w:b/>
                  <w:i/>
                  <w:sz w:val="22"/>
                  <w:szCs w:val="22"/>
                </w:rPr>
                <w:t>Šaltinis</w:t>
              </w:r>
              <w:r>
                <w:rPr>
                  <w:i/>
                  <w:sz w:val="22"/>
                  <w:szCs w:val="22"/>
                </w:rPr>
                <w:t>: sudaryta vyr. specialisto</w:t>
              </w:r>
            </w:p>
            <w:p>
              <w:pPr>
                <w:rPr>
                  <w:sz w:val="14"/>
                  <w:szCs w:val="14"/>
                </w:rPr>
              </w:pPr>
            </w:p>
            <w:p>
              <w:pPr>
                <w:spacing w:line="259" w:lineRule="auto"/>
                <w:rPr>
                  <w:i/>
                  <w:sz w:val="22"/>
                  <w:szCs w:val="22"/>
                </w:rPr>
              </w:pPr>
              <w:r>
                <w:rPr>
                  <w:i/>
                  <w:sz w:val="22"/>
                  <w:szCs w:val="22"/>
                </w:rPr>
                <w:t>*Sąrašas išdėstytas prioriteto tvarka, tačiau įgyvendinimo eilė gali skirtis priklausomai nuo strateginiuose ar kituose planuose numatytų / pakeistų / patikslintų planų, projektavimo eigos ar kitų subjektyvių priežasčių.</w:t>
              </w:r>
            </w:p>
            <w:p>
              <w:pPr>
                <w:rPr>
                  <w:sz w:val="14"/>
                  <w:szCs w:val="14"/>
                </w:rPr>
              </w:pPr>
            </w:p>
            <w:p>
              <w:pPr>
                <w:spacing w:line="259" w:lineRule="auto"/>
                <w:rPr>
                  <w:i/>
                  <w:sz w:val="22"/>
                  <w:szCs w:val="22"/>
                </w:rPr>
              </w:pPr>
              <w:r>
                <w:rPr>
                  <w:i/>
                  <w:sz w:val="22"/>
                  <w:szCs w:val="22"/>
                </w:rPr>
                <w:t>**Darbų rūšis gali skirtis priklausomai nuo projektavimo procedūrų metu išaiškėjusių techninių galimybių ar parinktų sprendinių. Gatvių statinių ir (ar) sklypų ribose esantys ir planuojami taki (ir (ar) juostos) projektuojami parengiant gatvių kapitalinio remonto/ rekonstravimo/ statybos projektus.</w:t>
              </w:r>
            </w:p>
            <w:p>
              <w:pPr>
                <w:rPr>
                  <w:sz w:val="14"/>
                  <w:szCs w:val="14"/>
                </w:rPr>
              </w:pPr>
            </w:p>
            <w:p>
              <w:pPr>
                <w:spacing w:line="259" w:lineRule="auto"/>
                <w:rPr>
                  <w:i/>
                  <w:sz w:val="22"/>
                  <w:szCs w:val="22"/>
                </w:rPr>
              </w:pPr>
              <w:r>
                <w:rPr>
                  <w:i/>
                  <w:sz w:val="22"/>
                  <w:szCs w:val="22"/>
                </w:rPr>
                <w:t>***Siūlomi įgyvendinimo metai yra orientaciniai.</w:t>
              </w:r>
            </w:p>
            <w:p>
              <w:pPr>
                <w:rPr>
                  <w:sz w:val="14"/>
                  <w:szCs w:val="14"/>
                </w:rPr>
              </w:pPr>
            </w:p>
            <w:p>
              <w:pPr>
                <w:spacing w:line="259" w:lineRule="auto"/>
                <w:rPr>
                  <w:i/>
                  <w:sz w:val="22"/>
                  <w:szCs w:val="22"/>
                  <w:lang w:val="en-US"/>
                </w:rPr>
              </w:pPr>
              <w:r>
                <w:rPr>
                  <w:i/>
                  <w:sz w:val="22"/>
                  <w:szCs w:val="22"/>
                </w:rPr>
                <w:t>****Dalyje atkarpos dviračių infrastruktūrą planuojama įrengti abejose gatvės pusėse.</w:t>
              </w:r>
            </w:p>
          </w:sdtContent>
        </w:sdt>
      </w:sdtContent>
    </w:sdt>
    <w:sectPr>
      <w:headerReference w:type="default" r:id="rId6"/>
      <w:pgSz w:w="11906" w:h="16838"/>
      <w:pgMar w:top="1168" w:right="1106" w:bottom="1440" w:left="1440" w:header="567" w:footer="567" w:gutter="0"/>
      <w:pgNumType w:start="226"/>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bottom w:val="single" w:sz="2" w:space="1" w:color="auto"/>
      </w:pBdr>
      <w:tabs>
        <w:tab w:val="center" w:pos="4819"/>
        <w:tab w:val="right" w:pos="9638"/>
      </w:tabs>
      <w:spacing w:after="240"/>
      <w:rPr>
        <w:b/>
        <w:color w:val="595959"/>
        <w:spacing w:val="33"/>
        <w:sz w:val="16"/>
        <w:szCs w:val="16"/>
      </w:rPr>
    </w:pPr>
    <w:r>
      <w:rPr>
        <w:b/>
        <w:color w:val="595959"/>
        <w:spacing w:val="33"/>
        <w:sz w:val="16"/>
        <w:szCs w:val="16"/>
      </w:rPr>
      <w:t xml:space="preserve">Šiaulių miesto darnaus judumo planas / Judumo mieste variantai (iki 2030 m.)                   </w:t>
    </w:r>
    <w:r>
      <w:rPr>
        <w:b/>
        <w:color w:val="595959"/>
        <w:spacing w:val="33"/>
        <w:sz w:val="16"/>
        <w:szCs w:val="16"/>
      </w:rPr>
      <w:fldChar w:fldCharType="begin"/>
    </w:r>
    <w:r>
      <w:rPr>
        <w:b/>
        <w:color w:val="595959"/>
        <w:spacing w:val="33"/>
        <w:sz w:val="16"/>
        <w:szCs w:val="16"/>
      </w:rPr>
      <w:instrText xml:space="preserve"> PAGE   \* MERGEFORMAT </w:instrText>
    </w:r>
    <w:r>
      <w:rPr>
        <w:b/>
        <w:color w:val="595959"/>
        <w:spacing w:val="33"/>
        <w:sz w:val="16"/>
        <w:szCs w:val="16"/>
      </w:rPr>
      <w:fldChar w:fldCharType="separate"/>
    </w:r>
    <w:r>
      <w:rPr>
        <w:b/>
        <w:color w:val="595959"/>
        <w:spacing w:val="33"/>
        <w:sz w:val="16"/>
        <w:szCs w:val="16"/>
      </w:rPr>
      <w:t>226</w:t>
    </w:r>
    <w:r>
      <w:rPr>
        <w:b/>
        <w:color w:val="595959"/>
        <w:spacing w:val="33"/>
        <w:sz w:val="16"/>
        <w:szCs w:val="16"/>
      </w:rPr>
      <w:fldChar w:fldCharType="end"/>
    </w: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00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A8944E-65DA-493C-BC8A-9BE100DE27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1336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33a7e731cc46e59c29bdc8d4842b27" PartId="d9348a43251d4cf7ba0e40a83153b53d">
    <Part Type="papunktis" Nr="6.2" Abbr="6.2 pp." DocPartId="49ba29179f5b49d6b4a5136802e4c1bb" PartId="c2657565e468462b994a1dee5dde925b"/>
  </Part>
</Parts>
</file>

<file path=customXml/itemProps1.xml><?xml version="1.0" encoding="utf-8"?>
<ds:datastoreItem xmlns:ds="http://schemas.openxmlformats.org/officeDocument/2006/customXml" ds:itemID="{F7227D8D-CADC-4E6A-814C-404D63E9AB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2154</Words>
  <Characters>10473</Characters>
  <Application>Microsoft Office Word</Application>
  <DocSecurity>4</DocSecurity>
  <Lines>1163</Lines>
  <Paragraphs>1052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11575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2024-10-22T14:51:00Z</dcterms:created>
  <dc:creator>Lorinta Laureckytė</dc:creator>
  <lastModifiedBy>adlibuser</lastModifiedBy>
  <dcterms:modified xsi:type="dcterms:W3CDTF">2024-10-22T14:51:00Z</dcterms:modified>
  <revision>2</revision>
</coreProperties>
</file>