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39be8a2dbe43e380ae44aa40ac6c9d"/>
        <w:lock w:val="sdtLocked"/>
        <w:richText/>
      </w:sdtPr>
      <w:sdtContent>
        <w:p>
          <w:pPr>
            <w:rPr>
              <w:sz w:val="16"/>
              <w:szCs w:val="16"/>
            </w:rPr>
          </w:pPr>
        </w:p>
        <w:sdt>
          <w:sdtPr>
            <w:alias w:val="6 p."/>
            <w:tag w:val="part_9fce6207f4914f24924f65bf6d8ad6d2"/>
            <w:lock w:val="sdtLocked"/>
            <w:richText/>
          </w:sdtPr>
          <w:sdtContent>
            <w:p>
              <w:pPr>
                <w:keepNext/>
                <w:keepLines/>
                <w:suppressAutoHyphens/>
                <w:spacing w:line="360" w:lineRule="auto"/>
                <w:ind w:left="360" w:hanging="360"/>
                <w:jc w:val="both"/>
                <w:outlineLvl w:val="1"/>
                <w:rPr>
                  <w:rFonts w:ascii="Verdana" w:hAnsi="Verdana"/>
                  <w:b/>
                  <w:szCs w:val="26"/>
                  <w:lang w:eastAsia="lt-LT"/>
                </w:rPr>
              </w:pPr>
              <w:sdt>
                <w:sdtPr>
                  <w:alias w:val="Numeris"/>
                  <w:tag w:val="nr_9fce6207f4914f24924f65bf6d8ad6d2"/>
                  <w:lock w:val="sdtLocked"/>
                  <w:richText/>
                </w:sdtPr>
                <w:sdtContent>
                  <w:r>
                    <w:rPr>
                      <w:rFonts w:ascii="Verdana" w:hAnsi="Verdana"/>
                      <w:b/>
                      <w:color w:val="000000"/>
                      <w:szCs w:val="26"/>
                      <w:lang w:eastAsia="lt-LT"/>
                      <w14:scene3d>
                        <w14:camera w14:prst="orthographicFront"/>
                        <w14:lightRig w14:rig="threePt" w14:dir="t">
                          <w14:rot w14:lat="0" w14:lon="0" w14:rev="0"/>
                        </w14:lightRig>
                      </w14:scene3d>
                    </w:rPr>
                    <w:t>6</w:t>
                  </w:r>
                </w:sdtContent>
              </w:sdt>
              <w:r>
                <w:rPr>
                  <w:rFonts w:ascii="Verdana" w:hAnsi="Verdana"/>
                  <w:b/>
                  <w:color w:val="000000"/>
                  <w:szCs w:val="26"/>
                  <w:lang w:eastAsia="lt-LT"/>
                  <w14:scene3d>
                    <w14:camera w14:prst="orthographicFront"/>
                    <w14:lightRig w14:rig="threePt" w14:dir="t">
                      <w14:rot w14:lat="0" w14:lon="0" w14:rev="0"/>
                    </w14:lightRig>
                  </w14:scene3d>
                </w:rPr>
                <w:t>.</w:t>
                <w:tab/>
              </w:r>
              <w:r>
                <w:rPr>
                  <w:rFonts w:ascii="Verdana" w:hAnsi="Verdana"/>
                  <w:b/>
                  <w:szCs w:val="26"/>
                  <w:lang w:eastAsia="lt-LT"/>
                </w:rPr>
                <w:tab/>
                <w:t>Sprendinių įgyvendinimo prioritetai pagal patvirtintą „Darnaus judumo“ variantą (Nr. 1)</w:t>
              </w:r>
            </w:p>
            <w:p>
              <w:pPr>
                <w:rPr>
                  <w:sz w:val="32"/>
                  <w:szCs w:val="32"/>
                </w:rPr>
              </w:pPr>
            </w:p>
            <w:sdt>
              <w:sdtPr>
                <w:alias w:val="6.1 pp."/>
                <w:tag w:val="part_7cd815d45c5441b3a7a77c90adecafec"/>
                <w:lock w:val="sdtLocked"/>
                <w:richText/>
              </w:sdtPr>
              <w:sdtContent>
                <w:p>
                  <w:pPr>
                    <w:keepNext/>
                    <w:keepLines/>
                    <w:suppressAutoHyphens/>
                    <w:spacing w:line="280" w:lineRule="atLeast"/>
                    <w:jc w:val="both"/>
                    <w:outlineLvl w:val="2"/>
                    <w:rPr>
                      <w:rFonts w:ascii="Verdana" w:hAnsi="Verdana"/>
                      <w:b/>
                      <w:sz w:val="20"/>
                      <w:szCs w:val="26"/>
                      <w:lang w:eastAsia="lt-LT"/>
                    </w:rPr>
                  </w:pPr>
                  <w:sdt>
                    <w:sdtPr>
                      <w:alias w:val="Numeris"/>
                      <w:tag w:val="nr_7cd815d45c5441b3a7a77c90adecafec"/>
                      <w:lock w:val="sdtLocked"/>
                      <w:richText/>
                    </w:sdtPr>
                    <w:sdtContent>
                      <w:r>
                        <w:rPr>
                          <w:rFonts w:ascii="Verdana" w:hAnsi="Verdana"/>
                          <w:b/>
                          <w:sz w:val="20"/>
                          <w:szCs w:val="26"/>
                          <w:lang w:eastAsia="lt-LT"/>
                        </w:rPr>
                        <w:t>6.1</w:t>
                      </w:r>
                    </w:sdtContent>
                  </w:sdt>
                  <w:r>
                    <w:rPr>
                      <w:rFonts w:ascii="Verdana" w:hAnsi="Verdana"/>
                      <w:b/>
                      <w:sz w:val="20"/>
                      <w:szCs w:val="26"/>
                      <w:lang w:eastAsia="lt-LT"/>
                    </w:rPr>
                    <w:t xml:space="preserve">.   Viešojo transporto sprendinių įgyvendinimo prioritetai</w:t>
                  </w:r>
                </w:p>
                <w:p>
                  <w:pPr>
                    <w:rPr>
                      <w:sz w:val="16"/>
                      <w:szCs w:val="16"/>
                    </w:rPr>
                  </w:pPr>
                </w:p>
                <w:p>
                  <w:pPr>
                    <w:suppressAutoHyphens/>
                    <w:spacing w:line="360" w:lineRule="auto"/>
                    <w:jc w:val="both"/>
                    <w:rPr>
                      <w:color w:val="404040"/>
                      <w:sz w:val="20"/>
                      <w:lang w:eastAsia="lt-LT"/>
                    </w:rPr>
                  </w:pPr>
                </w:p>
                <w:p>
                  <w:pPr>
                    <w:rPr>
                      <w:sz w:val="10"/>
                      <w:szCs w:val="10"/>
                    </w:rPr>
                  </w:pPr>
                </w:p>
                <w:p>
                  <w:pPr>
                    <w:suppressAutoHyphens/>
                    <w:spacing w:line="280" w:lineRule="atLeast"/>
                    <w:jc w:val="both"/>
                    <w:rPr>
                      <w:sz w:val="20"/>
                      <w:lang w:eastAsia="ar-SA"/>
                    </w:rPr>
                  </w:pPr>
                  <w:r>
                    <w:rPr>
                      <w:b/>
                      <w:sz w:val="20"/>
                      <w:lang w:eastAsia="ar-SA"/>
                    </w:rPr>
                    <w:t>Integruoto bilieto įdiegiant naują el. bilieto sistemą</w:t>
                  </w:r>
                  <w:r>
                    <w:rPr>
                      <w:sz w:val="20"/>
                      <w:lang w:eastAsia="ar-SA"/>
                    </w:rPr>
                    <w:t xml:space="preserve"> </w:t>
                  </w:r>
                  <w:r>
                    <w:rPr>
                      <w:b/>
                      <w:sz w:val="20"/>
                      <w:lang w:eastAsia="ar-SA"/>
                    </w:rPr>
                    <w:t>sukūrimas ir įdiegimas.</w:t>
                  </w:r>
                  <w:r>
                    <w:rPr>
                      <w:sz w:val="20"/>
                      <w:lang w:eastAsia="ar-SA"/>
                    </w:rPr>
                    <w:t xml:space="preserve"> Sukuriamas ir įdiegiamas naujas bendras elektroninis bilietas viešajame transporte bent tarp dviejų savivaldybių. Siūlomi įgyvendinimo metai 2023  – 2026 m.</w:t>
                  </w:r>
                </w:p>
                <w:p>
                  <w:pPr>
                    <w:rPr>
                      <w:sz w:val="10"/>
                      <w:szCs w:val="10"/>
                    </w:rPr>
                  </w:pPr>
                </w:p>
                <w:p>
                  <w:pPr>
                    <w:suppressAutoHyphens/>
                    <w:spacing w:line="280" w:lineRule="atLeast"/>
                    <w:jc w:val="both"/>
                    <w:rPr>
                      <w:sz w:val="20"/>
                      <w:lang w:eastAsia="ar-SA"/>
                    </w:rPr>
                  </w:pPr>
                </w:p>
                <w:p>
                  <w:pPr>
                    <w:rPr>
                      <w:sz w:val="10"/>
                      <w:szCs w:val="10"/>
                    </w:rPr>
                  </w:pPr>
                </w:p>
                <w:p>
                  <w:pPr>
                    <w:suppressAutoHyphens/>
                    <w:spacing w:line="280" w:lineRule="atLeast"/>
                    <w:jc w:val="both"/>
                    <w:rPr>
                      <w:sz w:val="20"/>
                      <w:lang w:eastAsia="ar-SA"/>
                    </w:rPr>
                  </w:pPr>
                  <w:r>
                    <w:rPr>
                      <w:sz w:val="20"/>
                      <w:lang w:eastAsia="ar-SA"/>
                    </w:rPr>
                    <w:t xml:space="preserve">Viešojo transporto juostų ir „Statyk ir Važiuok“ aikštelių įdiegimas sudalintas į </w:t>
                  </w:r>
                  <w:r>
                    <w:rPr>
                      <w:strike/>
                      <w:sz w:val="20"/>
                      <w:lang w:eastAsia="ar-SA"/>
                    </w:rPr>
                    <w:t>9</w:t>
                  </w:r>
                  <w:r>
                    <w:rPr>
                      <w:sz w:val="20"/>
                      <w:lang w:eastAsia="ar-SA"/>
                    </w:rPr>
                    <w:t xml:space="preserve"> </w:t>
                  </w:r>
                  <w:r>
                    <w:rPr>
                      <w:b/>
                      <w:sz w:val="20"/>
                      <w:lang w:eastAsia="ar-SA"/>
                    </w:rPr>
                    <w:t>8</w:t>
                  </w:r>
                  <w:r>
                    <w:rPr>
                      <w:sz w:val="20"/>
                      <w:lang w:eastAsia="ar-SA"/>
                    </w:rPr>
                    <w:t xml:space="preserve"> prioritetus pagal jų svarbą:</w:t>
                  </w:r>
                </w:p>
                <w:p>
                  <w:pPr>
                    <w:rPr>
                      <w:sz w:val="10"/>
                      <w:szCs w:val="10"/>
                    </w:rPr>
                  </w:pPr>
                </w:p>
                <w:p>
                  <w:pPr>
                    <w:suppressAutoHyphens/>
                    <w:spacing w:line="280" w:lineRule="atLeast"/>
                    <w:jc w:val="both"/>
                    <w:rPr>
                      <w:b/>
                      <w:i/>
                      <w:sz w:val="18"/>
                      <w:szCs w:val="18"/>
                      <w:lang w:eastAsia="da-DK"/>
                    </w:rPr>
                  </w:pPr>
                  <w:r>
                    <w:rPr>
                      <w:b/>
                      <w:i/>
                      <w:sz w:val="18"/>
                      <w:szCs w:val="18"/>
                      <w:lang w:eastAsia="da-DK"/>
                    </w:rPr>
                    <w:t xml:space="preserve">68 lentelė. </w:t>
                  </w:r>
                  <w:r>
                    <w:rPr>
                      <w:i/>
                      <w:sz w:val="18"/>
                      <w:szCs w:val="18"/>
                      <w:lang w:eastAsia="da-DK"/>
                    </w:rPr>
                    <w:t>Viešojo transporto sprendinių įgyvendinimo prioritetai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5818"/>
                    <w:gridCol w:w="1361"/>
                    <w:gridCol w:w="1615"/>
                  </w:tblGrid>
                  <w:tr>
                    <w:tc>
                      <w:tcPr>
                        <w:tcW w:w="556" w:type="dxa"/>
                        <w:shd w:val="clear" w:color="auto" w:fill="F2F2F2" w:themeFill="background1" w:themeFillShade="F2"/>
                      </w:tcPr>
                      <w:p>
                        <w:pPr>
                          <w:rPr>
                            <w:sz w:val="2"/>
                            <w:szCs w:val="2"/>
                          </w:rPr>
                        </w:pPr>
                      </w:p>
                      <w:p>
                        <w:pPr>
                          <w:suppressAutoHyphens/>
                          <w:jc w:val="center"/>
                          <w:rPr>
                            <w:b/>
                            <w:sz w:val="17"/>
                            <w:szCs w:val="17"/>
                            <w:lang w:eastAsia="ar-SA"/>
                          </w:rPr>
                        </w:pPr>
                        <w:r>
                          <w:rPr>
                            <w:b/>
                            <w:sz w:val="17"/>
                            <w:szCs w:val="17"/>
                            <w:lang w:eastAsia="ar-SA"/>
                          </w:rPr>
                          <w:t>Eil. Nr.</w:t>
                        </w:r>
                      </w:p>
                    </w:tc>
                    <w:tc>
                      <w:tcPr>
                        <w:tcW w:w="5818" w:type="dxa"/>
                        <w:shd w:val="clear" w:color="auto" w:fill="F2F2F2" w:themeFill="background1" w:themeFillShade="F2"/>
                      </w:tcPr>
                      <w:p>
                        <w:pPr>
                          <w:rPr>
                            <w:sz w:val="2"/>
                            <w:szCs w:val="2"/>
                          </w:rPr>
                        </w:pPr>
                      </w:p>
                      <w:p>
                        <w:pPr>
                          <w:suppressAutoHyphens/>
                          <w:jc w:val="both"/>
                          <w:rPr>
                            <w:b/>
                            <w:sz w:val="17"/>
                            <w:szCs w:val="17"/>
                            <w:lang w:eastAsia="ar-SA"/>
                          </w:rPr>
                        </w:pPr>
                        <w:r>
                          <w:rPr>
                            <w:b/>
                            <w:sz w:val="17"/>
                            <w:szCs w:val="17"/>
                            <w:lang w:eastAsia="ar-SA"/>
                          </w:rPr>
                          <w:t>Priemonė</w:t>
                        </w:r>
                      </w:p>
                    </w:tc>
                    <w:tc>
                      <w:tcPr>
                        <w:tcW w:w="1361" w:type="dxa"/>
                        <w:shd w:val="clear" w:color="auto" w:fill="F2F2F2" w:themeFill="background1" w:themeFillShade="F2"/>
                      </w:tcPr>
                      <w:p>
                        <w:pPr>
                          <w:rPr>
                            <w:sz w:val="2"/>
                            <w:szCs w:val="2"/>
                          </w:rPr>
                        </w:pPr>
                      </w:p>
                      <w:p>
                        <w:pPr>
                          <w:suppressAutoHyphens/>
                          <w:jc w:val="center"/>
                          <w:rPr>
                            <w:b/>
                            <w:sz w:val="17"/>
                            <w:szCs w:val="17"/>
                            <w:lang w:eastAsia="ar-SA"/>
                          </w:rPr>
                        </w:pPr>
                        <w:r>
                          <w:rPr>
                            <w:b/>
                            <w:sz w:val="17"/>
                            <w:szCs w:val="17"/>
                            <w:lang w:eastAsia="ar-SA"/>
                          </w:rPr>
                          <w:t xml:space="preserve">Ilgis, km / vietų sk. </w:t>
                        </w:r>
                      </w:p>
                    </w:tc>
                    <w:tc>
                      <w:tcPr>
                        <w:tcW w:w="1615" w:type="dxa"/>
                        <w:shd w:val="clear" w:color="auto" w:fill="F2F2F2" w:themeFill="background1" w:themeFillShade="F2"/>
                      </w:tcPr>
                      <w:p>
                        <w:pPr>
                          <w:rPr>
                            <w:sz w:val="2"/>
                            <w:szCs w:val="2"/>
                          </w:rPr>
                        </w:pPr>
                      </w:p>
                      <w:p>
                        <w:pPr>
                          <w:suppressAutoHyphens/>
                          <w:jc w:val="center"/>
                          <w:rPr>
                            <w:b/>
                            <w:sz w:val="17"/>
                            <w:szCs w:val="17"/>
                            <w:lang w:eastAsia="ar-SA"/>
                          </w:rPr>
                        </w:pPr>
                        <w:r>
                          <w:rPr>
                            <w:b/>
                            <w:sz w:val="17"/>
                            <w:szCs w:val="17"/>
                            <w:lang w:eastAsia="ar-SA"/>
                          </w:rPr>
                          <w:t>Siūlomi įdiegimo metai</w:t>
                        </w:r>
                      </w:p>
                    </w:tc>
                  </w:tr>
                  <w:tr>
                    <w:tc>
                      <w:tcPr>
                        <w:tcW w:w="556" w:type="dxa"/>
                      </w:tcPr>
                      <w:p>
                        <w:pPr>
                          <w:rPr>
                            <w:sz w:val="2"/>
                            <w:szCs w:val="2"/>
                          </w:rPr>
                        </w:pPr>
                      </w:p>
                      <w:p>
                        <w:pPr>
                          <w:suppressAutoHyphens/>
                          <w:jc w:val="center"/>
                          <w:rPr>
                            <w:sz w:val="17"/>
                            <w:szCs w:val="17"/>
                            <w:lang w:eastAsia="ar-SA"/>
                          </w:rPr>
                        </w:pPr>
                        <w:r>
                          <w:rPr>
                            <w:sz w:val="17"/>
                            <w:szCs w:val="17"/>
                            <w:lang w:eastAsia="ar-SA"/>
                          </w:rPr>
                          <w:t>1.</w:t>
                        </w:r>
                      </w:p>
                    </w:tc>
                    <w:tc>
                      <w:tcPr>
                        <w:tcW w:w="5818" w:type="dxa"/>
                      </w:tcPr>
                      <w:p>
                        <w:pPr>
                          <w:rPr>
                            <w:sz w:val="2"/>
                            <w:szCs w:val="2"/>
                          </w:rPr>
                        </w:pPr>
                      </w:p>
                      <w:p>
                        <w:pPr>
                          <w:suppressAutoHyphens/>
                          <w:jc w:val="both"/>
                          <w:rPr>
                            <w:sz w:val="17"/>
                            <w:szCs w:val="17"/>
                            <w:lang w:eastAsia="ar-SA"/>
                          </w:rPr>
                        </w:pPr>
                        <w:r>
                          <w:rPr>
                            <w:sz w:val="17"/>
                            <w:szCs w:val="17"/>
                            <w:lang w:eastAsia="ar-SA"/>
                          </w:rPr>
                          <w:t>„Statyk ir važiuok“ aikštelė Vilniaus gatvėje (Radviliškio kryptimi)</w:t>
                        </w:r>
                      </w:p>
                    </w:tc>
                    <w:tc>
                      <w:tcPr>
                        <w:tcW w:w="1361" w:type="dxa"/>
                      </w:tcPr>
                      <w:p>
                        <w:pPr>
                          <w:rPr>
                            <w:sz w:val="2"/>
                            <w:szCs w:val="2"/>
                          </w:rPr>
                        </w:pPr>
                      </w:p>
                      <w:p>
                        <w:pPr>
                          <w:suppressAutoHyphens/>
                          <w:jc w:val="center"/>
                          <w:rPr>
                            <w:sz w:val="17"/>
                            <w:szCs w:val="17"/>
                            <w:lang w:eastAsia="ar-SA"/>
                          </w:rPr>
                        </w:pPr>
                        <w:r>
                          <w:rPr>
                            <w:strike/>
                            <w:sz w:val="17"/>
                            <w:szCs w:val="17"/>
                            <w:lang w:eastAsia="ar-SA"/>
                          </w:rPr>
                          <w:t>70</w:t>
                        </w:r>
                        <w:r>
                          <w:rPr>
                            <w:sz w:val="17"/>
                            <w:szCs w:val="17"/>
                            <w:lang w:eastAsia="ar-SA"/>
                          </w:rPr>
                          <w:t xml:space="preserve"> </w:t>
                        </w:r>
                        <w:r>
                          <w:rPr>
                            <w:b/>
                            <w:sz w:val="17"/>
                            <w:szCs w:val="17"/>
                            <w:lang w:eastAsia="ar-SA"/>
                          </w:rPr>
                          <w:t>30-50</w:t>
                        </w:r>
                        <w:r>
                          <w:rPr>
                            <w:sz w:val="17"/>
                            <w:szCs w:val="17"/>
                            <w:lang w:eastAsia="ar-SA"/>
                          </w:rPr>
                          <w:t xml:space="preserve"> vietų</w:t>
                        </w:r>
                      </w:p>
                    </w:tc>
                    <w:tc>
                      <w:tcPr>
                        <w:tcW w:w="1615" w:type="dxa"/>
                      </w:tcPr>
                      <w:p>
                        <w:pPr>
                          <w:rPr>
                            <w:sz w:val="2"/>
                            <w:szCs w:val="2"/>
                          </w:rPr>
                        </w:pPr>
                      </w:p>
                      <w:p>
                        <w:pPr>
                          <w:suppressAutoHyphens/>
                          <w:jc w:val="center"/>
                          <w:rPr>
                            <w:sz w:val="17"/>
                            <w:szCs w:val="17"/>
                            <w:lang w:eastAsia="ar-SA"/>
                          </w:rPr>
                        </w:pPr>
                        <w:r>
                          <w:rPr>
                            <w:sz w:val="17"/>
                            <w:szCs w:val="17"/>
                            <w:lang w:eastAsia="ar-SA"/>
                          </w:rPr>
                          <w:t>Iki 2026 m.</w:t>
                        </w:r>
                      </w:p>
                    </w:tc>
                  </w:tr>
                  <w:tr>
                    <w:tc>
                      <w:tcPr>
                        <w:tcW w:w="556" w:type="dxa"/>
                      </w:tcPr>
                      <w:p>
                        <w:pPr>
                          <w:rPr>
                            <w:sz w:val="2"/>
                            <w:szCs w:val="2"/>
                          </w:rPr>
                        </w:pPr>
                      </w:p>
                      <w:p>
                        <w:pPr>
                          <w:suppressAutoHyphens/>
                          <w:jc w:val="center"/>
                          <w:rPr>
                            <w:sz w:val="17"/>
                            <w:szCs w:val="17"/>
                            <w:lang w:eastAsia="ar-SA"/>
                          </w:rPr>
                        </w:pPr>
                        <w:r>
                          <w:rPr>
                            <w:sz w:val="17"/>
                            <w:szCs w:val="17"/>
                            <w:lang w:eastAsia="ar-SA"/>
                          </w:rPr>
                          <w:t>2.</w:t>
                        </w:r>
                      </w:p>
                    </w:tc>
                    <w:tc>
                      <w:tcPr>
                        <w:tcW w:w="5818" w:type="dxa"/>
                      </w:tcPr>
                      <w:p>
                        <w:pPr>
                          <w:rPr>
                            <w:sz w:val="2"/>
                            <w:szCs w:val="2"/>
                          </w:rPr>
                        </w:pPr>
                      </w:p>
                      <w:p>
                        <w:pPr>
                          <w:suppressAutoHyphens/>
                          <w:jc w:val="both"/>
                          <w:rPr>
                            <w:sz w:val="17"/>
                            <w:szCs w:val="17"/>
                            <w:lang w:eastAsia="ar-SA"/>
                          </w:rPr>
                        </w:pPr>
                        <w:r>
                          <w:rPr>
                            <w:sz w:val="17"/>
                            <w:szCs w:val="17"/>
                            <w:lang w:eastAsia="ar-SA"/>
                          </w:rPr>
                          <w:t>Viešojo transporto juostos Tilžės gatvėje (Kelmės kryptimi)</w:t>
                        </w:r>
                      </w:p>
                    </w:tc>
                    <w:tc>
                      <w:tcPr>
                        <w:tcW w:w="1361" w:type="dxa"/>
                      </w:tcPr>
                      <w:p>
                        <w:pPr>
                          <w:rPr>
                            <w:sz w:val="2"/>
                            <w:szCs w:val="2"/>
                          </w:rPr>
                        </w:pPr>
                      </w:p>
                      <w:p>
                        <w:pPr>
                          <w:suppressAutoHyphens/>
                          <w:jc w:val="center"/>
                          <w:rPr>
                            <w:sz w:val="17"/>
                            <w:szCs w:val="17"/>
                            <w:lang w:eastAsia="ar-SA"/>
                          </w:rPr>
                        </w:pPr>
                        <w:r>
                          <w:rPr>
                            <w:sz w:val="17"/>
                            <w:szCs w:val="17"/>
                            <w:lang w:eastAsia="ar-SA"/>
                          </w:rPr>
                          <w:t>6,50 km</w:t>
                        </w:r>
                      </w:p>
                    </w:tc>
                    <w:tc>
                      <w:tcPr>
                        <w:tcW w:w="1615" w:type="dxa"/>
                      </w:tcPr>
                      <w:p>
                        <w:pPr>
                          <w:rPr>
                            <w:sz w:val="2"/>
                            <w:szCs w:val="2"/>
                          </w:rPr>
                        </w:pPr>
                      </w:p>
                      <w:p>
                        <w:pPr>
                          <w:suppressAutoHyphens/>
                          <w:jc w:val="center"/>
                          <w:rPr>
                            <w:sz w:val="17"/>
                            <w:szCs w:val="17"/>
                            <w:lang w:eastAsia="ar-SA"/>
                          </w:rPr>
                        </w:pPr>
                        <w:r>
                          <w:rPr>
                            <w:sz w:val="17"/>
                            <w:szCs w:val="17"/>
                            <w:lang w:eastAsia="ar-SA"/>
                          </w:rPr>
                          <w:t>Iki 2027 m.</w:t>
                        </w:r>
                      </w:p>
                    </w:tc>
                  </w:tr>
                  <w:tr>
                    <w:tc>
                      <w:tcPr>
                        <w:tcW w:w="556" w:type="dxa"/>
                      </w:tcPr>
                      <w:p>
                        <w:pPr>
                          <w:rPr>
                            <w:sz w:val="2"/>
                            <w:szCs w:val="2"/>
                          </w:rPr>
                        </w:pPr>
                      </w:p>
                      <w:p>
                        <w:pPr>
                          <w:suppressAutoHyphens/>
                          <w:jc w:val="center"/>
                          <w:rPr>
                            <w:sz w:val="17"/>
                            <w:szCs w:val="17"/>
                            <w:lang w:eastAsia="ar-SA"/>
                          </w:rPr>
                        </w:pPr>
                        <w:r>
                          <w:rPr>
                            <w:sz w:val="17"/>
                            <w:szCs w:val="17"/>
                            <w:lang w:eastAsia="ar-SA"/>
                          </w:rPr>
                          <w:t>3.</w:t>
                        </w:r>
                      </w:p>
                    </w:tc>
                    <w:tc>
                      <w:tcPr>
                        <w:tcW w:w="5818" w:type="dxa"/>
                      </w:tcPr>
                      <w:p>
                        <w:pPr>
                          <w:rPr>
                            <w:sz w:val="2"/>
                            <w:szCs w:val="2"/>
                          </w:rPr>
                        </w:pPr>
                      </w:p>
                      <w:p>
                        <w:pPr>
                          <w:suppressAutoHyphens/>
                          <w:jc w:val="both"/>
                          <w:rPr>
                            <w:sz w:val="17"/>
                            <w:szCs w:val="17"/>
                            <w:lang w:eastAsia="ar-SA"/>
                          </w:rPr>
                        </w:pPr>
                        <w:r>
                          <w:rPr>
                            <w:sz w:val="17"/>
                            <w:szCs w:val="17"/>
                            <w:lang w:eastAsia="ar-SA"/>
                          </w:rPr>
                          <w:t>„Statyk ir važiuok“ aikštelė Tilžės gatvėje (Kelmės kryptimi)</w:t>
                        </w:r>
                      </w:p>
                    </w:tc>
                    <w:tc>
                      <w:tcPr>
                        <w:tcW w:w="1361" w:type="dxa"/>
                      </w:tcPr>
                      <w:p>
                        <w:pPr>
                          <w:rPr>
                            <w:sz w:val="2"/>
                            <w:szCs w:val="2"/>
                          </w:rPr>
                        </w:pPr>
                      </w:p>
                      <w:p>
                        <w:pPr>
                          <w:suppressAutoHyphens/>
                          <w:jc w:val="center"/>
                          <w:rPr>
                            <w:sz w:val="17"/>
                            <w:szCs w:val="17"/>
                            <w:lang w:eastAsia="ar-SA"/>
                          </w:rPr>
                        </w:pPr>
                        <w:r>
                          <w:rPr>
                            <w:strike/>
                            <w:sz w:val="17"/>
                            <w:szCs w:val="17"/>
                            <w:lang w:eastAsia="ar-SA"/>
                          </w:rPr>
                          <w:t>70</w:t>
                        </w:r>
                        <w:r>
                          <w:rPr>
                            <w:sz w:val="17"/>
                            <w:szCs w:val="17"/>
                            <w:lang w:eastAsia="ar-SA"/>
                          </w:rPr>
                          <w:t xml:space="preserve"> </w:t>
                        </w:r>
                        <w:r>
                          <w:rPr>
                            <w:b/>
                            <w:sz w:val="17"/>
                            <w:szCs w:val="17"/>
                            <w:lang w:eastAsia="ar-SA"/>
                          </w:rPr>
                          <w:t>60-130</w:t>
                        </w:r>
                        <w:r>
                          <w:rPr>
                            <w:sz w:val="17"/>
                            <w:szCs w:val="17"/>
                            <w:lang w:eastAsia="ar-SA"/>
                          </w:rPr>
                          <w:t xml:space="preserve"> vietų</w:t>
                        </w:r>
                      </w:p>
                    </w:tc>
                    <w:tc>
                      <w:tcPr>
                        <w:tcW w:w="1615" w:type="dxa"/>
                      </w:tcPr>
                      <w:p>
                        <w:pPr>
                          <w:rPr>
                            <w:sz w:val="2"/>
                            <w:szCs w:val="2"/>
                          </w:rPr>
                        </w:pPr>
                      </w:p>
                      <w:p>
                        <w:pPr>
                          <w:suppressAutoHyphens/>
                          <w:jc w:val="center"/>
                          <w:rPr>
                            <w:sz w:val="17"/>
                            <w:szCs w:val="17"/>
                            <w:lang w:eastAsia="ar-SA"/>
                          </w:rPr>
                        </w:pPr>
                        <w:r>
                          <w:rPr>
                            <w:sz w:val="17"/>
                            <w:szCs w:val="17"/>
                            <w:lang w:eastAsia="ar-SA"/>
                          </w:rPr>
                          <w:t>Iki 2027 m.</w:t>
                        </w:r>
                      </w:p>
                    </w:tc>
                  </w:tr>
                  <w:tr>
                    <w:tc>
                      <w:tcPr>
                        <w:tcW w:w="556" w:type="dxa"/>
                      </w:tcPr>
                      <w:p>
                        <w:pPr>
                          <w:rPr>
                            <w:sz w:val="2"/>
                            <w:szCs w:val="2"/>
                          </w:rPr>
                        </w:pPr>
                      </w:p>
                      <w:p>
                        <w:pPr>
                          <w:suppressAutoHyphens/>
                          <w:jc w:val="center"/>
                          <w:rPr>
                            <w:sz w:val="17"/>
                            <w:szCs w:val="17"/>
                            <w:lang w:eastAsia="ar-SA"/>
                          </w:rPr>
                        </w:pPr>
                        <w:r>
                          <w:rPr>
                            <w:sz w:val="17"/>
                            <w:szCs w:val="17"/>
                            <w:lang w:eastAsia="ar-SA"/>
                          </w:rPr>
                          <w:t>4.</w:t>
                        </w:r>
                      </w:p>
                    </w:tc>
                    <w:tc>
                      <w:tcPr>
                        <w:tcW w:w="5818" w:type="dxa"/>
                      </w:tcPr>
                      <w:p>
                        <w:pPr>
                          <w:rPr>
                            <w:sz w:val="2"/>
                            <w:szCs w:val="2"/>
                          </w:rPr>
                        </w:pPr>
                      </w:p>
                      <w:p>
                        <w:pPr>
                          <w:suppressAutoHyphens/>
                          <w:jc w:val="both"/>
                          <w:rPr>
                            <w:sz w:val="17"/>
                            <w:szCs w:val="17"/>
                            <w:lang w:eastAsia="ar-SA"/>
                          </w:rPr>
                        </w:pPr>
                        <w:r>
                          <w:rPr>
                            <w:sz w:val="17"/>
                            <w:szCs w:val="17"/>
                            <w:lang w:eastAsia="ar-SA"/>
                          </w:rPr>
                          <w:t>Viešojo transporto juostos Vilniaus gatvėje (Kuršėnų kryptimi)</w:t>
                        </w:r>
                      </w:p>
                    </w:tc>
                    <w:tc>
                      <w:tcPr>
                        <w:tcW w:w="1361" w:type="dxa"/>
                      </w:tcPr>
                      <w:p>
                        <w:pPr>
                          <w:rPr>
                            <w:sz w:val="2"/>
                            <w:szCs w:val="2"/>
                          </w:rPr>
                        </w:pPr>
                      </w:p>
                      <w:p>
                        <w:pPr>
                          <w:suppressAutoHyphens/>
                          <w:jc w:val="center"/>
                          <w:rPr>
                            <w:sz w:val="17"/>
                            <w:szCs w:val="17"/>
                            <w:lang w:eastAsia="ar-SA"/>
                          </w:rPr>
                        </w:pPr>
                        <w:r>
                          <w:rPr>
                            <w:sz w:val="17"/>
                            <w:szCs w:val="17"/>
                            <w:lang w:eastAsia="ar-SA"/>
                          </w:rPr>
                          <w:t>4,26 km</w:t>
                        </w:r>
                      </w:p>
                    </w:tc>
                    <w:tc>
                      <w:tcPr>
                        <w:tcW w:w="1615" w:type="dxa"/>
                      </w:tcPr>
                      <w:p>
                        <w:pPr>
                          <w:rPr>
                            <w:sz w:val="2"/>
                            <w:szCs w:val="2"/>
                          </w:rPr>
                        </w:pPr>
                      </w:p>
                      <w:p>
                        <w:pPr>
                          <w:suppressAutoHyphens/>
                          <w:jc w:val="center"/>
                          <w:rPr>
                            <w:sz w:val="17"/>
                            <w:szCs w:val="17"/>
                            <w:lang w:eastAsia="ar-SA"/>
                          </w:rPr>
                        </w:pPr>
                        <w:r>
                          <w:rPr>
                            <w:sz w:val="17"/>
                            <w:szCs w:val="17"/>
                            <w:lang w:eastAsia="ar-SA"/>
                          </w:rPr>
                          <w:t>Iki 2028 m.</w:t>
                        </w:r>
                      </w:p>
                    </w:tc>
                  </w:tr>
                  <w:tr>
                    <w:tc>
                      <w:tcPr>
                        <w:tcW w:w="556" w:type="dxa"/>
                      </w:tcPr>
                      <w:p>
                        <w:pPr>
                          <w:rPr>
                            <w:sz w:val="2"/>
                            <w:szCs w:val="2"/>
                          </w:rPr>
                        </w:pPr>
                      </w:p>
                      <w:p>
                        <w:pPr>
                          <w:suppressAutoHyphens/>
                          <w:jc w:val="center"/>
                          <w:rPr>
                            <w:sz w:val="17"/>
                            <w:szCs w:val="17"/>
                            <w:lang w:eastAsia="ar-SA"/>
                          </w:rPr>
                        </w:pPr>
                        <w:r>
                          <w:rPr>
                            <w:sz w:val="17"/>
                            <w:szCs w:val="17"/>
                            <w:lang w:eastAsia="ar-SA"/>
                          </w:rPr>
                          <w:t>5.</w:t>
                        </w:r>
                      </w:p>
                    </w:tc>
                    <w:tc>
                      <w:tcPr>
                        <w:tcW w:w="5818" w:type="dxa"/>
                      </w:tcPr>
                      <w:p>
                        <w:pPr>
                          <w:rPr>
                            <w:sz w:val="2"/>
                            <w:szCs w:val="2"/>
                          </w:rPr>
                        </w:pPr>
                      </w:p>
                      <w:p>
                        <w:pPr>
                          <w:suppressAutoHyphens/>
                          <w:jc w:val="both"/>
                          <w:rPr>
                            <w:sz w:val="17"/>
                            <w:szCs w:val="17"/>
                            <w:lang w:eastAsia="ar-SA"/>
                          </w:rPr>
                        </w:pPr>
                        <w:r>
                          <w:rPr>
                            <w:sz w:val="17"/>
                            <w:szCs w:val="17"/>
                            <w:lang w:eastAsia="ar-SA"/>
                          </w:rPr>
                          <w:t xml:space="preserve">„Statyk ir važiuok“ aikštelė </w:t>
                        </w:r>
                        <w:r>
                          <w:rPr>
                            <w:strike/>
                            <w:sz w:val="17"/>
                            <w:szCs w:val="17"/>
                            <w:lang w:eastAsia="ar-SA"/>
                          </w:rPr>
                          <w:t>Vilniaus</w:t>
                        </w:r>
                        <w:r>
                          <w:rPr>
                            <w:sz w:val="17"/>
                            <w:szCs w:val="17"/>
                            <w:lang w:eastAsia="ar-SA"/>
                          </w:rPr>
                          <w:t xml:space="preserve"> </w:t>
                        </w:r>
                        <w:r>
                          <w:rPr>
                            <w:b/>
                            <w:sz w:val="17"/>
                            <w:szCs w:val="17"/>
                            <w:lang w:eastAsia="ar-SA"/>
                          </w:rPr>
                          <w:t>Žemaitės</w:t>
                        </w:r>
                        <w:r>
                          <w:rPr>
                            <w:sz w:val="17"/>
                            <w:szCs w:val="17"/>
                            <w:lang w:eastAsia="ar-SA"/>
                          </w:rPr>
                          <w:t xml:space="preserve"> gatvėje </w:t>
                        </w:r>
                        <w:r>
                          <w:rPr>
                            <w:strike/>
                            <w:sz w:val="17"/>
                            <w:szCs w:val="17"/>
                            <w:lang w:eastAsia="ar-SA"/>
                          </w:rPr>
                          <w:t>(Kuršėnų kryptimi)</w:t>
                        </w:r>
                      </w:p>
                    </w:tc>
                    <w:tc>
                      <w:tcPr>
                        <w:tcW w:w="1361" w:type="dxa"/>
                      </w:tcPr>
                      <w:p>
                        <w:pPr>
                          <w:rPr>
                            <w:sz w:val="2"/>
                            <w:szCs w:val="2"/>
                          </w:rPr>
                        </w:pPr>
                      </w:p>
                      <w:p>
                        <w:pPr>
                          <w:suppressAutoHyphens/>
                          <w:jc w:val="center"/>
                          <w:rPr>
                            <w:sz w:val="17"/>
                            <w:szCs w:val="17"/>
                            <w:lang w:eastAsia="ar-SA"/>
                          </w:rPr>
                        </w:pPr>
                        <w:r>
                          <w:rPr>
                            <w:strike/>
                            <w:sz w:val="17"/>
                            <w:szCs w:val="17"/>
                            <w:lang w:eastAsia="ar-SA"/>
                          </w:rPr>
                          <w:t>70</w:t>
                        </w:r>
                        <w:r>
                          <w:rPr>
                            <w:sz w:val="17"/>
                            <w:szCs w:val="17"/>
                            <w:lang w:eastAsia="ar-SA"/>
                          </w:rPr>
                          <w:t xml:space="preserve"> </w:t>
                        </w:r>
                        <w:r>
                          <w:rPr>
                            <w:b/>
                            <w:sz w:val="17"/>
                            <w:szCs w:val="17"/>
                            <w:lang w:eastAsia="ar-SA"/>
                          </w:rPr>
                          <w:t>130-250</w:t>
                        </w:r>
                        <w:r>
                          <w:rPr>
                            <w:sz w:val="17"/>
                            <w:szCs w:val="17"/>
                            <w:lang w:eastAsia="ar-SA"/>
                          </w:rPr>
                          <w:t xml:space="preserve"> vietų</w:t>
                        </w:r>
                      </w:p>
                    </w:tc>
                    <w:tc>
                      <w:tcPr>
                        <w:tcW w:w="1615" w:type="dxa"/>
                      </w:tcPr>
                      <w:p>
                        <w:pPr>
                          <w:rPr>
                            <w:sz w:val="2"/>
                            <w:szCs w:val="2"/>
                          </w:rPr>
                        </w:pPr>
                      </w:p>
                      <w:p>
                        <w:pPr>
                          <w:suppressAutoHyphens/>
                          <w:jc w:val="center"/>
                          <w:rPr>
                            <w:sz w:val="17"/>
                            <w:szCs w:val="17"/>
                            <w:lang w:eastAsia="ar-SA"/>
                          </w:rPr>
                        </w:pPr>
                        <w:r>
                          <w:rPr>
                            <w:sz w:val="17"/>
                            <w:szCs w:val="17"/>
                            <w:lang w:eastAsia="ar-SA"/>
                          </w:rPr>
                          <w:t>Iki 2028 m.</w:t>
                        </w:r>
                      </w:p>
                    </w:tc>
                  </w:tr>
                  <w:tr>
                    <w:tc>
                      <w:tcPr>
                        <w:tcW w:w="556" w:type="dxa"/>
                      </w:tcPr>
                      <w:p>
                        <w:pPr>
                          <w:rPr>
                            <w:sz w:val="2"/>
                            <w:szCs w:val="2"/>
                          </w:rPr>
                        </w:pPr>
                      </w:p>
                      <w:p>
                        <w:pPr>
                          <w:suppressAutoHyphens/>
                          <w:jc w:val="center"/>
                          <w:rPr>
                            <w:sz w:val="17"/>
                            <w:szCs w:val="17"/>
                            <w:lang w:eastAsia="ar-SA"/>
                          </w:rPr>
                        </w:pPr>
                        <w:r>
                          <w:rPr>
                            <w:sz w:val="17"/>
                            <w:szCs w:val="17"/>
                            <w:lang w:eastAsia="ar-SA"/>
                          </w:rPr>
                          <w:t>6.</w:t>
                        </w:r>
                      </w:p>
                    </w:tc>
                    <w:tc>
                      <w:tcPr>
                        <w:tcW w:w="5818" w:type="dxa"/>
                      </w:tcPr>
                      <w:p>
                        <w:pPr>
                          <w:rPr>
                            <w:sz w:val="2"/>
                            <w:szCs w:val="2"/>
                          </w:rPr>
                        </w:pPr>
                      </w:p>
                      <w:p>
                        <w:pPr>
                          <w:suppressAutoHyphens/>
                          <w:jc w:val="both"/>
                          <w:rPr>
                            <w:sz w:val="17"/>
                            <w:szCs w:val="17"/>
                            <w:lang w:eastAsia="ar-SA"/>
                          </w:rPr>
                        </w:pPr>
                        <w:r>
                          <w:rPr>
                            <w:sz w:val="17"/>
                            <w:szCs w:val="17"/>
                            <w:lang w:eastAsia="ar-SA"/>
                          </w:rPr>
                          <w:t>Viešojo transporto juostos Tilžės gatvėje (Joniškio kryptimi)</w:t>
                        </w:r>
                      </w:p>
                    </w:tc>
                    <w:tc>
                      <w:tcPr>
                        <w:tcW w:w="1361" w:type="dxa"/>
                      </w:tcPr>
                      <w:p>
                        <w:pPr>
                          <w:rPr>
                            <w:sz w:val="2"/>
                            <w:szCs w:val="2"/>
                          </w:rPr>
                        </w:pPr>
                      </w:p>
                      <w:p>
                        <w:pPr>
                          <w:suppressAutoHyphens/>
                          <w:jc w:val="center"/>
                          <w:rPr>
                            <w:sz w:val="17"/>
                            <w:szCs w:val="17"/>
                            <w:lang w:eastAsia="ar-SA"/>
                          </w:rPr>
                        </w:pPr>
                        <w:r>
                          <w:rPr>
                            <w:sz w:val="17"/>
                            <w:szCs w:val="17"/>
                            <w:lang w:eastAsia="ar-SA"/>
                          </w:rPr>
                          <w:t>7,10 km</w:t>
                        </w:r>
                      </w:p>
                    </w:tc>
                    <w:tc>
                      <w:tcPr>
                        <w:tcW w:w="1615" w:type="dxa"/>
                      </w:tcPr>
                      <w:p>
                        <w:pPr>
                          <w:rPr>
                            <w:sz w:val="2"/>
                            <w:szCs w:val="2"/>
                          </w:rPr>
                        </w:pPr>
                      </w:p>
                      <w:p>
                        <w:pPr>
                          <w:suppressAutoHyphens/>
                          <w:jc w:val="center"/>
                          <w:rPr>
                            <w:sz w:val="17"/>
                            <w:szCs w:val="17"/>
                            <w:lang w:eastAsia="ar-SA"/>
                          </w:rPr>
                        </w:pPr>
                        <w:r>
                          <w:rPr>
                            <w:sz w:val="17"/>
                            <w:szCs w:val="17"/>
                            <w:lang w:eastAsia="ar-SA"/>
                          </w:rPr>
                          <w:t>Iki 2029 m.</w:t>
                        </w:r>
                      </w:p>
                    </w:tc>
                  </w:tr>
                  <w:tr>
                    <w:tc>
                      <w:tcPr>
                        <w:tcW w:w="556" w:type="dxa"/>
                      </w:tcPr>
                      <w:p>
                        <w:pPr>
                          <w:rPr>
                            <w:sz w:val="2"/>
                            <w:szCs w:val="2"/>
                          </w:rPr>
                        </w:pPr>
                      </w:p>
                      <w:p>
                        <w:pPr>
                          <w:suppressAutoHyphens/>
                          <w:jc w:val="center"/>
                          <w:rPr>
                            <w:strike/>
                            <w:sz w:val="17"/>
                            <w:szCs w:val="17"/>
                            <w:lang w:eastAsia="ar-SA"/>
                          </w:rPr>
                        </w:pPr>
                        <w:r>
                          <w:rPr>
                            <w:strike/>
                            <w:sz w:val="17"/>
                            <w:szCs w:val="17"/>
                            <w:lang w:eastAsia="ar-SA"/>
                          </w:rPr>
                          <w:t>7.</w:t>
                        </w:r>
                      </w:p>
                    </w:tc>
                    <w:tc>
                      <w:tcPr>
                        <w:tcW w:w="5818" w:type="dxa"/>
                      </w:tcPr>
                      <w:p>
                        <w:pPr>
                          <w:rPr>
                            <w:sz w:val="2"/>
                            <w:szCs w:val="2"/>
                          </w:rPr>
                        </w:pPr>
                      </w:p>
                      <w:p>
                        <w:pPr>
                          <w:suppressAutoHyphens/>
                          <w:jc w:val="both"/>
                          <w:rPr>
                            <w:strike/>
                            <w:sz w:val="17"/>
                            <w:szCs w:val="17"/>
                            <w:lang w:eastAsia="ar-SA"/>
                          </w:rPr>
                        </w:pPr>
                        <w:r>
                          <w:rPr>
                            <w:strike/>
                            <w:sz w:val="17"/>
                            <w:szCs w:val="17"/>
                            <w:lang w:eastAsia="ar-SA"/>
                          </w:rPr>
                          <w:t>„Statyk ir važiuok“ aikštelė Tilžės gatvėje (Joniškio kryptimi)</w:t>
                        </w:r>
                      </w:p>
                    </w:tc>
                    <w:tc>
                      <w:tcPr>
                        <w:tcW w:w="1361" w:type="dxa"/>
                      </w:tcPr>
                      <w:p>
                        <w:pPr>
                          <w:rPr>
                            <w:sz w:val="2"/>
                            <w:szCs w:val="2"/>
                          </w:rPr>
                        </w:pPr>
                      </w:p>
                      <w:p>
                        <w:pPr>
                          <w:suppressAutoHyphens/>
                          <w:jc w:val="center"/>
                          <w:rPr>
                            <w:strike/>
                            <w:sz w:val="17"/>
                            <w:szCs w:val="17"/>
                            <w:lang w:eastAsia="ar-SA"/>
                          </w:rPr>
                        </w:pPr>
                        <w:r>
                          <w:rPr>
                            <w:strike/>
                            <w:sz w:val="17"/>
                            <w:szCs w:val="17"/>
                            <w:lang w:eastAsia="ar-SA"/>
                          </w:rPr>
                          <w:t>70 vietų</w:t>
                        </w:r>
                      </w:p>
                    </w:tc>
                    <w:tc>
                      <w:tcPr>
                        <w:tcW w:w="1615" w:type="dxa"/>
                      </w:tcPr>
                      <w:p>
                        <w:pPr>
                          <w:rPr>
                            <w:sz w:val="2"/>
                            <w:szCs w:val="2"/>
                          </w:rPr>
                        </w:pPr>
                      </w:p>
                      <w:p>
                        <w:pPr>
                          <w:suppressAutoHyphens/>
                          <w:jc w:val="center"/>
                          <w:rPr>
                            <w:strike/>
                            <w:sz w:val="17"/>
                            <w:szCs w:val="17"/>
                            <w:lang w:eastAsia="ar-SA"/>
                          </w:rPr>
                        </w:pPr>
                        <w:r>
                          <w:rPr>
                            <w:strike/>
                            <w:sz w:val="17"/>
                            <w:szCs w:val="17"/>
                            <w:lang w:eastAsia="ar-SA"/>
                          </w:rPr>
                          <w:t>Iki 2029 m.</w:t>
                        </w:r>
                      </w:p>
                    </w:tc>
                  </w:tr>
                  <w:tr>
                    <w:tc>
                      <w:tcPr>
                        <w:tcW w:w="556" w:type="dxa"/>
                      </w:tcPr>
                      <w:p>
                        <w:pPr>
                          <w:rPr>
                            <w:sz w:val="2"/>
                            <w:szCs w:val="2"/>
                          </w:rPr>
                        </w:pPr>
                      </w:p>
                      <w:p>
                        <w:pPr>
                          <w:suppressAutoHyphens/>
                          <w:jc w:val="center"/>
                          <w:rPr>
                            <w:sz w:val="17"/>
                            <w:szCs w:val="17"/>
                            <w:lang w:eastAsia="ar-SA"/>
                          </w:rPr>
                        </w:pPr>
                        <w:r>
                          <w:rPr>
                            <w:strike/>
                            <w:sz w:val="17"/>
                            <w:szCs w:val="17"/>
                            <w:lang w:eastAsia="ar-SA"/>
                          </w:rPr>
                          <w:t>8</w:t>
                        </w:r>
                        <w:r>
                          <w:rPr>
                            <w:sz w:val="17"/>
                            <w:szCs w:val="17"/>
                            <w:lang w:eastAsia="ar-SA"/>
                          </w:rPr>
                          <w:t xml:space="preserve">. </w:t>
                        </w:r>
                        <w:r>
                          <w:rPr>
                            <w:b/>
                            <w:sz w:val="17"/>
                            <w:szCs w:val="17"/>
                            <w:lang w:eastAsia="ar-SA"/>
                          </w:rPr>
                          <w:t>7.</w:t>
                        </w:r>
                      </w:p>
                    </w:tc>
                    <w:tc>
                      <w:tcPr>
                        <w:tcW w:w="5818" w:type="dxa"/>
                      </w:tcPr>
                      <w:p>
                        <w:pPr>
                          <w:rPr>
                            <w:sz w:val="2"/>
                            <w:szCs w:val="2"/>
                          </w:rPr>
                        </w:pPr>
                      </w:p>
                      <w:p>
                        <w:pPr>
                          <w:suppressAutoHyphens/>
                          <w:jc w:val="both"/>
                          <w:rPr>
                            <w:sz w:val="17"/>
                            <w:szCs w:val="17"/>
                            <w:lang w:eastAsia="ar-SA"/>
                          </w:rPr>
                        </w:pPr>
                        <w:r>
                          <w:rPr>
                            <w:sz w:val="17"/>
                            <w:szCs w:val="17"/>
                            <w:lang w:eastAsia="ar-SA"/>
                          </w:rPr>
                          <w:t>Viešojo transporto juostos miesto centrinėje dalyje</w:t>
                        </w:r>
                      </w:p>
                    </w:tc>
                    <w:tc>
                      <w:tcPr>
                        <w:tcW w:w="1361" w:type="dxa"/>
                      </w:tcPr>
                      <w:p>
                        <w:pPr>
                          <w:rPr>
                            <w:sz w:val="2"/>
                            <w:szCs w:val="2"/>
                          </w:rPr>
                        </w:pPr>
                      </w:p>
                      <w:p>
                        <w:pPr>
                          <w:suppressAutoHyphens/>
                          <w:jc w:val="center"/>
                          <w:rPr>
                            <w:sz w:val="17"/>
                            <w:szCs w:val="17"/>
                            <w:lang w:eastAsia="ar-SA"/>
                          </w:rPr>
                        </w:pPr>
                        <w:r>
                          <w:rPr>
                            <w:sz w:val="17"/>
                            <w:szCs w:val="17"/>
                            <w:lang w:eastAsia="ar-SA"/>
                          </w:rPr>
                          <w:t>3,19 km</w:t>
                        </w:r>
                      </w:p>
                    </w:tc>
                    <w:tc>
                      <w:tcPr>
                        <w:tcW w:w="1615" w:type="dxa"/>
                      </w:tcPr>
                      <w:p>
                        <w:pPr>
                          <w:rPr>
                            <w:sz w:val="2"/>
                            <w:szCs w:val="2"/>
                          </w:rPr>
                        </w:pPr>
                      </w:p>
                      <w:p>
                        <w:pPr>
                          <w:suppressAutoHyphens/>
                          <w:jc w:val="center"/>
                          <w:rPr>
                            <w:sz w:val="17"/>
                            <w:szCs w:val="17"/>
                            <w:lang w:eastAsia="ar-SA"/>
                          </w:rPr>
                        </w:pPr>
                        <w:r>
                          <w:rPr>
                            <w:sz w:val="17"/>
                            <w:szCs w:val="17"/>
                            <w:lang w:eastAsia="ar-SA"/>
                          </w:rPr>
                          <w:t>Iki 2030 m.</w:t>
                        </w:r>
                      </w:p>
                    </w:tc>
                  </w:tr>
                  <w:tr>
                    <w:tc>
                      <w:tcPr>
                        <w:tcW w:w="556" w:type="dxa"/>
                      </w:tcPr>
                      <w:p>
                        <w:pPr>
                          <w:rPr>
                            <w:sz w:val="2"/>
                            <w:szCs w:val="2"/>
                          </w:rPr>
                        </w:pPr>
                      </w:p>
                      <w:p>
                        <w:pPr>
                          <w:suppressAutoHyphens/>
                          <w:jc w:val="center"/>
                          <w:rPr>
                            <w:sz w:val="17"/>
                            <w:szCs w:val="17"/>
                            <w:lang w:eastAsia="ar-SA"/>
                          </w:rPr>
                        </w:pPr>
                        <w:r>
                          <w:rPr>
                            <w:strike/>
                            <w:sz w:val="17"/>
                            <w:szCs w:val="17"/>
                            <w:lang w:eastAsia="ar-SA"/>
                          </w:rPr>
                          <w:t>9.</w:t>
                        </w:r>
                        <w:r>
                          <w:rPr>
                            <w:sz w:val="17"/>
                            <w:szCs w:val="17"/>
                            <w:lang w:eastAsia="ar-SA"/>
                          </w:rPr>
                          <w:t xml:space="preserve"> </w:t>
                        </w:r>
                        <w:r>
                          <w:rPr>
                            <w:b/>
                            <w:sz w:val="17"/>
                            <w:szCs w:val="17"/>
                            <w:lang w:eastAsia="ar-SA"/>
                          </w:rPr>
                          <w:t>8.</w:t>
                        </w:r>
                      </w:p>
                    </w:tc>
                    <w:tc>
                      <w:tcPr>
                        <w:tcW w:w="5818" w:type="dxa"/>
                      </w:tcPr>
                      <w:p>
                        <w:pPr>
                          <w:rPr>
                            <w:sz w:val="2"/>
                            <w:szCs w:val="2"/>
                          </w:rPr>
                        </w:pPr>
                      </w:p>
                      <w:p>
                        <w:pPr>
                          <w:suppressAutoHyphens/>
                          <w:jc w:val="both"/>
                          <w:rPr>
                            <w:sz w:val="17"/>
                            <w:szCs w:val="17"/>
                            <w:lang w:eastAsia="ar-SA"/>
                          </w:rPr>
                        </w:pPr>
                        <w:r>
                          <w:rPr>
                            <w:sz w:val="17"/>
                            <w:szCs w:val="17"/>
                            <w:lang w:eastAsia="ar-SA"/>
                          </w:rPr>
                          <w:t>Viešojo transporto juostos Vilniaus gatvėje (Radviliškio kryptimi)</w:t>
                        </w:r>
                      </w:p>
                    </w:tc>
                    <w:tc>
                      <w:tcPr>
                        <w:tcW w:w="1361" w:type="dxa"/>
                      </w:tcPr>
                      <w:p>
                        <w:pPr>
                          <w:rPr>
                            <w:sz w:val="2"/>
                            <w:szCs w:val="2"/>
                          </w:rPr>
                        </w:pPr>
                      </w:p>
                      <w:p>
                        <w:pPr>
                          <w:suppressAutoHyphens/>
                          <w:jc w:val="center"/>
                          <w:rPr>
                            <w:sz w:val="17"/>
                            <w:szCs w:val="17"/>
                            <w:lang w:eastAsia="ar-SA"/>
                          </w:rPr>
                        </w:pPr>
                        <w:r>
                          <w:rPr>
                            <w:sz w:val="17"/>
                            <w:szCs w:val="17"/>
                            <w:lang w:eastAsia="ar-SA"/>
                          </w:rPr>
                          <w:t>5,42 km</w:t>
                        </w:r>
                      </w:p>
                    </w:tc>
                    <w:tc>
                      <w:tcPr>
                        <w:tcW w:w="1615" w:type="dxa"/>
                      </w:tcPr>
                      <w:p>
                        <w:pPr>
                          <w:rPr>
                            <w:sz w:val="2"/>
                            <w:szCs w:val="2"/>
                          </w:rPr>
                        </w:pPr>
                      </w:p>
                      <w:p>
                        <w:pPr>
                          <w:suppressAutoHyphens/>
                          <w:jc w:val="center"/>
                          <w:rPr>
                            <w:sz w:val="17"/>
                            <w:szCs w:val="17"/>
                            <w:lang w:eastAsia="ar-SA"/>
                          </w:rPr>
                        </w:pPr>
                        <w:r>
                          <w:rPr>
                            <w:sz w:val="17"/>
                            <w:szCs w:val="17"/>
                            <w:lang w:eastAsia="ar-SA"/>
                          </w:rPr>
                          <w:t>Iki 2030 m.</w:t>
                        </w:r>
                      </w:p>
                      <w:p>
                        <w:pPr>
                          <w:rPr>
                            <w:sz w:val="2"/>
                            <w:szCs w:val="2"/>
                          </w:rPr>
                        </w:pPr>
                      </w:p>
                      <w:p>
                        <w:pPr>
                          <w:suppressAutoHyphens/>
                          <w:jc w:val="center"/>
                          <w:rPr>
                            <w:sz w:val="17"/>
                            <w:szCs w:val="17"/>
                            <w:lang w:eastAsia="ar-SA"/>
                          </w:rPr>
                        </w:pPr>
                        <w:r>
                          <w:rPr>
                            <w:sz w:val="17"/>
                            <w:szCs w:val="17"/>
                            <w:lang w:eastAsia="ar-SA"/>
                          </w:rPr>
                          <w:t>(esant poreikiui)</w:t>
                        </w:r>
                      </w:p>
                    </w:tc>
                  </w:tr>
                  <w:tr>
                    <w:tc>
                      <w:tcPr>
                        <w:tcW w:w="556" w:type="dxa"/>
                        <w:shd w:val="clear" w:color="auto" w:fill="F2F2F2" w:themeFill="background1" w:themeFillShade="F2"/>
                      </w:tcPr>
                      <w:p>
                        <w:pPr>
                          <w:rPr>
                            <w:sz w:val="2"/>
                            <w:szCs w:val="2"/>
                          </w:rPr>
                        </w:pPr>
                      </w:p>
                      <w:p>
                        <w:pPr>
                          <w:suppressAutoHyphens/>
                          <w:jc w:val="center"/>
                          <w:rPr>
                            <w:b/>
                            <w:sz w:val="17"/>
                            <w:szCs w:val="17"/>
                            <w:lang w:eastAsia="ar-SA"/>
                          </w:rPr>
                        </w:pPr>
                      </w:p>
                    </w:tc>
                    <w:tc>
                      <w:tcPr>
                        <w:tcW w:w="5818" w:type="dxa"/>
                        <w:shd w:val="clear" w:color="auto" w:fill="F2F2F2" w:themeFill="background1" w:themeFillShade="F2"/>
                      </w:tcPr>
                      <w:p>
                        <w:pPr>
                          <w:rPr>
                            <w:sz w:val="2"/>
                            <w:szCs w:val="2"/>
                          </w:rPr>
                        </w:pPr>
                      </w:p>
                      <w:p>
                        <w:pPr>
                          <w:suppressAutoHyphens/>
                          <w:jc w:val="both"/>
                          <w:rPr>
                            <w:b/>
                            <w:sz w:val="17"/>
                            <w:szCs w:val="17"/>
                            <w:lang w:eastAsia="ar-SA"/>
                          </w:rPr>
                        </w:pPr>
                      </w:p>
                    </w:tc>
                    <w:tc>
                      <w:tcPr>
                        <w:tcW w:w="1361" w:type="dxa"/>
                        <w:shd w:val="clear" w:color="auto" w:fill="F2F2F2" w:themeFill="background1" w:themeFillShade="F2"/>
                      </w:tcPr>
                      <w:p>
                        <w:pPr>
                          <w:rPr>
                            <w:sz w:val="2"/>
                            <w:szCs w:val="2"/>
                          </w:rPr>
                        </w:pPr>
                      </w:p>
                      <w:p>
                        <w:pPr>
                          <w:suppressAutoHyphens/>
                          <w:jc w:val="center"/>
                          <w:rPr>
                            <w:b/>
                            <w:sz w:val="17"/>
                            <w:szCs w:val="17"/>
                            <w:lang w:eastAsia="ar-SA"/>
                          </w:rPr>
                        </w:pPr>
                        <w:r>
                          <w:rPr>
                            <w:b/>
                            <w:sz w:val="17"/>
                            <w:szCs w:val="17"/>
                            <w:lang w:eastAsia="ar-SA"/>
                          </w:rPr>
                          <w:t>26,47 km</w:t>
                        </w:r>
                      </w:p>
                    </w:tc>
                    <w:tc>
                      <w:tcPr>
                        <w:tcW w:w="1615" w:type="dxa"/>
                        <w:shd w:val="clear" w:color="auto" w:fill="F2F2F2" w:themeFill="background1" w:themeFillShade="F2"/>
                      </w:tcPr>
                      <w:p>
                        <w:pPr>
                          <w:rPr>
                            <w:sz w:val="2"/>
                            <w:szCs w:val="2"/>
                          </w:rPr>
                        </w:pPr>
                      </w:p>
                      <w:p>
                        <w:pPr>
                          <w:suppressAutoHyphens/>
                          <w:jc w:val="center"/>
                          <w:rPr>
                            <w:b/>
                            <w:sz w:val="17"/>
                            <w:szCs w:val="17"/>
                            <w:lang w:eastAsia="ar-SA"/>
                          </w:rPr>
                        </w:pPr>
                      </w:p>
                    </w:tc>
                  </w:tr>
                </w:tbl>
                <w:p>
                  <w:pPr>
                    <w:suppressAutoHyphens/>
                    <w:spacing w:line="280" w:lineRule="atLeast"/>
                    <w:rPr>
                      <w:i/>
                      <w:sz w:val="18"/>
                      <w:szCs w:val="18"/>
                      <w:lang w:eastAsia="lt-LT"/>
                    </w:rPr>
                  </w:pPr>
                  <w:r>
                    <w:rPr>
                      <w:b/>
                      <w:i/>
                      <w:sz w:val="18"/>
                      <w:szCs w:val="18"/>
                      <w:lang w:eastAsia="lt-LT"/>
                    </w:rPr>
                    <w:t>Šaltinis:</w:t>
                  </w:r>
                  <w:r>
                    <w:rPr>
                      <w:i/>
                      <w:sz w:val="18"/>
                      <w:szCs w:val="18"/>
                      <w:lang w:eastAsia="lt-LT"/>
                    </w:rPr>
                    <w:t xml:space="preserve"> </w:t>
                    <w:tab/>
                    <w:t>sudaryta Konsultanto</w:t>
                  </w:r>
                </w:p>
                <w:p>
                  <w:pPr>
                    <w:rPr>
                      <w:sz w:val="10"/>
                      <w:szCs w:val="10"/>
                    </w:rPr>
                  </w:pPr>
                </w:p>
                <w:p>
                  <w:pPr>
                    <w:suppressAutoHyphens/>
                    <w:spacing w:line="280" w:lineRule="atLeast"/>
                    <w:jc w:val="both"/>
                    <w:rPr>
                      <w:b/>
                      <w:sz w:val="20"/>
                      <w:lang w:eastAsia="ar-SA"/>
                    </w:rPr>
                  </w:pPr>
                  <w:r>
                    <w:rPr>
                      <w:b/>
                      <w:sz w:val="20"/>
                      <w:lang w:eastAsia="ar-SA"/>
                    </w:rPr>
                    <w:t xml:space="preserve">„Statyk ir važiuok“ aikštelės įrengimas – </w:t>
                  </w:r>
                  <w:r>
                    <w:rPr>
                      <w:sz w:val="20"/>
                      <w:lang w:eastAsia="ar-SA"/>
                    </w:rPr>
                    <w:t xml:space="preserve">įrengiamos automobilių ir </w:t>
                  </w:r>
                  <w:r>
                    <w:rPr>
                      <w:strike/>
                      <w:sz w:val="20"/>
                      <w:lang w:eastAsia="ar-SA"/>
                    </w:rPr>
                    <w:t>(ar)</w:t>
                  </w:r>
                  <w:r>
                    <w:rPr>
                      <w:sz w:val="20"/>
                      <w:lang w:eastAsia="ar-SA"/>
                    </w:rPr>
                    <w:t xml:space="preserve"> dviračių </w:t>
                  </w:r>
                  <w:r>
                    <w:rPr>
                      <w:b/>
                      <w:sz w:val="20"/>
                      <w:lang w:eastAsia="ar-SA"/>
                    </w:rPr>
                    <w:t>ir (ar)</w:t>
                  </w:r>
                  <w:r>
                    <w:rPr>
                      <w:sz w:val="20"/>
                      <w:lang w:eastAsia="ar-SA"/>
                    </w:rPr>
                    <w:t xml:space="preserve"> paspirtukų stovėjimo vietos ir (ar) saugyklos</w:t>
                  </w:r>
                  <w:r>
                    <w:rPr>
                      <w:b/>
                      <w:sz w:val="20"/>
                      <w:lang w:eastAsia="ar-SA"/>
                    </w:rPr>
                    <w:t>,</w:t>
                  </w:r>
                  <w:r>
                    <w:rPr>
                      <w:sz w:val="20"/>
                      <w:lang w:eastAsia="ar-SA"/>
                    </w:rPr>
                    <w:t xml:space="preserve"> </w:t>
                  </w:r>
                  <w:r>
                    <w:rPr>
                      <w:b/>
                      <w:sz w:val="20"/>
                      <w:lang w:eastAsia="ar-SA"/>
                    </w:rPr>
                    <w:t>ir (ar) dalijimosi „taškų“ vietos</w:t>
                  </w:r>
                  <w:r>
                    <w:rPr>
                      <w:sz w:val="20"/>
                      <w:lang w:eastAsia="ar-SA"/>
                    </w:rPr>
                    <w:t xml:space="preserve"> bei </w:t>
                  </w:r>
                  <w:r>
                    <w:rPr>
                      <w:b/>
                      <w:sz w:val="20"/>
                      <w:lang w:eastAsia="ar-SA"/>
                    </w:rPr>
                    <w:t>pėsčiųjų,</w:t>
                  </w:r>
                  <w:r>
                    <w:rPr>
                      <w:sz w:val="20"/>
                      <w:lang w:eastAsia="ar-SA"/>
                    </w:rPr>
                    <w:t xml:space="preserve"> </w:t>
                  </w:r>
                  <w:r>
                    <w:rPr>
                      <w:b/>
                      <w:sz w:val="20"/>
                      <w:lang w:eastAsia="ar-SA"/>
                    </w:rPr>
                    <w:t xml:space="preserve">dviračių </w:t>
                  </w:r>
                  <w:r>
                    <w:rPr>
                      <w:sz w:val="20"/>
                      <w:lang w:eastAsia="ar-SA"/>
                    </w:rPr>
                    <w:t>infrastruktūra nuo aikštelės iki artimiausių autobusų sustojimų.</w:t>
                  </w:r>
                </w:p>
                <w:p>
                  <w:pPr>
                    <w:rPr>
                      <w:sz w:val="10"/>
                      <w:szCs w:val="10"/>
                    </w:rPr>
                  </w:pPr>
                </w:p>
                <w:p>
                  <w:pPr>
                    <w:suppressAutoHyphens/>
                    <w:spacing w:line="280" w:lineRule="atLeast"/>
                    <w:jc w:val="both"/>
                    <w:rPr>
                      <w:b/>
                      <w:sz w:val="20"/>
                      <w:lang w:eastAsia="ar-SA"/>
                    </w:rPr>
                  </w:pPr>
                  <w:r>
                    <w:rPr>
                      <w:b/>
                      <w:sz w:val="20"/>
                      <w:lang w:eastAsia="ar-SA"/>
                    </w:rPr>
                    <w:t>„Statyk ir važiuok“ aikštelė Vilniaus gatvėje.</w:t>
                  </w:r>
                  <w:r>
                    <w:rPr>
                      <w:sz w:val="20"/>
                      <w:lang w:eastAsia="ar-SA"/>
                    </w:rPr>
                    <w:t xml:space="preserve"> </w:t>
                  </w:r>
                  <w:r>
                    <w:rPr>
                      <w:strike/>
                      <w:sz w:val="20"/>
                      <w:lang w:eastAsia="ar-SA"/>
                    </w:rPr>
                    <w:t>Apie 70</w:t>
                  </w:r>
                  <w:r>
                    <w:rPr>
                      <w:sz w:val="20"/>
                      <w:lang w:eastAsia="ar-SA"/>
                    </w:rPr>
                    <w:t xml:space="preserve"> </w:t>
                  </w:r>
                  <w:r>
                    <w:rPr>
                      <w:b/>
                      <w:sz w:val="20"/>
                      <w:lang w:eastAsia="ar-SA"/>
                    </w:rPr>
                    <w:t>30-50</w:t>
                  </w:r>
                  <w:r>
                    <w:rPr>
                      <w:sz w:val="20"/>
                      <w:lang w:eastAsia="ar-SA"/>
                    </w:rPr>
                    <w:t xml:space="preserve"> vietų aikštelės įdiegimas siūlomas daugiausiai automobilių srautų turinčioje kryptyje (1.505 – 1.511 aut./h), todėl „statyk ir važiuok“ sistemos įdiegimą tikslingiausia pradėti nuo šios krypties.</w:t>
                  </w:r>
                </w:p>
                <w:p>
                  <w:pPr>
                    <w:rPr>
                      <w:sz w:val="10"/>
                      <w:szCs w:val="10"/>
                    </w:rPr>
                  </w:pPr>
                </w:p>
                <w:p>
                  <w:pPr>
                    <w:suppressAutoHyphens/>
                    <w:spacing w:line="280" w:lineRule="atLeast"/>
                    <w:jc w:val="both"/>
                    <w:rPr>
                      <w:sz w:val="20"/>
                      <w:lang w:eastAsia="ar-SA"/>
                    </w:rPr>
                  </w:pPr>
                  <w:r>
                    <w:rPr>
                      <w:b/>
                      <w:sz w:val="20"/>
                      <w:lang w:eastAsia="ar-SA"/>
                    </w:rPr>
                    <w:t>Viešojo transporto juostos Tilžės gatvėje.</w:t>
                  </w:r>
                  <w:r>
                    <w:rPr>
                      <w:sz w:val="20"/>
                      <w:lang w:eastAsia="ar-SA"/>
                    </w:rPr>
                    <w:t xml:space="preserve">  Tilžės gatvėje praeina daugiausiai viešojo transporto maršrutų ir pervežami keleivių srautai siekia virš 5.000 keleivių piko valandą, todėl įdiegus viešojo transporto prioritetą šioje atkarpoje (nuo Ragainės gatvės iki Gegužių gatvės – 3250 m atkarpoje) mes ne tik padidinsime viešojo transporto greitį daugumai Šiaulių miesto pietų dalį aptarnaujančių maršrutų, bet ir užtikrinsime „Statyk ir važiuok“ aikštelės šioje gatvėje funkcionalumą.</w:t>
                  </w:r>
                </w:p>
                <w:p>
                  <w:pPr>
                    <w:rPr>
                      <w:sz w:val="10"/>
                      <w:szCs w:val="10"/>
                    </w:rPr>
                  </w:pPr>
                </w:p>
                <w:p>
                  <w:pPr>
                    <w:suppressAutoHyphens/>
                    <w:spacing w:line="280" w:lineRule="atLeast"/>
                    <w:ind w:firstLine="53"/>
                    <w:jc w:val="both"/>
                    <w:rPr>
                      <w:sz w:val="20"/>
                      <w:lang w:eastAsia="ar-SA"/>
                    </w:rPr>
                  </w:pPr>
                  <w:r>
                    <w:rPr>
                      <w:b/>
                      <w:sz w:val="20"/>
                      <w:lang w:eastAsia="ar-SA"/>
                    </w:rPr>
                    <w:t>„Statyk ir važiuok“ aikštelė Tilžės gatvėje.</w:t>
                  </w:r>
                  <w:r>
                    <w:rPr>
                      <w:sz w:val="20"/>
                      <w:lang w:eastAsia="ar-SA"/>
                    </w:rPr>
                    <w:t xml:space="preserve"> Siūloma </w:t>
                  </w:r>
                  <w:r>
                    <w:rPr>
                      <w:strike/>
                      <w:sz w:val="20"/>
                      <w:lang w:eastAsia="ar-SA"/>
                    </w:rPr>
                    <w:t>apie 70</w:t>
                  </w:r>
                  <w:r>
                    <w:rPr>
                      <w:sz w:val="20"/>
                      <w:lang w:eastAsia="ar-SA"/>
                    </w:rPr>
                    <w:t xml:space="preserve"> </w:t>
                  </w:r>
                  <w:r>
                    <w:rPr>
                      <w:b/>
                      <w:sz w:val="20"/>
                      <w:lang w:eastAsia="ar-SA"/>
                    </w:rPr>
                    <w:t>60-130</w:t>
                  </w:r>
                  <w:r>
                    <w:rPr>
                      <w:sz w:val="20"/>
                      <w:lang w:eastAsia="ar-SA"/>
                    </w:rPr>
                    <w:t xml:space="preserve"> vietų „statyk ir važiuok“ aikštelė ties Tilžės g. , Karaliaučiaus g. ir Gegužių gatvių sankryža. Ši aikštelė galėtų pasiūlyti miesto centro pasiekimo alternatyvą atvažiuojantiems srautams Kelmės kryptimi (Šia kryptimi įvažiuoja į miestą virš 1.000 automobilių piko valandą).</w:t>
                  </w:r>
                </w:p>
                <w:p>
                  <w:pPr>
                    <w:rPr>
                      <w:sz w:val="10"/>
                      <w:szCs w:val="10"/>
                    </w:rPr>
                  </w:pPr>
                </w:p>
                <w:p>
                  <w:pPr>
                    <w:suppressAutoHyphens/>
                    <w:spacing w:line="280" w:lineRule="atLeast"/>
                    <w:jc w:val="both"/>
                    <w:rPr>
                      <w:sz w:val="20"/>
                      <w:lang w:eastAsia="ar-SA"/>
                    </w:rPr>
                  </w:pPr>
                  <w:r>
                    <w:rPr>
                      <w:b/>
                      <w:sz w:val="20"/>
                      <w:lang w:eastAsia="ar-SA"/>
                    </w:rPr>
                    <w:t>Viešojo transporto juostos Vilniaus gatvėje (Kuršėnų kryptimi).</w:t>
                  </w:r>
                  <w:r>
                    <w:rPr>
                      <w:sz w:val="20"/>
                      <w:lang w:eastAsia="ar-SA"/>
                    </w:rPr>
                    <w:t xml:space="preserve"> Žemaitės gatvės atkarpoje tarp Vytauto ir Vilniaus gatvių (440 m.) ir Vilniaus gatvėje tarp Žemaitės ir Gumbinės gatvių (1690 m). Šioje atkarpoje miesto viešojo transporto maršrutų nėra daug, todėl norint kokybiško „Statyk ir važiuok“ sistemos aptarnavimo reiktų paleisti naują didesnio dažnio maršrutą nuo aikštelės iki miesto centro.</w:t>
                  </w:r>
                </w:p>
                <w:p>
                  <w:pPr>
                    <w:rPr>
                      <w:sz w:val="10"/>
                      <w:szCs w:val="10"/>
                    </w:rPr>
                  </w:pPr>
                </w:p>
                <w:p>
                  <w:pPr>
                    <w:suppressAutoHyphens/>
                    <w:spacing w:line="280" w:lineRule="atLeast"/>
                    <w:jc w:val="both"/>
                    <w:rPr>
                      <w:strike/>
                      <w:sz w:val="20"/>
                      <w:lang w:eastAsia="ar-SA"/>
                    </w:rPr>
                  </w:pPr>
                  <w:r>
                    <w:rPr>
                      <w:b/>
                      <w:sz w:val="20"/>
                      <w:lang w:eastAsia="ar-SA"/>
                    </w:rPr>
                    <w:t xml:space="preserve">„Statyk ir važiuok“ aikštelė </w:t>
                  </w:r>
                  <w:r>
                    <w:rPr>
                      <w:b/>
                      <w:strike/>
                      <w:sz w:val="20"/>
                      <w:lang w:eastAsia="ar-SA"/>
                    </w:rPr>
                    <w:t>Vilniaus</w:t>
                  </w:r>
                  <w:r>
                    <w:rPr>
                      <w:b/>
                      <w:sz w:val="20"/>
                      <w:lang w:eastAsia="ar-SA"/>
                    </w:rPr>
                    <w:t xml:space="preserve"> Žemaitės gatvėje </w:t>
                  </w:r>
                  <w:r>
                    <w:rPr>
                      <w:b/>
                      <w:strike/>
                      <w:sz w:val="20"/>
                      <w:lang w:eastAsia="ar-SA"/>
                    </w:rPr>
                    <w:t>(Kuršėnų kryptimi).</w:t>
                  </w:r>
                  <w:r>
                    <w:rPr>
                      <w:sz w:val="20"/>
                      <w:lang w:eastAsia="ar-SA"/>
                    </w:rPr>
                    <w:t xml:space="preserve"> </w:t>
                  </w:r>
                  <w:r>
                    <w:rPr>
                      <w:strike/>
                      <w:sz w:val="20"/>
                      <w:lang w:eastAsia="ar-SA"/>
                    </w:rPr>
                    <w:t>Apie 70</w:t>
                  </w:r>
                  <w:r>
                    <w:rPr>
                      <w:sz w:val="20"/>
                      <w:lang w:eastAsia="ar-SA"/>
                    </w:rPr>
                    <w:t xml:space="preserve"> </w:t>
                  </w:r>
                  <w:r>
                    <w:rPr>
                      <w:b/>
                      <w:sz w:val="20"/>
                      <w:lang w:eastAsia="ar-SA"/>
                    </w:rPr>
                    <w:t>130-250</w:t>
                  </w:r>
                  <w:r>
                    <w:rPr>
                      <w:sz w:val="20"/>
                      <w:lang w:eastAsia="ar-SA"/>
                    </w:rPr>
                    <w:t xml:space="preserve"> vietų. Tai trečia </w:t>
                  </w:r>
                  <w:r>
                    <w:rPr>
                      <w:strike/>
                      <w:sz w:val="20"/>
                      <w:lang w:eastAsia="ar-SA"/>
                    </w:rPr>
                    <w:t xml:space="preserve">Šiaulių miesto arterija kurios srautus galima būtų sumažinti įdiegiant </w:t>
                  </w:r>
                  <w:r>
                    <w:rPr>
                      <w:sz w:val="20"/>
                      <w:lang w:eastAsia="ar-SA"/>
                    </w:rPr>
                    <w:t>„Statyk ir važiuok“</w:t>
                  </w:r>
                  <w:r>
                    <w:rPr>
                      <w:strike/>
                      <w:sz w:val="20"/>
                      <w:lang w:eastAsia="ar-SA"/>
                    </w:rPr>
                    <w:t xml:space="preserve"> sistemą mieste</w:t>
                  </w:r>
                  <w:r>
                    <w:rPr>
                      <w:sz w:val="20"/>
                      <w:lang w:eastAsia="ar-SA"/>
                    </w:rPr>
                    <w:t xml:space="preserve">. </w:t>
                  </w:r>
                  <w:r>
                    <w:rPr>
                      <w:b/>
                      <w:sz w:val="20"/>
                      <w:lang w:eastAsia="ar-SA"/>
                    </w:rPr>
                    <w:t>aikštelė, kuri užbaigs miesto „Statyk ir Važiuok“ sistemą, su kuria miestas bus pasiūlęs atvažiuojantiems miesto svečiams ir priemiesčio gyventojams, taip pat vietiniams („miegamųjų rajonų“) gyventojams alternatyvą važiavimui į miesto centrą nuosavu automobiliu.</w:t>
                  </w:r>
                </w:p>
                <w:p>
                  <w:pPr>
                    <w:rPr>
                      <w:sz w:val="10"/>
                      <w:szCs w:val="10"/>
                    </w:rPr>
                  </w:pPr>
                </w:p>
                <w:p>
                  <w:pPr>
                    <w:suppressAutoHyphens/>
                    <w:spacing w:line="280" w:lineRule="atLeast"/>
                    <w:jc w:val="both"/>
                    <w:rPr>
                      <w:sz w:val="20"/>
                      <w:lang w:eastAsia="ar-SA"/>
                    </w:rPr>
                  </w:pPr>
                  <w:r>
                    <w:rPr>
                      <w:b/>
                      <w:sz w:val="20"/>
                      <w:lang w:eastAsia="ar-SA"/>
                    </w:rPr>
                    <w:t>Viešojo transporto juostos Tilžės gatvėje (Joniškio kryptimi).</w:t>
                  </w:r>
                  <w:r>
                    <w:rPr>
                      <w:sz w:val="20"/>
                      <w:lang w:eastAsia="ar-SA"/>
                    </w:rPr>
                    <w:t xml:space="preserve"> Viešojo transporto įdiegimas Tilžės gatvėje tarp Vytauto ir Pakruojo gatvių (3550 m. gatvės atkarpa) leis padidinti viešojo transporto greitį šiaurinę miesto dalį aptarnaujantiems maršrutams ir  efektyviau funkcionuoti siūlomą įdiegti „Statyk ir Važiuok „ sistemos aikštelę šioje gatvėje. </w:t>
                  </w:r>
                </w:p>
                <w:p>
                  <w:pPr>
                    <w:rPr>
                      <w:sz w:val="10"/>
                      <w:szCs w:val="10"/>
                    </w:rPr>
                  </w:pPr>
                </w:p>
                <w:p>
                  <w:pPr>
                    <w:suppressAutoHyphens/>
                    <w:spacing w:line="280" w:lineRule="atLeast"/>
                    <w:jc w:val="both"/>
                    <w:rPr>
                      <w:strike/>
                      <w:sz w:val="20"/>
                      <w:lang w:eastAsia="ar-SA"/>
                    </w:rPr>
                  </w:pPr>
                  <w:r>
                    <w:rPr>
                      <w:b/>
                      <w:strike/>
                      <w:sz w:val="20"/>
                      <w:lang w:eastAsia="ar-SA"/>
                    </w:rPr>
                    <w:t>„Statyk ir važiuok“ aikštelė Tilžės gatvėje (Joniškio kryptimi).</w:t>
                  </w:r>
                  <w:r>
                    <w:rPr>
                      <w:strike/>
                      <w:sz w:val="20"/>
                      <w:lang w:eastAsia="ar-SA"/>
                    </w:rPr>
                    <w:t xml:space="preserve"> Apie 70 vietų. Ši ketvirta „Statyk ir važiuok“ aikštelė užbaigs miesto „Statyk ir Važiuok“ sistemą, su kuria miestas bus pasiūlęs atvažiuojantiems miesto svečiams ir priemiesčio gyventojams alternatyvą važiavimui į miesto centrą nuosavu automobiliu.</w:t>
                  </w:r>
                </w:p>
                <w:p>
                  <w:pPr>
                    <w:rPr>
                      <w:sz w:val="10"/>
                      <w:szCs w:val="10"/>
                    </w:rPr>
                  </w:pPr>
                </w:p>
                <w:p>
                  <w:pPr>
                    <w:suppressAutoHyphens/>
                    <w:spacing w:line="280" w:lineRule="atLeast"/>
                    <w:jc w:val="both"/>
                    <w:rPr>
                      <w:sz w:val="20"/>
                      <w:lang w:eastAsia="ar-SA"/>
                    </w:rPr>
                  </w:pPr>
                  <w:r>
                    <w:rPr>
                      <w:b/>
                      <w:sz w:val="20"/>
                      <w:lang w:eastAsia="ar-SA"/>
                    </w:rPr>
                    <w:t>Viešojo transporto juostos miesto centrinėje dalyje.</w:t>
                  </w:r>
                  <w:r>
                    <w:rPr>
                      <w:sz w:val="20"/>
                      <w:lang w:eastAsia="ar-SA"/>
                    </w:rPr>
                    <w:t xml:space="preserve"> Pagal miesto susisiekimo sistemai teikiamą naudą, pirmiausiai turėtų būti įgyvendintas viešojo transporto eismo juostų įrengimas miesto centrinėje dalyje. Pirmiausiai reikėtų įdiegti viešojo transporto juostas Vytauto gatvėje tarp Tilžės ir Žemaitės gatvės (700 m atkarpoje), P. Cvirkos gatvėje tarp Tilžės ir Žemaitės gatvės (660 m atkarpoje), Žemaitės gatvėje tarp P. Cvirkos ir Vytauto gatvės (160 m atkarpoje) ir Tilžės gatvėje tarp Vytauto gatvės ir Ragainės gatvės (835 m.).  Šiose atkarpose koncentruojasi daugiausiai maršrutų ir juntamos didžiausios automobilių spūstys, todėl viešojo transporto įdiegimas šiose atkarpose padarytų įtaką visam viešojo transporto greičiui ir greičiausiai pakeltų jo įvaizdį.</w:t>
                  </w:r>
                </w:p>
                <w:p>
                  <w:pPr>
                    <w:rPr>
                      <w:sz w:val="10"/>
                      <w:szCs w:val="10"/>
                    </w:rPr>
                  </w:pPr>
                </w:p>
                <w:p>
                  <w:pPr>
                    <w:suppressAutoHyphens/>
                    <w:spacing w:line="280" w:lineRule="atLeast"/>
                    <w:jc w:val="both"/>
                    <w:rPr>
                      <w:sz w:val="20"/>
                      <w:lang w:eastAsia="ar-SA"/>
                    </w:rPr>
                  </w:pPr>
                  <w:r>
                    <w:rPr>
                      <w:sz w:val="20"/>
                      <w:lang w:eastAsia="ar-SA"/>
                    </w:rPr>
                    <w:t xml:space="preserve">Tačiau Šiaulių miesto darnaus judumo plano rengimo metu pradėti „Prisikėlimo aikštės ir jos prieigų (Aušros tak., Vasario 16-sios, Tilžės g., Varpo g. ir Aušros al. dalių) rekonstravimo darbai“ pagal projektą, kuriame nebuvo numatytos viešojo transporto eismo juostos. Dėl šių priežasčių nuspręstą viešojo transporto eismo juostų centrinėje dalyje nukelti į 2030 metus. </w:t>
                  </w:r>
                </w:p>
                <w:p>
                  <w:pPr>
                    <w:rPr>
                      <w:sz w:val="10"/>
                      <w:szCs w:val="10"/>
                    </w:rPr>
                  </w:pPr>
                </w:p>
                <w:p>
                  <w:pPr>
                    <w:suppressAutoHyphens/>
                    <w:spacing w:line="280" w:lineRule="atLeast"/>
                    <w:jc w:val="both"/>
                    <w:rPr>
                      <w:sz w:val="20"/>
                      <w:lang w:eastAsia="ar-SA"/>
                    </w:rPr>
                  </w:pPr>
                  <w:r>
                    <w:rPr>
                      <w:b/>
                      <w:sz w:val="20"/>
                      <w:lang w:eastAsia="ar-SA"/>
                    </w:rPr>
                    <w:t>Viešojo transporto juostos Vilniaus gatvėje.</w:t>
                  </w:r>
                  <w:r>
                    <w:rPr>
                      <w:sz w:val="20"/>
                      <w:lang w:eastAsia="ar-SA"/>
                    </w:rPr>
                    <w:t xml:space="preserve"> Šią  kryptį sudarys atkarpa Vytauto gatvėje nuo Tilžės gatvės iki Ežero gatvių (940 m), Vilniaus gatvės tarp Ežero ir Serbentų gatvių (1650 m) ir jungiamoji Ežero gatvės atkarpa (120 m). Šioje atkarpoje miesto viešojo transporto maršrutų nėra daug, todėl norint kokybiško „Statyk ir važiuok“ sistemos aptarnavimo reiktų paleisti naują didesnio dažnio maršrutą nuo aikštelės iki miesto centro.</w:t>
                  </w:r>
                </w:p>
                <w:p>
                  <w:pPr>
                    <w:rPr>
                      <w:sz w:val="10"/>
                      <w:szCs w:val="10"/>
                    </w:rPr>
                  </w:pPr>
                </w:p>
                <w:p>
                  <w:pPr>
                    <w:suppressAutoHyphens/>
                    <w:spacing w:line="280" w:lineRule="atLeast"/>
                    <w:jc w:val="both"/>
                    <w:rPr>
                      <w:sz w:val="20"/>
                      <w:lang w:eastAsia="ar-SA"/>
                    </w:rPr>
                  </w:pPr>
                </w:p>
                <w:p>
                  <w:pPr>
                    <w:rPr>
                      <w:sz w:val="10"/>
                      <w:szCs w:val="10"/>
                    </w:rPr>
                  </w:pPr>
                </w:p>
                <w:p>
                  <w:pPr>
                    <w:suppressAutoHyphens/>
                    <w:spacing w:line="280" w:lineRule="atLeast"/>
                    <w:jc w:val="both"/>
                    <w:rPr>
                      <w:sz w:val="20"/>
                      <w:lang w:eastAsia="ar-SA"/>
                    </w:rPr>
                  </w:pPr>
                  <w:r>
                    <w:rPr>
                      <w:b/>
                      <w:sz w:val="20"/>
                      <w:lang w:eastAsia="ar-SA"/>
                    </w:rPr>
                    <w:t>„Žaliosios bangos“ viešajam transportui įdiegimas.</w:t>
                  </w:r>
                  <w:r>
                    <w:rPr>
                      <w:sz w:val="20"/>
                      <w:lang w:eastAsia="ar-SA"/>
                    </w:rPr>
                    <w:t xml:space="preserve"> Žaliosios bangos įrengimas (1 vnt.), įdiegiant prioritetines viešojo transporto eismo valdymo sistemas. Siūlomi įdiegimo metai 2026 – 2029 m.</w:t>
                  </w:r>
                </w:p>
                <w:p>
                  <w:pPr>
                    <w:rPr>
                      <w:sz w:val="10"/>
                      <w:szCs w:val="10"/>
                    </w:rPr>
                  </w:pPr>
                </w:p>
                <w:p>
                  <w:pPr>
                    <w:tabs>
                      <w:tab w:val="left" w:pos="3600"/>
                    </w:tabs>
                    <w:suppressAutoHyphens/>
                    <w:spacing w:line="360" w:lineRule="auto"/>
                    <w:jc w:val="both"/>
                    <w:rPr>
                      <w:sz w:val="20"/>
                      <w:lang w:eastAsia="ar-SA"/>
                    </w:rPr>
                  </w:pPr>
                </w:p>
              </w:sdtContent>
            </w:sdt>
          </w:sdtContent>
        </w:sdt>
      </w:sdtContent>
    </w:sdt>
    <w:sectPr>
      <w:headerReference w:type="default" r:id="rId6"/>
      <w:pgSz w:w="11906" w:h="16838"/>
      <w:pgMar w:top="1168" w:right="1106" w:bottom="1440" w:left="1440" w:header="567" w:footer="567" w:gutter="0"/>
      <w:pgNumType w:start="224"/>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jc w:val="both"/>
        <w:rPr>
          <w:color w:val="404040"/>
          <w:sz w:val="20"/>
          <w:lang w:eastAsia="ar-SA"/>
        </w:rPr>
      </w:pPr>
      <w:r>
        <w:rPr>
          <w:color w:val="404040"/>
          <w:sz w:val="20"/>
          <w:lang w:eastAsia="ar-SA"/>
        </w:rPr>
        <w:separator/>
      </w:r>
    </w:p>
  </w:endnote>
  <w:endnote w:type="continuationSeparator" w:id="0">
    <w:p>
      <w:pPr>
        <w:suppressAutoHyphens/>
        <w:jc w:val="both"/>
        <w:rPr>
          <w:color w:val="404040"/>
          <w:sz w:val="20"/>
          <w:lang w:eastAsia="ar-SA"/>
        </w:rPr>
      </w:pPr>
      <w:r>
        <w:rPr>
          <w:color w:val="404040"/>
          <w:sz w:val="2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jc w:val="both"/>
        <w:rPr>
          <w:color w:val="404040"/>
          <w:sz w:val="20"/>
          <w:lang w:eastAsia="ar-SA"/>
        </w:rPr>
      </w:pPr>
      <w:r>
        <w:rPr>
          <w:color w:val="404040"/>
          <w:sz w:val="20"/>
          <w:lang w:eastAsia="ar-SA"/>
        </w:rPr>
        <w:separator/>
      </w:r>
    </w:p>
  </w:footnote>
  <w:footnote w:type="continuationSeparator" w:id="0">
    <w:p>
      <w:pPr>
        <w:suppressAutoHyphens/>
        <w:jc w:val="both"/>
        <w:rPr>
          <w:color w:val="404040"/>
          <w:sz w:val="20"/>
          <w:lang w:eastAsia="ar-SA"/>
        </w:rPr>
      </w:pPr>
      <w:r>
        <w:rPr>
          <w:color w:val="404040"/>
          <w:sz w:val="20"/>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bottom w:val="single" w:sz="2" w:space="1" w:color="auto"/>
      </w:pBdr>
      <w:tabs>
        <w:tab w:val="center" w:pos="4819"/>
        <w:tab w:val="right" w:pos="9638"/>
      </w:tabs>
      <w:suppressAutoHyphens/>
      <w:spacing w:after="240"/>
      <w:jc w:val="both"/>
      <w:rPr>
        <w:b/>
        <w:color w:val="595959"/>
        <w:spacing w:val="33"/>
        <w:sz w:val="16"/>
        <w:szCs w:val="16"/>
        <w:lang w:eastAsia="ar-SA"/>
      </w:rPr>
    </w:pPr>
    <w:r>
      <w:rPr>
        <w:b/>
        <w:color w:val="595959"/>
        <w:spacing w:val="33"/>
        <w:sz w:val="16"/>
        <w:szCs w:val="16"/>
        <w:lang w:eastAsia="ar-SA"/>
      </w:rPr>
      <w:t xml:space="preserve">Šiaulių miesto darnaus judumo planas / Judumo mieste variantai (iki 2030 m.)                             </w:t>
    </w:r>
    <w:r>
      <w:rPr>
        <w:b/>
        <w:color w:val="595959"/>
        <w:spacing w:val="33"/>
        <w:sz w:val="16"/>
        <w:szCs w:val="16"/>
        <w:lang w:eastAsia="ar-SA"/>
      </w:rPr>
      <w:fldChar w:fldCharType="begin"/>
    </w:r>
    <w:r>
      <w:rPr>
        <w:b/>
        <w:color w:val="595959"/>
        <w:spacing w:val="33"/>
        <w:sz w:val="16"/>
        <w:szCs w:val="16"/>
        <w:lang w:eastAsia="ar-SA"/>
      </w:rPr>
      <w:instrText xml:space="preserve"> PAGE   \* MERGEFORMAT </w:instrText>
    </w:r>
    <w:r>
      <w:rPr>
        <w:b/>
        <w:color w:val="595959"/>
        <w:spacing w:val="33"/>
        <w:sz w:val="16"/>
        <w:szCs w:val="16"/>
        <w:lang w:eastAsia="ar-SA"/>
      </w:rPr>
      <w:fldChar w:fldCharType="separate"/>
    </w:r>
    <w:r>
      <w:rPr>
        <w:b/>
        <w:color w:val="595959"/>
        <w:spacing w:val="33"/>
        <w:sz w:val="16"/>
        <w:szCs w:val="16"/>
        <w:lang w:eastAsia="ar-SA"/>
      </w:rPr>
      <w:t>224</w:t>
    </w:r>
    <w:r>
      <w:rPr>
        <w:b/>
        <w:color w:val="595959"/>
        <w:spacing w:val="33"/>
        <w:sz w:val="16"/>
        <w:szCs w:val="16"/>
        <w:lang w:eastAsia="ar-SA"/>
      </w:rPr>
      <w:fldChar w:fldCharType="end"/>
    </w:r>
  </w:p>
  <w:p>
    <w:pPr>
      <w:tabs>
        <w:tab w:val="center" w:pos="4819"/>
        <w:tab w:val="right" w:pos="9638"/>
      </w:tabs>
      <w:suppressAutoHyphens/>
      <w:jc w:val="both"/>
      <w:rPr>
        <w:color w:val="404040"/>
        <w:sz w:val="20"/>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9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54F4E7-FB00-4216-B31E-BB2FC8F405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c1e14c1e0745a6bedbf326c6f0da46" PartId="7139be8a2dbe43e380ae44aa40ac6c9d">
    <Part Type="punktas" Nr="6" Abbr="6 p." DocPartId="bc75fd1f62cb4a2d82f2c5ad51fc310f" PartId="9fce6207f4914f24924f65bf6d8ad6d2">
      <Part Type="papunktis" Nr="6.1" Abbr="6.1 pp." DocPartId="c597e472a12c436d8f835e33c78259f3" PartId="7cd815d45c5441b3a7a77c90adecafec"/>
    </Part>
  </Part>
</Parts>
</file>

<file path=customXml/itemProps1.xml><?xml version="1.0" encoding="utf-8"?>
<ds:datastoreItem xmlns:ds="http://schemas.openxmlformats.org/officeDocument/2006/customXml" ds:itemID="{096CE952-2D19-49D4-AC66-B77D6223AF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838</Words>
  <Characters>5415</Characters>
  <Application>Microsoft Office Word</Application>
  <DocSecurity>4</DocSecurity>
  <Lines>110</Lines>
  <Paragraphs>70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6183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2024-10-22T14:51:00Z</dcterms:created>
  <dc:creator>Lorinta Laureckytė</dc:creator>
  <lastModifiedBy>adlibuser</lastModifiedBy>
  <dcterms:modified xsi:type="dcterms:W3CDTF">2024-10-22T14:51:00Z</dcterms:modified>
  <revision>2</revision>
</coreProperties>
</file>