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402d594c6224cb3af0667833e3095c7"/>
        <w:lock w:val="sdtLocked"/>
        <w:richText/>
      </w:sdtPr>
      <w:sdtContent>
        <w:p>
          <w:pPr>
            <w:tabs>
              <w:tab w:val="center" w:pos="4819"/>
              <w:tab w:val="right" w:pos="9638"/>
            </w:tabs>
            <w:jc w:val="center"/>
            <w:rPr>
              <w:szCs w:val="24"/>
              <w:lang w:val="en-US" w:eastAsia="lt-LT"/>
            </w:rPr>
          </w:pPr>
        </w:p>
        <w:p>
          <w:pPr>
            <w:tabs>
              <w:tab w:val="center" w:pos="4819"/>
            </w:tabs>
            <w:rPr>
              <w:b/>
              <w:szCs w:val="24"/>
              <w:lang w:val="en-US" w:eastAsia="lt-LT"/>
            </w:rPr>
          </w:pPr>
        </w:p>
        <w:p>
          <w:pPr>
            <w:jc w:val="center"/>
            <w:rPr>
              <w:szCs w:val="24"/>
              <w:shd w:val="clear" w:color="auto" w:fill="FFFFFF"/>
              <w:lang w:eastAsia="lt-LT"/>
            </w:rPr>
          </w:pPr>
          <w:r>
            <w:rPr>
              <w:b/>
              <w:bCs/>
              <w:szCs w:val="24"/>
              <w:shd w:val="clear" w:color="auto" w:fill="FFFFFF"/>
              <w:lang w:eastAsia="lt-LT"/>
            </w:rPr>
            <w:t>ŠIAULIŲ MIESTO SAVIVALDYBĖS ADMINISTRACIJOS</w:t>
          </w:r>
        </w:p>
        <w:sdt>
          <w:sdtPr>
            <w:alias w:val="skyrius"/>
            <w:tag w:val="part_4919b95cfa7843be99a3e6a85a2eb46d"/>
            <w:lock w:val="sdtLocked"/>
            <w:richText/>
          </w:sdtPr>
          <w:sdtContent>
            <w:p>
              <w:pPr>
                <w:jc w:val="center"/>
                <w:rPr>
                  <w:b/>
                  <w:bCs/>
                  <w:szCs w:val="24"/>
                  <w:shd w:val="clear" w:color="auto" w:fill="FFFFFF"/>
                  <w:lang w:eastAsia="lt-LT"/>
                </w:rPr>
              </w:pPr>
              <w:r>
                <w:rPr>
                  <w:b/>
                  <w:bCs/>
                  <w:szCs w:val="24"/>
                  <w:shd w:val="clear" w:color="auto" w:fill="FFFFFF"/>
                  <w:lang w:eastAsia="lt-LT"/>
                </w:rPr>
                <w:t>PROJEKTŲ VALDYMO SKYRIUS</w:t>
              </w:r>
            </w:p>
            <w:p>
              <w:pPr>
                <w:jc w:val="center"/>
                <w:rPr>
                  <w:b/>
                  <w:bCs/>
                  <w:szCs w:val="24"/>
                  <w:shd w:val="clear" w:color="auto" w:fill="FFFFFF"/>
                  <w:lang w:eastAsia="lt-LT"/>
                </w:rPr>
              </w:pPr>
            </w:p>
            <w:p>
              <w:pPr>
                <w:jc w:val="center"/>
                <w:rPr>
                  <w:b/>
                  <w:color w:val="000000"/>
                  <w:szCs w:val="24"/>
                  <w:lang w:eastAsia="lt-LT"/>
                </w:rPr>
              </w:pPr>
              <w:sdt>
                <w:sdtPr>
                  <w:alias w:val="Pavadinimas"/>
                  <w:tag w:val="title_4919b95cfa7843be99a3e6a85a2eb46d"/>
                  <w:lock w:val="sdtLocked"/>
                  <w:richText/>
                </w:sdtPr>
                <w:sdtContent>
                  <w:r>
                    <w:rPr>
                      <w:b/>
                      <w:szCs w:val="24"/>
                      <w:lang w:eastAsia="lt-LT"/>
                    </w:rPr>
                    <w:t>TARYBOS SPRENDIMO „DĖL BUTŲ PIRKIMO PAGAL PROJEKTĄ „SOCIALINIO BŪSTO FONDO PLĖTRA ŠIAULIŲ MIESTO SAVIVALDYBĖJE“ KOMISIJOS SPRENDIMO PATVIRTINIMO“PROJEKTO</w:t>
                  </w:r>
                  <w:r>
                    <w:rPr>
                      <w:b/>
                      <w:szCs w:val="24"/>
                      <w:shd w:val="clear" w:color="auto" w:fill="FFFFFF"/>
                      <w:lang w:eastAsia="lt-LT"/>
                    </w:rPr>
                    <w:t>AIŠKINAMASIS RAŠTAS</w:t>
                  </w:r>
                </w:sdtContent>
              </w:sdt>
            </w:p>
            <w:p>
              <w:pPr>
                <w:jc w:val="center"/>
                <w:rPr>
                  <w:b/>
                  <w:szCs w:val="24"/>
                  <w:lang w:eastAsia="lt-LT"/>
                </w:rPr>
              </w:pPr>
            </w:p>
            <w:p>
              <w:pPr>
                <w:jc w:val="center"/>
                <w:rPr>
                  <w:szCs w:val="24"/>
                  <w:lang w:eastAsia="lt-LT"/>
                </w:rPr>
              </w:pPr>
              <w:r>
                <w:rPr>
                  <w:szCs w:val="24"/>
                  <w:shd w:val="clear" w:color="auto" w:fill="FFFFFF"/>
                  <w:lang w:eastAsia="lt-LT"/>
                </w:rPr>
                <w:t>2023 m. rugsėjo 22 d.</w:t>
              </w:r>
            </w:p>
            <w:p>
              <w:pPr>
                <w:jc w:val="center"/>
                <w:rPr>
                  <w:szCs w:val="24"/>
                  <w:shd w:val="clear" w:color="auto" w:fill="FFFFFF"/>
                  <w:lang w:eastAsia="lt-LT"/>
                </w:rPr>
              </w:pPr>
              <w:r>
                <w:rPr>
                  <w:szCs w:val="24"/>
                  <w:shd w:val="clear" w:color="auto" w:fill="FFFFFF"/>
                  <w:lang w:eastAsia="lt-LT"/>
                </w:rPr>
                <w:t>Šiauliai</w:t>
              </w:r>
            </w:p>
            <w:p>
              <w:pPr>
                <w:jc w:val="center"/>
                <w:rPr>
                  <w:szCs w:val="24"/>
                  <w:lang w:eastAsia="lt-LT"/>
                </w:rPr>
              </w:pPr>
            </w:p>
            <w:p>
              <w:pPr>
                <w:jc w:val="both"/>
                <w:rPr>
                  <w:szCs w:val="24"/>
                  <w:lang w:eastAsia="lt-LT"/>
                </w:rPr>
              </w:pPr>
            </w:p>
            <w:sdt>
              <w:sdtPr>
                <w:alias w:val="poskyris"/>
                <w:tag w:val="part_3204ad841a8e499fbb9e15dde8118f8e"/>
                <w:lock w:val="sdtLocked"/>
                <w:richText/>
              </w:sdtPr>
              <w:sdtContent>
                <w:p>
                  <w:pPr>
                    <w:jc w:val="both"/>
                    <w:rPr>
                      <w:b/>
                      <w:bCs/>
                      <w:szCs w:val="24"/>
                      <w:shd w:val="clear" w:color="auto" w:fill="FFFFFF"/>
                      <w:lang w:eastAsia="lt-LT"/>
                    </w:rPr>
                  </w:pPr>
                  <w:sdt>
                    <w:sdtPr>
                      <w:alias w:val="Pavadinimas"/>
                      <w:tag w:val="title_3204ad841a8e499fbb9e15dde8118f8e"/>
                      <w:lock w:val="sdtLocked"/>
                      <w:richText/>
                    </w:sdtPr>
                    <w:sdtContent>
                      <w:r>
                        <w:rPr>
                          <w:b/>
                          <w:bCs/>
                          <w:szCs w:val="24"/>
                          <w:shd w:val="clear" w:color="auto" w:fill="FFFFFF"/>
                          <w:lang w:eastAsia="lt-LT"/>
                        </w:rPr>
                        <w:t>Parengto sprendimo projekto tikslai ir uždaviniai.</w:t>
                      </w:r>
                    </w:sdtContent>
                  </w:sdt>
                </w:p>
                <w:p>
                  <w:pPr>
                    <w:tabs>
                      <w:tab w:val="left" w:pos="851"/>
                    </w:tabs>
                    <w:ind w:firstLine="851"/>
                    <w:jc w:val="both"/>
                    <w:rPr>
                      <w:szCs w:val="24"/>
                      <w:lang w:eastAsia="lt-LT"/>
                    </w:rPr>
                  </w:pPr>
                  <w:r>
                    <w:rPr>
                      <w:szCs w:val="24"/>
                      <w:lang w:eastAsia="lt-LT"/>
                    </w:rPr>
                    <w:t>Tikslas – patvirtinti butų pirkimo pagal projektą „Socialinio būsto fondo plėtra Šiaulių miesto savivaldybėje“ komisijos sprendimą, t.y. pritarti, kad būtų perkamas butas, finansuojamas Europos Sąjungos ir Šiaulių miesto savivaldybės lėšomis pagal projektą „Socialinio būsto fondo plėtra Šiaulių miesto savivaldybėje“, bei įgalioti Šiaulių miesto savivaldybės vykdomosios institucijos vadovą pasirašyti turto pirkimo ir pardavimo sutartį.</w:t>
                  </w:r>
                </w:p>
                <w:p>
                  <w:pPr>
                    <w:tabs>
                      <w:tab w:val="left" w:pos="851"/>
                      <w:tab w:val="left" w:pos="1418"/>
                    </w:tabs>
                    <w:jc w:val="both"/>
                    <w:rPr>
                      <w:szCs w:val="24"/>
                      <w:lang w:eastAsia="lt-LT"/>
                    </w:rPr>
                  </w:pPr>
                </w:p>
                <w:p>
                  <w:pPr>
                    <w:jc w:val="both"/>
                    <w:rPr>
                      <w:b/>
                      <w:bCs/>
                      <w:szCs w:val="24"/>
                      <w:shd w:val="clear" w:color="auto" w:fill="FFFFFF"/>
                      <w:lang w:eastAsia="lt-LT"/>
                    </w:rPr>
                  </w:pPr>
                  <w:r>
                    <w:rPr>
                      <w:b/>
                      <w:bCs/>
                      <w:szCs w:val="24"/>
                      <w:shd w:val="clear" w:color="auto" w:fill="FFFFFF"/>
                      <w:lang w:eastAsia="lt-LT"/>
                    </w:rPr>
                    <w:t>Dabartinis spr</w:t>
                  </w:r>
                  <w:r>
                    <w:rPr>
                      <w:bCs/>
                      <w:szCs w:val="24"/>
                      <w:shd w:val="clear" w:color="auto" w:fill="FFFFFF"/>
                      <w:lang w:eastAsia="lt-LT"/>
                    </w:rPr>
                    <w:t>e</w:t>
                  </w:r>
                  <w:r>
                    <w:rPr>
                      <w:b/>
                      <w:bCs/>
                      <w:szCs w:val="24"/>
                      <w:shd w:val="clear" w:color="auto" w:fill="FFFFFF"/>
                      <w:lang w:eastAsia="lt-LT"/>
                    </w:rPr>
                    <w:t>ndimo projekte aptariamų klausimų reguliavimas.</w:t>
                  </w:r>
                </w:p>
                <w:p>
                  <w:pPr>
                    <w:jc w:val="both"/>
                    <w:rPr>
                      <w:szCs w:val="24"/>
                      <w:lang w:eastAsia="lt-LT"/>
                    </w:rPr>
                  </w:pPr>
                  <w:r>
                    <w:rPr>
                      <w:szCs w:val="24"/>
                      <w:lang w:eastAsia="lt-LT"/>
                    </w:rPr>
                    <w:t>Tarybos sprendimas parengtas vadovaujantis:</w:t>
                  </w:r>
                </w:p>
                <w:sdt>
                  <w:sdtPr>
                    <w:alias w:val="1 p."/>
                    <w:tag w:val="part_297cbd5f52a24e8793dac81e344529ae"/>
                    <w:lock w:val="sdtLocked"/>
                    <w:richText/>
                  </w:sdtPr>
                  <w:sdtContent>
                    <w:p>
                      <w:pPr>
                        <w:tabs>
                          <w:tab w:val="left" w:pos="284"/>
                          <w:tab w:val="left" w:pos="851"/>
                        </w:tabs>
                        <w:ind w:firstLine="567"/>
                        <w:jc w:val="both"/>
                        <w:rPr>
                          <w:szCs w:val="24"/>
                          <w:lang w:val="en-US" w:eastAsia="lt-LT"/>
                        </w:rPr>
                      </w:pPr>
                      <w:sdt>
                        <w:sdtPr>
                          <w:alias w:val="Numeris"/>
                          <w:tag w:val="nr_297cbd5f52a24e8793dac81e344529ae"/>
                          <w:lock w:val="sdtLocked"/>
                          <w:richText/>
                        </w:sdtPr>
                        <w:sdtContent>
                          <w:r>
                            <w:rPr>
                              <w:rFonts w:eastAsia="Calibri"/>
                              <w:szCs w:val="24"/>
                            </w:rPr>
                            <w:t>1</w:t>
                          </w:r>
                        </w:sdtContent>
                      </w:sdt>
                      <w:r>
                        <w:rPr>
                          <w:rFonts w:eastAsia="Calibri"/>
                          <w:szCs w:val="24"/>
                        </w:rPr>
                        <w:t>.</w:t>
                        <w:tab/>
                      </w:r>
                      <w:r>
                        <w:rPr>
                          <w:szCs w:val="24"/>
                          <w:lang w:val="en-US" w:eastAsia="lt-LT"/>
                        </w:rPr>
                        <w:t>Lietuvos Respublikos vietos savivaldos įstatymo 15 straipsnio 2 dalies 19 punktu;</w:t>
                      </w:r>
                    </w:p>
                  </w:sdtContent>
                </w:sdt>
                <w:sdt>
                  <w:sdtPr>
                    <w:alias w:val="2 p."/>
                    <w:tag w:val="part_08d2522ba017428d8d0e486157bed8a2"/>
                    <w:lock w:val="sdtLocked"/>
                    <w:richText/>
                  </w:sdtPr>
                  <w:sdtContent>
                    <w:p>
                      <w:pPr>
                        <w:tabs>
                          <w:tab w:val="left" w:pos="284"/>
                          <w:tab w:val="left" w:pos="851"/>
                        </w:tabs>
                        <w:ind w:firstLine="567"/>
                        <w:jc w:val="both"/>
                        <w:rPr>
                          <w:szCs w:val="24"/>
                          <w:lang w:val="en-US" w:eastAsia="lt-LT"/>
                        </w:rPr>
                      </w:pPr>
                      <w:sdt>
                        <w:sdtPr>
                          <w:alias w:val="Numeris"/>
                          <w:tag w:val="nr_08d2522ba017428d8d0e486157bed8a2"/>
                          <w:lock w:val="sdtLocked"/>
                          <w:richText/>
                        </w:sdtPr>
                        <w:sdtContent>
                          <w:r>
                            <w:rPr>
                              <w:rFonts w:eastAsia="Calibri"/>
                              <w:szCs w:val="24"/>
                            </w:rPr>
                            <w:t>2</w:t>
                          </w:r>
                        </w:sdtContent>
                      </w:sdt>
                      <w:r>
                        <w:rPr>
                          <w:rFonts w:eastAsia="Calibri"/>
                          <w:szCs w:val="24"/>
                        </w:rPr>
                        <w:t>.</w:t>
                        <w:tab/>
                      </w:r>
                      <w:r>
                        <w:rPr>
                          <w:szCs w:val="24"/>
                          <w:lang w:val="en-US" w:eastAsia="lt-LT"/>
                        </w:rPr>
                        <w:t>Lietuvos Respublikos Vyriausybės 2017 m. gruodžio 13 d. nutarimu Nr. 1036 „Dėl Žemės, esamų pastatų ar kitų nekilnojamųjų daiktų įsigijimo arba nuomos ar teisių į šiuos daiktus įsigijimo tvarkos aprašo patvirtinimo;</w:t>
                      </w:r>
                    </w:p>
                  </w:sdtContent>
                </w:sdt>
                <w:sdt>
                  <w:sdtPr>
                    <w:alias w:val="3 p."/>
                    <w:tag w:val="part_80cb0b853d24458dbae64c08657907f3"/>
                    <w:lock w:val="sdtLocked"/>
                    <w:richText/>
                  </w:sdtPr>
                  <w:sdtContent>
                    <w:p>
                      <w:pPr>
                        <w:tabs>
                          <w:tab w:val="left" w:pos="284"/>
                          <w:tab w:val="left" w:pos="851"/>
                        </w:tabs>
                        <w:ind w:firstLine="567"/>
                        <w:jc w:val="both"/>
                        <w:rPr>
                          <w:szCs w:val="24"/>
                          <w:lang w:val="en-US" w:eastAsia="lt-LT"/>
                        </w:rPr>
                      </w:pPr>
                      <w:sdt>
                        <w:sdtPr>
                          <w:alias w:val="Numeris"/>
                          <w:tag w:val="nr_80cb0b853d24458dbae64c08657907f3"/>
                          <w:lock w:val="sdtLocked"/>
                          <w:richText/>
                        </w:sdtPr>
                        <w:sdtContent>
                          <w:r>
                            <w:rPr>
                              <w:rFonts w:eastAsia="Calibri"/>
                              <w:szCs w:val="24"/>
                            </w:rPr>
                            <w:t>3</w:t>
                          </w:r>
                        </w:sdtContent>
                      </w:sdt>
                      <w:r>
                        <w:rPr>
                          <w:rFonts w:eastAsia="Calibri"/>
                          <w:szCs w:val="24"/>
                        </w:rPr>
                        <w:t>.</w:t>
                        <w:tab/>
                      </w:r>
                      <w:r>
                        <w:rPr>
                          <w:szCs w:val="24"/>
                          <w:lang w:val="en-US" w:eastAsia="lt-LT"/>
                        </w:rPr>
                        <w:t>2015 m. spalio 29 d. Šiaulių miesto savivaldybės tarybos sprendimu Nr. T-308 „Dėl pritarimo įgyvendinti projektą „Socialinio būsto fondo plėtra Šiaulių miesto savivaldybėje“.</w:t>
                      </w:r>
                    </w:p>
                  </w:sdtContent>
                </w:sdt>
              </w:sdtContent>
            </w:sdt>
            <w:sdt>
              <w:sdtPr>
                <w:alias w:val="poskyris"/>
                <w:tag w:val="part_d07675c8dad64c5cab7e82b5a79e6e48"/>
                <w:lock w:val="sdtLocked"/>
                <w:richText/>
              </w:sdtPr>
              <w:sdtContent>
                <w:p>
                  <w:pPr>
                    <w:tabs>
                      <w:tab w:val="left" w:pos="855"/>
                    </w:tabs>
                    <w:suppressAutoHyphens/>
                    <w:jc w:val="both"/>
                    <w:rPr>
                      <w:rFonts w:cs="Calibri"/>
                      <w:b/>
                      <w:szCs w:val="24"/>
                      <w:lang w:eastAsia="ar-SA"/>
                    </w:rPr>
                  </w:pPr>
                  <w:sdt>
                    <w:sdtPr>
                      <w:alias w:val="Pavadinimas"/>
                      <w:tag w:val="title_d07675c8dad64c5cab7e82b5a79e6e48"/>
                      <w:lock w:val="sdtLocked"/>
                      <w:richText/>
                    </w:sdtPr>
                    <w:sdtContent>
                      <w:r>
                        <w:rPr>
                          <w:rFonts w:cs="Calibri"/>
                          <w:b/>
                          <w:szCs w:val="24"/>
                          <w:shd w:val="clear" w:color="auto" w:fill="FFFFFF"/>
                          <w:lang w:eastAsia="ar-SA"/>
                        </w:rPr>
                        <w:t>Sprendimo projekte numatytos naujos teisinio reglamentavimo nuostatos</w:t>
                      </w:r>
                      <w:r>
                        <w:rPr>
                          <w:rFonts w:cs="Calibri"/>
                          <w:b/>
                          <w:szCs w:val="24"/>
                          <w:lang w:eastAsia="ar-SA"/>
                        </w:rPr>
                        <w:t>.</w:t>
                      </w:r>
                    </w:sdtContent>
                  </w:sdt>
                </w:p>
                <w:p>
                  <w:pPr>
                    <w:tabs>
                      <w:tab w:val="left" w:pos="855"/>
                    </w:tabs>
                    <w:suppressAutoHyphens/>
                    <w:jc w:val="both"/>
                    <w:rPr>
                      <w:rFonts w:cs="Calibri"/>
                      <w:szCs w:val="24"/>
                      <w:shd w:val="clear" w:color="auto" w:fill="FFFFFF"/>
                      <w:lang w:eastAsia="ar-SA"/>
                    </w:rPr>
                  </w:pPr>
                  <w:r>
                    <w:rPr>
                      <w:rFonts w:cs="Calibri"/>
                      <w:szCs w:val="24"/>
                      <w:shd w:val="clear" w:color="auto" w:fill="FFFFFF"/>
                      <w:lang w:eastAsia="ar-SA"/>
                    </w:rPr>
                    <w:t>Naujos teisinio reguliavimo nuostatos nenumatomos.</w:t>
                  </w:r>
                </w:p>
                <w:p>
                  <w:pPr>
                    <w:jc w:val="both"/>
                    <w:rPr>
                      <w:szCs w:val="24"/>
                      <w:lang w:eastAsia="lt-LT"/>
                    </w:rPr>
                  </w:pPr>
                </w:p>
              </w:sdtContent>
            </w:sdt>
            <w:sdt>
              <w:sdtPr>
                <w:alias w:val="poskyris"/>
                <w:tag w:val="part_dca56dd13cbf4d2f914969f959b769fe"/>
                <w:lock w:val="sdtLocked"/>
                <w:richText/>
              </w:sdtPr>
              <w:sdtContent>
                <w:p>
                  <w:pPr>
                    <w:jc w:val="both"/>
                    <w:rPr>
                      <w:b/>
                      <w:bCs/>
                      <w:szCs w:val="24"/>
                      <w:shd w:val="clear" w:color="auto" w:fill="FFFFFF"/>
                      <w:lang w:eastAsia="lt-LT"/>
                    </w:rPr>
                  </w:pPr>
                  <w:sdt>
                    <w:sdtPr>
                      <w:alias w:val="Pavadinimas"/>
                      <w:tag w:val="title_dca56dd13cbf4d2f914969f959b769fe"/>
                      <w:lock w:val="sdtLocked"/>
                      <w:richText/>
                    </w:sdtPr>
                    <w:sdtContent>
                      <w:r>
                        <w:rPr>
                          <w:b/>
                          <w:bCs/>
                          <w:szCs w:val="24"/>
                          <w:shd w:val="clear" w:color="auto" w:fill="FFFFFF"/>
                          <w:lang w:eastAsia="lt-LT"/>
                        </w:rPr>
                        <w:t>Priėmus sprendimą, galimos pasekmės.</w:t>
                      </w:r>
                    </w:sdtContent>
                  </w:sdt>
                </w:p>
                <w:p>
                  <w:pPr>
                    <w:jc w:val="both"/>
                    <w:rPr>
                      <w:rFonts w:eastAsia="HG Mincho Light J"/>
                      <w:color w:val="000000"/>
                      <w:szCs w:val="24"/>
                      <w:lang w:eastAsia="lt-LT"/>
                    </w:rPr>
                  </w:pPr>
                  <w:r>
                    <w:rPr>
                      <w:iCs/>
                      <w:szCs w:val="24"/>
                      <w:lang w:eastAsia="lt-LT"/>
                    </w:rPr>
                    <w:t xml:space="preserve">2015 m. spalio 29 d. Šiaulių miesto savivaldybės tarybos sprendimu Nr. T-308 </w:t>
                  </w:r>
                  <w:r>
                    <w:rPr>
                      <w:szCs w:val="24"/>
                      <w:lang w:eastAsia="lt-LT"/>
                    </w:rPr>
                    <w:t xml:space="preserve">„Dėl pritarimo įgyvendinti projektą „Socialinio būsto fondo plėtra Šiaulių miesto savivaldybėje“, Šiaulių miesto savivaldybės administracija įgyvendina projektą „Socialinio būsto fondo plėtra Šiaulių miesto savivaldybėje“ (toliau – Projektas). Projekto tikslas – padidinti Šiaulių miesto savivaldybės socialinio būsto fondą, siekiant išplėsti galimybes apsirūpinti būstu socialiai pažeidžiamiems gyventojams. Uždavinys – plėtoti socialinio būsto fondą naujomis gyvenamosiomis patalpomis, kurių dalis būtų pritaikyta judėjimo ir apsitarnavimo funkcijų sutrikimų turinčių neįgalių asmenų poreikiams. Viena pagrindinių Projekto veiklų yra socialinių būstų įsigijimas (83 vnt. – 62 vnt. vieno kambario, 17 vnt. dviejų kambarių ir 4 vnt. trijų kambarių). Projekto metu jau yra nupirkti 82 socialiniai būstai. 2023 m. gegužės 19 d. Šiaulių miesto savivaldybės mero potvarkiu Nr. M-290 „Dėl butų pirkimo pagal projektą „Socialinio būsto fondo plėtra Šiaulių miesto savivaldybėje“, sudaryta Šiaulių miesto savivaldybės butų pirkimo komisija, kuri 2023 m. rugpjūčio - rugsėjo mėnesiais vykdė vieno kambario buto pirkimą skelbiamų derybų būdu. Pirkimo metu buvo gautas 1 pasiūlymas. </w:t>
                  </w:r>
                  <w:r>
                    <w:rPr>
                      <w:rFonts w:eastAsia="HG Mincho Light J"/>
                      <w:color w:val="000000"/>
                      <w:szCs w:val="24"/>
                    </w:rPr>
                    <w:t xml:space="preserve">Šiaulių miesto savivaldybės butų pirkimo komisija, įvertinusi siūlomo pirkti buto ekonominį naudingumą, gautą Nekilnojamo turto vertintojo išvadą, 2023 m. rugsėjo 22 d. protokolu </w:t>
                  </w:r>
                  <w:r>
                    <w:rPr>
                      <w:szCs w:val="24"/>
                      <w:lang w:eastAsia="lt-LT"/>
                    </w:rPr>
                    <w:t>Nr. VM-4</w:t>
                  </w:r>
                  <w:r>
                    <w:rPr>
                      <w:szCs w:val="24"/>
                      <w:lang w:val="en-US" w:eastAsia="lt-LT"/>
                    </w:rPr>
                    <w:t>8</w:t>
                  </w:r>
                  <w:r>
                    <w:rPr>
                      <w:szCs w:val="24"/>
                      <w:lang w:eastAsia="lt-LT"/>
                    </w:rPr>
                    <w:t xml:space="preserve">, </w:t>
                  </w:r>
                  <w:r>
                    <w:rPr>
                      <w:rFonts w:eastAsia="HG Mincho Light J"/>
                      <w:color w:val="000000"/>
                      <w:szCs w:val="24"/>
                    </w:rPr>
                    <w:t xml:space="preserve">priėmė sprendimą </w:t>
                  </w:r>
                  <w:r>
                    <w:rPr>
                      <w:szCs w:val="24"/>
                      <w:lang w:eastAsia="lt-LT"/>
                    </w:rPr>
                    <w:t xml:space="preserve">pirkti nekilnojamą daiktą (butą) savivaldybės nuosavybėn už derybų metu  susitartą kainą bei sąlygomis</w:t>
                  </w:r>
                  <w:r>
                    <w:rPr>
                      <w:rFonts w:eastAsia="HG Mincho Light J"/>
                      <w:color w:val="000000"/>
                      <w:szCs w:val="24"/>
                      <w:lang w:eastAsia="lt-LT"/>
                    </w:rPr>
                    <w:t>:</w:t>
                  </w:r>
                </w:p>
                <w:sdt>
                  <w:sdtPr>
                    <w:alias w:val="1 p."/>
                    <w:tag w:val="part_732fa8df4b534eaeb83cbf2a80063b46"/>
                    <w:lock w:val="sdtLocked"/>
                    <w:richText/>
                  </w:sdtPr>
                  <w:sdtContent>
                    <w:p>
                      <w:pPr>
                        <w:ind w:firstLine="360"/>
                        <w:jc w:val="both"/>
                        <w:rPr>
                          <w:szCs w:val="24"/>
                          <w:lang w:val="en-US" w:eastAsia="lt-LT"/>
                        </w:rPr>
                      </w:pPr>
                      <w:sdt>
                        <w:sdtPr>
                          <w:alias w:val="Numeris"/>
                          <w:tag w:val="nr_732fa8df4b534eaeb83cbf2a80063b46"/>
                          <w:lock w:val="sdtLocked"/>
                          <w:richText/>
                        </w:sdtPr>
                        <w:sdtContent>
                          <w:r>
                            <w:rPr>
                              <w:rFonts w:eastAsia="HG Mincho Light J"/>
                              <w:color w:val="000000"/>
                              <w:szCs w:val="24"/>
                            </w:rPr>
                            <w:t>1</w:t>
                          </w:r>
                        </w:sdtContent>
                      </w:sdt>
                      <w:r>
                        <w:rPr>
                          <w:rFonts w:eastAsia="HG Mincho Light J"/>
                          <w:color w:val="000000"/>
                          <w:szCs w:val="24"/>
                        </w:rPr>
                        <w:t>.</w:t>
                        <w:tab/>
                      </w:r>
                      <w:r>
                        <w:rPr>
                          <w:rFonts w:eastAsia="HG Mincho Light J"/>
                          <w:color w:val="000000"/>
                          <w:szCs w:val="24"/>
                          <w:lang w:val="en-US" w:eastAsia="lt-LT"/>
                        </w:rPr>
                        <w:t xml:space="preserve">Butą </w:t>
                      </w:r>
                      <w:r>
                        <w:rPr>
                          <w:rFonts w:eastAsia="HG Mincho Light J"/>
                          <w:szCs w:val="24"/>
                          <w:lang w:val="en-US" w:eastAsia="lt-LT"/>
                        </w:rPr>
                        <w:t xml:space="preserve">esantį </w:t>
                      </w:r>
                      <w:r>
                        <w:rPr>
                          <w:i/>
                          <w:iCs/>
                          <w:szCs w:val="24"/>
                          <w:shd w:val="clear" w:color="auto" w:fill="FDFEFF"/>
                          <w:lang w:val="en-US" w:eastAsia="lt-LT"/>
                        </w:rPr>
                        <w:t>(duomenys neskelbtini)</w:t>
                      </w:r>
                      <w:r>
                        <w:rPr>
                          <w:rFonts w:eastAsia="HG Mincho Light J"/>
                          <w:i/>
                          <w:iCs/>
                          <w:szCs w:val="24"/>
                          <w:lang w:val="en-US" w:eastAsia="lt-LT"/>
                        </w:rPr>
                        <w:t>,</w:t>
                      </w:r>
                      <w:r>
                        <w:rPr>
                          <w:rFonts w:eastAsia="HG Mincho Light J"/>
                          <w:i/>
                          <w:iCs/>
                          <w:color w:val="000000"/>
                          <w:szCs w:val="24"/>
                          <w:lang w:val="en-US" w:eastAsia="lt-LT"/>
                        </w:rPr>
                        <w:t xml:space="preserve"> </w:t>
                      </w:r>
                      <w:r>
                        <w:rPr>
                          <w:rFonts w:eastAsia="HG Mincho Light J"/>
                          <w:color w:val="000000"/>
                          <w:szCs w:val="24"/>
                          <w:lang w:val="en-US" w:eastAsia="lt-LT"/>
                        </w:rPr>
                        <w:t>už 37 500</w:t>
                      </w:r>
                      <w:r>
                        <w:rPr>
                          <w:szCs w:val="24"/>
                          <w:lang w:val="en-US" w:eastAsia="lt-LT"/>
                        </w:rPr>
                        <w:t xml:space="preserve">,00 </w:t>
                      </w:r>
                      <w:r>
                        <w:rPr>
                          <w:rFonts w:eastAsia="HG Mincho Light J"/>
                          <w:color w:val="000000"/>
                          <w:szCs w:val="24"/>
                          <w:lang w:val="en-US" w:eastAsia="lt-LT"/>
                        </w:rPr>
                        <w:t>Eur iš L. T. (vieno kambario butas).</w:t>
                      </w:r>
                    </w:p>
                    <w:p>
                      <w:pPr>
                        <w:jc w:val="both"/>
                        <w:rPr>
                          <w:szCs w:val="24"/>
                          <w:lang w:eastAsia="lt-LT"/>
                        </w:rPr>
                      </w:pPr>
                      <w:r>
                        <w:rPr>
                          <w:szCs w:val="24"/>
                          <w:lang w:eastAsia="lt-LT"/>
                        </w:rPr>
                        <w:t xml:space="preserve">Perkamas turtas (butas) finansuojamas Europos Sąjungos struktūrinių fondų lėšomis 85 proc. (31 450,00 Eur) bei Šiaulių miesto savivaldybės administracijos privalomo prisidėjimo lėšomis 15 proc. (5 550,00 Eur). Nenumatytos ar netinkamos finansuoti, tačiau nekilnojamiems daiktams (butams) įsigyti būtinos išlaidos 1,34 proc. (500,00 Eur). </w:t>
                      </w:r>
                    </w:p>
                    <w:p>
                      <w:pPr>
                        <w:jc w:val="both"/>
                        <w:rPr>
                          <w:szCs w:val="24"/>
                          <w:lang w:eastAsia="lt-LT"/>
                        </w:rPr>
                      </w:pPr>
                    </w:p>
                    <w:tbl>
                      <w:tblPr>
                        <w:tblW w:w="9767" w:type="dxa"/>
                        <w:tblCellMar>
                          <w:left w:w="0" w:type="dxa"/>
                          <w:right w:w="0" w:type="dxa"/>
                        </w:tblCellMar>
                        <w:tblLook w:val="04A0" w:firstRow="1" w:lastRow="0" w:firstColumn="1" w:lastColumn="0" w:noHBand="0" w:noVBand="1"/>
                      </w:tblPr>
                      <w:tblGrid>
                        <w:gridCol w:w="9767"/>
                      </w:tblGrid>
                      <w:tr>
                        <w:trPr>
                          <w:cantSplit/>
                        </w:trPr>
                        <w:tc>
                          <w:tcPr>
                            <w:tcW w:w="9767" w:type="dxa"/>
                            <w:hideMark/>
                          </w:tcPr>
                          <w:p>
                            <w:pPr>
                              <w:jc w:val="both"/>
                              <w:rPr>
                                <w:b/>
                                <w:bCs/>
                                <w:szCs w:val="24"/>
                                <w:shd w:val="clear" w:color="auto" w:fill="FFFFFF"/>
                                <w:lang w:eastAsia="lt-LT"/>
                              </w:rPr>
                            </w:pPr>
                            <w:r>
                              <w:rPr>
                                <w:b/>
                                <w:bCs/>
                                <w:szCs w:val="24"/>
                                <w:shd w:val="clear" w:color="auto" w:fill="FFFFFF"/>
                                <w:lang w:eastAsia="lt-LT"/>
                              </w:rPr>
                              <w:t>Priėmus sprendimą, keičiami ar pripažįstami negaliojančiais teisės aktai.</w:t>
                            </w:r>
                          </w:p>
                          <w:p>
                            <w:pPr>
                              <w:jc w:val="both"/>
                              <w:rPr>
                                <w:szCs w:val="24"/>
                                <w:lang w:eastAsia="lt-LT"/>
                              </w:rPr>
                            </w:pPr>
                            <w:r>
                              <w:rPr>
                                <w:szCs w:val="24"/>
                                <w:lang w:eastAsia="lt-LT"/>
                              </w:rPr>
                              <w:t>Priėmus sprendimą, teisės aktai nekeičiami ir nepripažįstami negaliojančiais.</w:t>
                            </w:r>
                          </w:p>
                          <w:p>
                            <w:pPr>
                              <w:jc w:val="both"/>
                              <w:rPr>
                                <w:szCs w:val="24"/>
                                <w:lang w:eastAsia="lt-LT"/>
                              </w:rPr>
                            </w:pPr>
                          </w:p>
                        </w:tc>
                      </w:tr>
                      <w:tr>
                        <w:trPr>
                          <w:cantSplit/>
                        </w:trPr>
                        <w:tc>
                          <w:tcPr>
                            <w:tcW w:w="9767" w:type="dxa"/>
                            <w:hideMark/>
                          </w:tcPr>
                          <w:p>
                            <w:pPr>
                              <w:ind w:right="83"/>
                              <w:jc w:val="both"/>
                              <w:rPr>
                                <w:szCs w:val="24"/>
                                <w:lang w:eastAsia="lt-LT"/>
                              </w:rPr>
                            </w:pPr>
                          </w:p>
                        </w:tc>
                      </w:tr>
                      <w:tr>
                        <w:trPr>
                          <w:cantSplit/>
                        </w:trPr>
                        <w:tc>
                          <w:tcPr>
                            <w:tcW w:w="9767" w:type="dxa"/>
                            <w:hideMark/>
                          </w:tcPr>
                          <w:p>
                            <w:pPr>
                              <w:ind w:right="83"/>
                              <w:jc w:val="both"/>
                              <w:rPr>
                                <w:b/>
                                <w:bCs/>
                                <w:szCs w:val="24"/>
                                <w:shd w:val="clear" w:color="auto" w:fill="FFFFFF"/>
                                <w:lang w:eastAsia="lt-LT"/>
                              </w:rPr>
                            </w:pPr>
                          </w:p>
                          <w:p>
                            <w:pPr>
                              <w:ind w:right="83"/>
                              <w:jc w:val="both"/>
                              <w:rPr>
                                <w:b/>
                                <w:bCs/>
                                <w:szCs w:val="24"/>
                                <w:shd w:val="clear" w:color="auto" w:fill="FFFFFF"/>
                                <w:lang w:eastAsia="lt-LT"/>
                              </w:rPr>
                            </w:pPr>
                            <w:r>
                              <w:rPr>
                                <w:b/>
                                <w:bCs/>
                                <w:szCs w:val="24"/>
                                <w:shd w:val="clear" w:color="auto" w:fill="FFFFFF"/>
                                <w:lang w:eastAsia="lt-LT"/>
                              </w:rPr>
                              <w:t>Sprendimui įgyvendinti reikalingi priimti papildomi teisės aktai.</w:t>
                            </w:r>
                          </w:p>
                          <w:p>
                            <w:pPr>
                              <w:ind w:right="83"/>
                              <w:jc w:val="both"/>
                              <w:rPr>
                                <w:szCs w:val="24"/>
                                <w:lang w:eastAsia="lt-LT"/>
                              </w:rPr>
                            </w:pPr>
                            <w:r>
                              <w:rPr>
                                <w:szCs w:val="24"/>
                                <w:lang w:eastAsia="lt-LT"/>
                              </w:rPr>
                              <w:t>Sprendimui įgyvendinti papildomi teisės aktai nebus reikalingi.</w:t>
                            </w:r>
                          </w:p>
                          <w:p>
                            <w:pPr>
                              <w:ind w:right="83"/>
                              <w:jc w:val="both"/>
                              <w:rPr>
                                <w:szCs w:val="24"/>
                                <w:lang w:eastAsia="lt-LT"/>
                              </w:rPr>
                            </w:pPr>
                          </w:p>
                        </w:tc>
                      </w:tr>
                      <w:tr>
                        <w:trPr>
                          <w:cantSplit/>
                        </w:trPr>
                        <w:tc>
                          <w:tcPr>
                            <w:tcW w:w="9767" w:type="dxa"/>
                            <w:hideMark/>
                          </w:tcPr>
                          <w:p>
                            <w:pPr>
                              <w:ind w:right="83"/>
                              <w:jc w:val="both"/>
                              <w:rPr>
                                <w:szCs w:val="24"/>
                                <w:lang w:eastAsia="lt-LT"/>
                              </w:rPr>
                            </w:pPr>
                          </w:p>
                        </w:tc>
                      </w:tr>
                      <w:tr>
                        <w:trPr>
                          <w:cantSplit/>
                        </w:trPr>
                        <w:tc>
                          <w:tcPr>
                            <w:tcW w:w="9767" w:type="dxa"/>
                            <w:hideMark/>
                          </w:tcPr>
                          <w:p>
                            <w:pPr>
                              <w:jc w:val="both"/>
                              <w:rPr>
                                <w:b/>
                                <w:bCs/>
                                <w:szCs w:val="24"/>
                                <w:shd w:val="clear" w:color="auto" w:fill="FFFFFF"/>
                                <w:lang w:eastAsia="lt-LT"/>
                              </w:rPr>
                            </w:pPr>
                          </w:p>
                          <w:p>
                            <w:pPr>
                              <w:jc w:val="both"/>
                              <w:rPr>
                                <w:szCs w:val="24"/>
                                <w:lang w:eastAsia="lt-LT"/>
                              </w:rPr>
                            </w:pPr>
                            <w:r>
                              <w:rPr>
                                <w:b/>
                                <w:bCs/>
                                <w:szCs w:val="24"/>
                                <w:shd w:val="clear" w:color="auto" w:fill="FFFFFF"/>
                                <w:lang w:eastAsia="lt-LT"/>
                              </w:rPr>
                              <w:t>Sprendimui įgyvendinti reikalingos lėšos.</w:t>
                            </w:r>
                          </w:p>
                          <w:p>
                            <w:pPr>
                              <w:jc w:val="both"/>
                              <w:rPr>
                                <w:szCs w:val="24"/>
                                <w:lang w:eastAsia="lt-LT"/>
                              </w:rPr>
                            </w:pPr>
                            <w:r>
                              <w:rPr>
                                <w:szCs w:val="24"/>
                                <w:lang w:eastAsia="lt-LT"/>
                              </w:rPr>
                              <w:t xml:space="preserve">Sprendimui įgyvendinti bus reikalingos Šiaulių miesto savivaldybės biudžeto lėšos: 15 proc. (nekilnojamo turto vertinimui – 20,52 Eur, buto įsigijimui 5 550,00 Eur, notaro išlaidoms – apie 36,00 Eur) ir nenumatytos ar netinkamos finansuoti, tačiau nekilnojamiems daiktams (butams) įsigyti būtinos išlaidos 1,34 proc. (500,00 Eur). </w:t>
                            </w:r>
                          </w:p>
                          <w:p>
                            <w:pPr>
                              <w:jc w:val="both"/>
                              <w:rPr>
                                <w:color w:val="FF0000"/>
                                <w:szCs w:val="24"/>
                                <w:lang w:eastAsia="lt-LT"/>
                              </w:rPr>
                            </w:pPr>
                          </w:p>
                        </w:tc>
                      </w:tr>
                      <w:tr>
                        <w:trPr>
                          <w:cantSplit/>
                        </w:trPr>
                        <w:tc>
                          <w:tcPr>
                            <w:tcW w:w="9767" w:type="dxa"/>
                            <w:hideMark/>
                          </w:tcPr>
                          <w:p>
                            <w:pPr>
                              <w:jc w:val="both"/>
                              <w:rPr>
                                <w:szCs w:val="24"/>
                                <w:lang w:eastAsia="lt-LT"/>
                              </w:rPr>
                            </w:pPr>
                          </w:p>
                          <w:p>
                            <w:pPr>
                              <w:jc w:val="both"/>
                              <w:rPr>
                                <w:b/>
                                <w:szCs w:val="24"/>
                                <w:lang w:eastAsia="lt-LT"/>
                              </w:rPr>
                            </w:pPr>
                            <w:r>
                              <w:rPr>
                                <w:b/>
                                <w:szCs w:val="24"/>
                                <w:lang w:eastAsia="lt-LT"/>
                              </w:rPr>
                              <w:t>Sprendimo projekto antikorupcinis vertinimas.</w:t>
                            </w:r>
                          </w:p>
                          <w:p>
                            <w:pPr>
                              <w:jc w:val="both"/>
                              <w:rPr>
                                <w:szCs w:val="24"/>
                                <w:shd w:val="clear" w:color="auto" w:fill="FFFFFF"/>
                                <w:lang w:eastAsia="lt-LT"/>
                              </w:rPr>
                            </w:pPr>
                            <w:r>
                              <w:rPr>
                                <w:color w:val="000000"/>
                                <w:szCs w:val="24"/>
                                <w:shd w:val="clear" w:color="auto" w:fill="FFFFFF"/>
                                <w:lang w:eastAsia="lt-LT"/>
                              </w:rPr>
                              <w:t xml:space="preserve">Lietuvos Respublikos korupcijos prevencijos įstatymo 8 str. 1 d. 3 p. nustato, kad teisės akto rengėjas atlieka teisės akto projekto antikorupcinį vertinimą, jeigu rengiamame teisės akte numatoma reguliuoti visuomeninius santykius, susijusius su finansinės paramos teikimu ir naudojimu, įskaitant Europos Sąjungos ar kitų fondų finansinę paramą. </w:t>
                            </w:r>
                          </w:p>
                          <w:p>
                            <w:pPr>
                              <w:jc w:val="both"/>
                              <w:rPr>
                                <w:szCs w:val="24"/>
                                <w:shd w:val="clear" w:color="auto" w:fill="FFFFFF"/>
                                <w:lang w:eastAsia="lt-LT"/>
                              </w:rPr>
                            </w:pPr>
                            <w:r>
                              <w:rPr>
                                <w:color w:val="000000"/>
                                <w:szCs w:val="24"/>
                                <w:shd w:val="clear" w:color="auto" w:fill="FFFFFF"/>
                                <w:lang w:eastAsia="lt-LT"/>
                              </w:rPr>
                              <w:t>Projekto veiklos ir rezultatai nereguliuos visuomeninių santykių, taip pat Šiaulių miesto savivaldybės administracija nėra Europos Sąjungos struktūrinių fondų paramos teikėja, todėl sprendimo projekto antikorupcinis vertinimas nėra taikytinas.</w:t>
                            </w:r>
                          </w:p>
                          <w:p>
                            <w:pPr>
                              <w:jc w:val="both"/>
                              <w:rPr>
                                <w:szCs w:val="24"/>
                                <w:lang w:eastAsia="lt-LT"/>
                              </w:rPr>
                            </w:pPr>
                          </w:p>
                        </w:tc>
                      </w:tr>
                      <w:tr>
                        <w:trPr>
                          <w:cantSplit/>
                        </w:trPr>
                        <w:tc>
                          <w:tcPr>
                            <w:tcW w:w="9767" w:type="dxa"/>
                            <w:hideMark/>
                          </w:tcPr>
                          <w:p>
                            <w:pPr>
                              <w:ind w:right="85"/>
                              <w:jc w:val="both"/>
                              <w:rPr>
                                <w:szCs w:val="24"/>
                                <w:lang w:eastAsia="lt-LT"/>
                              </w:rPr>
                            </w:pPr>
                          </w:p>
                        </w:tc>
                      </w:tr>
                      <w:tr>
                        <w:trPr>
                          <w:cantSplit/>
                          <w:trHeight w:val="127"/>
                        </w:trPr>
                        <w:tc>
                          <w:tcPr>
                            <w:tcW w:w="9767" w:type="dxa"/>
                            <w:hideMark/>
                          </w:tcPr>
                          <w:p>
                            <w:pPr>
                              <w:jc w:val="both"/>
                              <w:rPr>
                                <w:b/>
                                <w:szCs w:val="24"/>
                                <w:shd w:val="clear" w:color="auto" w:fill="FFFFFF"/>
                                <w:lang w:eastAsia="lt-LT"/>
                              </w:rPr>
                            </w:pPr>
                          </w:p>
                          <w:p>
                            <w:pPr>
                              <w:jc w:val="both"/>
                              <w:rPr>
                                <w:szCs w:val="24"/>
                                <w:shd w:val="clear" w:color="auto" w:fill="FFFFFF"/>
                                <w:lang w:eastAsia="lt-LT"/>
                              </w:rPr>
                            </w:pPr>
                            <w:r>
                              <w:rPr>
                                <w:b/>
                                <w:szCs w:val="24"/>
                                <w:shd w:val="clear" w:color="auto" w:fill="FFFFFF"/>
                                <w:lang w:eastAsia="lt-LT"/>
                              </w:rPr>
                              <w:t xml:space="preserve">Sprendimo projektą parengė. </w:t>
                            </w:r>
                            <w:r>
                              <w:rPr>
                                <w:szCs w:val="24"/>
                                <w:shd w:val="clear" w:color="auto" w:fill="FFFFFF"/>
                                <w:lang w:eastAsia="lt-LT"/>
                              </w:rPr>
                              <w:t>Šiaulių miesto meras Artūras Visockas. Tiesioginis rengėjas Šiaulių miesto savivaldybės administracijos Projekto valdymo skyriaus vyr. specialistė Rita Montvilienė, tel. 8 41 383 422</w:t>
                            </w:r>
                          </w:p>
                          <w:p>
                            <w:pPr>
                              <w:jc w:val="both"/>
                              <w:rPr>
                                <w:szCs w:val="24"/>
                                <w:shd w:val="clear" w:color="auto" w:fill="FFFFFF"/>
                                <w:lang w:eastAsia="lt-LT"/>
                              </w:rPr>
                            </w:pPr>
                          </w:p>
                          <w:p>
                            <w:pPr>
                              <w:jc w:val="both"/>
                              <w:rPr>
                                <w:szCs w:val="24"/>
                                <w:shd w:val="clear" w:color="auto" w:fill="FFFFFF"/>
                                <w:lang w:eastAsia="lt-LT"/>
                              </w:rPr>
                            </w:pPr>
                            <w:r>
                              <w:rPr>
                                <w:b/>
                                <w:szCs w:val="24"/>
                                <w:shd w:val="clear" w:color="auto" w:fill="FFFFFF"/>
                                <w:lang w:eastAsia="lt-LT"/>
                              </w:rPr>
                              <w:t>Numatomo teisinio reguliavimo poveikio vertinimo rezultatai.</w:t>
                            </w:r>
                          </w:p>
                          <w:p>
                            <w:pPr>
                              <w:jc w:val="both"/>
                              <w:rPr>
                                <w:szCs w:val="24"/>
                                <w:shd w:val="clear" w:color="auto" w:fill="FFFFFF"/>
                                <w:lang w:eastAsia="lt-LT"/>
                              </w:rPr>
                            </w:pPr>
                            <w:r>
                              <w:rPr>
                                <w:szCs w:val="24"/>
                                <w:shd w:val="clear" w:color="auto" w:fill="FFFFFF"/>
                                <w:lang w:eastAsia="lt-LT"/>
                              </w:rPr>
                              <w:t>Teisinio reguliavimo poveikio vertinimas neatliekamas.</w:t>
                            </w:r>
                          </w:p>
                          <w:p>
                            <w:pPr>
                              <w:spacing w:line="127" w:lineRule="atLeast"/>
                              <w:ind w:right="85"/>
                              <w:jc w:val="both"/>
                              <w:rPr>
                                <w:szCs w:val="24"/>
                                <w:shd w:val="clear" w:color="auto" w:fill="FFFFFF"/>
                                <w:lang w:eastAsia="lt-LT"/>
                              </w:rPr>
                            </w:pPr>
                          </w:p>
                          <w:p>
                            <w:pPr>
                              <w:spacing w:line="127" w:lineRule="atLeast"/>
                              <w:ind w:right="85"/>
                              <w:jc w:val="both"/>
                              <w:rPr>
                                <w:szCs w:val="24"/>
                                <w:shd w:val="clear" w:color="auto" w:fill="FFFFFF"/>
                                <w:lang w:eastAsia="lt-LT"/>
                              </w:rPr>
                            </w:pPr>
                          </w:p>
                          <w:p>
                            <w:pPr>
                              <w:spacing w:line="127" w:lineRule="atLeast"/>
                              <w:ind w:right="85"/>
                              <w:jc w:val="both"/>
                              <w:rPr>
                                <w:szCs w:val="24"/>
                                <w:shd w:val="clear" w:color="auto" w:fill="FFFFFF"/>
                                <w:lang w:eastAsia="lt-LT"/>
                              </w:rPr>
                            </w:pPr>
                          </w:p>
                        </w:tc>
                      </w:tr>
                      <w:tr>
                        <w:trPr>
                          <w:cantSplit/>
                          <w:trHeight w:val="155"/>
                        </w:trPr>
                        <w:tc>
                          <w:tcPr>
                            <w:tcW w:w="9767" w:type="dxa"/>
                            <w:hideMark/>
                          </w:tcPr>
                          <w:p>
                            <w:pPr>
                              <w:jc w:val="both"/>
                              <w:rPr>
                                <w:szCs w:val="24"/>
                                <w:lang w:eastAsia="lt-LT"/>
                              </w:rPr>
                            </w:pPr>
                          </w:p>
                        </w:tc>
                      </w:tr>
                    </w:tbl>
                    <w:p/>
                  </w:sdtContent>
                </w:sdt>
              </w:sdtContent>
            </w:sdt>
          </w:sdtContent>
        </w:sdt>
        <w:sdt>
          <w:sdtPr>
            <w:alias w:val="signatura"/>
            <w:tag w:val="part_376d24d959cd45e0b9329ab89a4e8850"/>
            <w:lock w:val="sdtLocked"/>
            <w:richText/>
          </w:sdtPr>
          <w:sdtContent>
            <w:p>
              <w:pPr>
                <w:jc w:val="both"/>
                <w:rPr>
                  <w:szCs w:val="24"/>
                  <w:lang w:eastAsia="lt-LT"/>
                </w:rPr>
              </w:pPr>
              <w:r>
                <w:rPr>
                  <w:szCs w:val="24"/>
                  <w:lang w:eastAsia="lt-LT"/>
                </w:rPr>
                <w:t xml:space="preserve">Skyriaus vedėja </w:t>
                <w:tab/>
                <w:tab/>
                <w:tab/>
                <w:tab/>
                <w:tab/>
                <w:t>Ieva Džiaugienė</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US" w:eastAsia="lt-LT"/>
        </w:rPr>
      </w:pPr>
      <w:r>
        <w:rPr>
          <w:szCs w:val="24"/>
          <w:lang w:val="en-US" w:eastAsia="lt-LT"/>
        </w:rPr>
        <w:separator/>
      </w:r>
    </w:p>
  </w:endnote>
  <w:endnote w:type="continuationSeparator" w:id="0">
    <w:p>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HG Mincho Light J">
    <w:altName w:val="Times New Roman"/>
    <w:charset w:val="BA"/>
    <w:family w:val="auto"/>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US"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US"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US"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US" w:eastAsia="lt-LT"/>
        </w:rPr>
      </w:pPr>
      <w:r>
        <w:rPr>
          <w:szCs w:val="24"/>
          <w:lang w:val="en-US" w:eastAsia="lt-LT"/>
        </w:rPr>
        <w:separator/>
      </w:r>
    </w:p>
  </w:footnote>
  <w:footnote w:type="continuationSeparator" w:id="0">
    <w:p>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US"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val="en-US" w:eastAsia="lt-LT"/>
      </w:rPr>
    </w:pPr>
    <w:r>
      <w:rPr>
        <w:szCs w:val="24"/>
        <w:lang w:val="en-US" w:eastAsia="lt-LT"/>
      </w:rPr>
      <w:fldChar w:fldCharType="begin"/>
    </w:r>
    <w:r>
      <w:rPr>
        <w:szCs w:val="24"/>
        <w:lang w:val="en-US" w:eastAsia="lt-LT"/>
      </w:rPr>
      <w:instrText xml:space="preserve"> PAGE   \* MERGEFORMAT </w:instrText>
    </w:r>
    <w:r>
      <w:rPr>
        <w:szCs w:val="24"/>
        <w:lang w:val="en-US" w:eastAsia="lt-LT"/>
      </w:rPr>
      <w:fldChar w:fldCharType="separate"/>
    </w:r>
    <w:r>
      <w:rPr>
        <w:szCs w:val="24"/>
        <w:lang w:val="en-US" w:eastAsia="lt-LT"/>
      </w:rPr>
      <w:t>2</w:t>
    </w:r>
    <w:r>
      <w:rPr>
        <w:szCs w:val="24"/>
        <w:lang w:val="en-US" w:eastAsia="lt-LT"/>
      </w:rPr>
      <w:fldChar w:fldCharType="end"/>
    </w:r>
  </w:p>
  <w:p>
    <w:pPr>
      <w:tabs>
        <w:tab w:val="center" w:pos="4819"/>
        <w:tab w:val="right" w:pos="9638"/>
      </w:tabs>
      <w:jc w:val="center"/>
      <w:rPr>
        <w:szCs w:val="24"/>
        <w:lang w:val="en-US"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US"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996"/>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41"/>
    <o:shapelayout v:ext="edit">
      <o:idmap v:ext="edit" data="1"/>
    </o:shapelayout>
  </w:shapeDefaults>
  <w:decimalSymbol w:val="."/>
  <w:listSeparator w:val=","/>
  <w15:docId w15:val="{95213A39-35BD-4B11-9082-8802DA1C9D3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6043742">
      <w:bodyDiv w:val="1"/>
      <w:marLeft w:val="0"/>
      <w:marRight w:val="0"/>
      <w:marTop w:val="0"/>
      <w:marBottom w:val="0"/>
      <w:divBdr>
        <w:top w:val="none" w:sz="0" w:space="0" w:color="auto"/>
        <w:left w:val="none" w:sz="0" w:space="0" w:color="auto"/>
        <w:bottom w:val="none" w:sz="0" w:space="0" w:color="auto"/>
        <w:right w:val="none" w:sz="0" w:space="0" w:color="auto"/>
      </w:divBdr>
    </w:div>
    <w:div w:id="383600941">
      <w:bodyDiv w:val="1"/>
      <w:marLeft w:val="0"/>
      <w:marRight w:val="0"/>
      <w:marTop w:val="0"/>
      <w:marBottom w:val="0"/>
      <w:divBdr>
        <w:top w:val="none" w:sz="0" w:space="0" w:color="auto"/>
        <w:left w:val="none" w:sz="0" w:space="0" w:color="auto"/>
        <w:bottom w:val="none" w:sz="0" w:space="0" w:color="auto"/>
        <w:right w:val="none" w:sz="0" w:space="0" w:color="auto"/>
      </w:divBdr>
    </w:div>
    <w:div w:id="1022780239">
      <w:bodyDiv w:val="1"/>
      <w:marLeft w:val="0"/>
      <w:marRight w:val="0"/>
      <w:marTop w:val="0"/>
      <w:marBottom w:val="0"/>
      <w:divBdr>
        <w:top w:val="none" w:sz="0" w:space="0" w:color="auto"/>
        <w:left w:val="none" w:sz="0" w:space="0" w:color="auto"/>
        <w:bottom w:val="none" w:sz="0" w:space="0" w:color="auto"/>
        <w:right w:val="none" w:sz="0" w:space="0" w:color="auto"/>
      </w:divBdr>
    </w:div>
    <w:div w:id="1144547197">
      <w:bodyDiv w:val="1"/>
      <w:marLeft w:val="0"/>
      <w:marRight w:val="0"/>
      <w:marTop w:val="0"/>
      <w:marBottom w:val="0"/>
      <w:divBdr>
        <w:top w:val="none" w:sz="0" w:space="0" w:color="auto"/>
        <w:left w:val="none" w:sz="0" w:space="0" w:color="auto"/>
        <w:bottom w:val="none" w:sz="0" w:space="0" w:color="auto"/>
        <w:right w:val="none" w:sz="0" w:space="0" w:color="auto"/>
      </w:divBdr>
    </w:div>
    <w:div w:id="1152798490">
      <w:bodyDiv w:val="1"/>
      <w:marLeft w:val="0"/>
      <w:marRight w:val="0"/>
      <w:marTop w:val="0"/>
      <w:marBottom w:val="0"/>
      <w:divBdr>
        <w:top w:val="none" w:sz="0" w:space="0" w:color="auto"/>
        <w:left w:val="none" w:sz="0" w:space="0" w:color="auto"/>
        <w:bottom w:val="none" w:sz="0" w:space="0" w:color="auto"/>
        <w:right w:val="none" w:sz="0" w:space="0" w:color="auto"/>
      </w:divBdr>
    </w:div>
    <w:div w:id="1346788494">
      <w:bodyDiv w:val="1"/>
      <w:marLeft w:val="0"/>
      <w:marRight w:val="0"/>
      <w:marTop w:val="0"/>
      <w:marBottom w:val="0"/>
      <w:divBdr>
        <w:top w:val="none" w:sz="0" w:space="0" w:color="auto"/>
        <w:left w:val="none" w:sz="0" w:space="0" w:color="auto"/>
        <w:bottom w:val="none" w:sz="0" w:space="0" w:color="auto"/>
        <w:right w:val="none" w:sz="0" w:space="0" w:color="auto"/>
      </w:divBdr>
    </w:div>
    <w:div w:id="1377122418">
      <w:bodyDiv w:val="1"/>
      <w:marLeft w:val="0"/>
      <w:marRight w:val="0"/>
      <w:marTop w:val="0"/>
      <w:marBottom w:val="0"/>
      <w:divBdr>
        <w:top w:val="none" w:sz="0" w:space="0" w:color="auto"/>
        <w:left w:val="none" w:sz="0" w:space="0" w:color="auto"/>
        <w:bottom w:val="none" w:sz="0" w:space="0" w:color="auto"/>
        <w:right w:val="none" w:sz="0" w:space="0" w:color="auto"/>
      </w:divBdr>
    </w:div>
    <w:div w:id="1542400814">
      <w:bodyDiv w:val="1"/>
      <w:marLeft w:val="0"/>
      <w:marRight w:val="0"/>
      <w:marTop w:val="0"/>
      <w:marBottom w:val="0"/>
      <w:divBdr>
        <w:top w:val="none" w:sz="0" w:space="0" w:color="auto"/>
        <w:left w:val="none" w:sz="0" w:space="0" w:color="auto"/>
        <w:bottom w:val="none" w:sz="0" w:space="0" w:color="auto"/>
        <w:right w:val="none" w:sz="0" w:space="0" w:color="auto"/>
      </w:divBdr>
    </w:div>
    <w:div w:id="1682970091">
      <w:bodyDiv w:val="1"/>
      <w:marLeft w:val="0"/>
      <w:marRight w:val="0"/>
      <w:marTop w:val="0"/>
      <w:marBottom w:val="0"/>
      <w:divBdr>
        <w:top w:val="none" w:sz="0" w:space="0" w:color="auto"/>
        <w:left w:val="none" w:sz="0" w:space="0" w:color="auto"/>
        <w:bottom w:val="none" w:sz="0" w:space="0" w:color="auto"/>
        <w:right w:val="none" w:sz="0" w:space="0" w:color="auto"/>
      </w:divBdr>
    </w:div>
    <w:div w:id="1928419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bd3f479fac04a459f1479481cd8da24" PartId="7402d594c6224cb3af0667833e3095c7">
    <Part Type="skyrius" Nr="999" Title="TARYBOS SPRENDIMO „DĖL BUTŲ PIRKIMO PAGAL PROJEKTĄ „SOCIALINIO BŪSTO FONDO PLĖTRA ŠIAULIŲ MIESTO SAVIVALDYBĖJE“ KOMISIJOS SPRENDIMO PATVIRTINIMO“PROJEKTOAIŠKINAMASIS RAŠTAS" DocPartId="b6c905f895d94ccfb004df7779a3a127" PartId="4919b95cfa7843be99a3e6a85a2eb46d">
      <Part Type="poskyris" Title="Parengto sprendimo projekto tikslai ir uždaviniai." DocPartId="d02ecc304bd940b793037236adbd86fa" PartId="3204ad841a8e499fbb9e15dde8118f8e">
        <Part Type="punktas" Nr="1" Abbr="1 p." DocPartId="3532115b3e3c4417b694a854fbd573ab" PartId="297cbd5f52a24e8793dac81e344529ae"/>
        <Part Type="punktas" Nr="2" Abbr="2 p." DocPartId="8fbac73a463e4931aaf71e9e51e2515d" PartId="08d2522ba017428d8d0e486157bed8a2"/>
        <Part Type="punktas" Nr="3" Abbr="3 p." DocPartId="597eeba307a8404daf5a6a51417de2c3" PartId="80cb0b853d24458dbae64c08657907f3"/>
      </Part>
      <Part Type="poskyris" Title="Sprendimo projekte numatytos naujos teisinio reglamentavimo nuostatos." DocPartId="cc46e844a76a497d94e501e83f1f98aa" PartId="d07675c8dad64c5cab7e82b5a79e6e48"/>
      <Part Type="poskyris" Title="Priėmus sprendimą, galimos pasekmės." DocPartId="262f90c9acfc4f52b3e270a5a40dc2c1" PartId="dca56dd13cbf4d2f914969f959b769fe">
        <Part Type="punktas" Nr="1" Abbr="1 p." DocPartId="af2117eb8b1441369f67f987a0f3298b" PartId="732fa8df4b534eaeb83cbf2a80063b46"/>
      </Part>
    </Part>
    <Part Type="signatura" DocPartId="3f51d870accd41b694a6f794d75a6d84" PartId="376d24d959cd45e0b9329ab89a4e8850"/>
  </Part>
</Parts>
</file>

<file path=customXml/itemProps1.xml><?xml version="1.0" encoding="utf-8"?>
<ds:datastoreItem xmlns:ds="http://schemas.openxmlformats.org/officeDocument/2006/customXml" ds:itemID="{5F3119BC-6157-4B3B-912E-F1368ADAD3A5}">
  <ds:schemaRefs>
    <ds:schemaRef ds:uri="http://schemas.openxmlformats.org/officeDocument/2006/bibliography"/>
  </ds:schemaRefs>
</ds:datastoreItem>
</file>

<file path=customXml/itemProps2.xml><?xml version="1.0" encoding="utf-8"?>
<ds:datastoreItem xmlns:ds="http://schemas.openxmlformats.org/officeDocument/2006/customXml" ds:itemID="{0D5C42AC-9C4B-461F-878B-39F3C27B31E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639</Words>
  <Characters>4558</Characters>
  <Application>Microsoft Office Word</Application>
  <DocSecurity>4</DocSecurity>
  <Lines>99</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savivaldybes administracija</Company>
  <LinksUpToDate>false</LinksUpToDate>
  <CharactersWithSpaces>5162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2023-09-25T13:47:00Z</dcterms:created>
  <dc:creator>i.jenciene</dc:creator>
  <lastModifiedBy>adlibuser</lastModifiedBy>
  <lastPrinted>2016-04-14T09:10:00Z</lastPrinted>
  <dcterms:modified xsi:type="dcterms:W3CDTF">2023-09-25T13:47:00Z</dcterms:modified>
  <revision>2</revision>
  <dc:title>Projektas</dc:title>
</coreProperties>
</file>