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beabd268667498f89c1713c59c81730"/>
        <w:lock w:val="sdtLocked"/>
        <w:richText/>
      </w:sdtPr>
      <w:sdtContent>
        <w:p w14:paraId="6010A951" w14:textId="77777777">
          <w:pPr>
            <w:framePr w:hSpace="180" w:wrap="auto" w:vAnchor="text" w:hAnchor="page" w:x="5728" w:y="-61"/>
            <w:tabs>
              <w:tab w:val="center" w:pos="4153"/>
              <w:tab w:val="right" w:pos="8306"/>
            </w:tabs>
            <w:overflowPunct w:val="0"/>
            <w:textAlignment w:val="baseline"/>
            <w:rPr>
              <w:lang w:val="en-GB" w:eastAsia="lt-LT"/>
            </w:rPr>
          </w:pPr>
        </w:p>
        <w:p w14:paraId="601C7B2A" w14:textId="77777777">
          <w:pPr>
            <w:framePr w:hSpace="180" w:wrap="auto" w:vAnchor="text" w:hAnchor="page" w:x="5728" w:y="-61"/>
            <w:overflowPunct w:val="0"/>
            <w:jc w:val="both"/>
            <w:textAlignment w:val="baseline"/>
            <w:rPr>
              <w:sz w:val="8"/>
              <w:lang w:eastAsia="lt-LT"/>
            </w:rPr>
          </w:pPr>
          <w:r>
            <w:rPr>
              <w:sz w:val="8"/>
              <w:lang w:val="en-US"/>
            </w:rPr>
            <w:drawing>
              <wp:inline distT="0" distB="0" distL="0" distR="0" wp14:anchorId="54C308FF" wp14:editId="593CF733">
                <wp:extent cx="1059180" cy="723900"/>
                <wp:effectExtent l="0" t="0" r="7620" b="0"/>
                <wp:docPr id="1" name="Paveikslėlis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59180" cy="723900"/>
                        </a:xfrm>
                        <a:prstGeom prst="rect">
                          <a:avLst/>
                        </a:prstGeom>
                        <a:noFill/>
                        <a:ln>
                          <a:noFill/>
                        </a:ln>
                      </pic:spPr>
                    </pic:pic>
                  </a:graphicData>
                </a:graphic>
              </wp:inline>
            </w:drawing>
          </w:r>
        </w:p>
        <w:p w14:paraId="3FADF344" w14:textId="77777777">
          <w:pPr>
            <w:overflowPunct w:val="0"/>
            <w:jc w:val="both"/>
            <w:textAlignment w:val="baseline"/>
            <w:rPr>
              <w:lang w:eastAsia="lt-LT"/>
            </w:rPr>
          </w:pPr>
        </w:p>
        <w:p w14:paraId="0F5A5EF5" w14:textId="77777777">
          <w:pPr>
            <w:overflowPunct w:val="0"/>
            <w:jc w:val="both"/>
            <w:textAlignment w:val="baseline"/>
            <w:rPr>
              <w:lang w:eastAsia="lt-LT"/>
            </w:rPr>
          </w:pPr>
        </w:p>
        <w:p w14:paraId="18F99C05" w14:textId="3B23A548">
          <w:pPr>
            <w:framePr w:w="9921" w:h="754" w:hSpace="181" w:wrap="notBeside" w:vAnchor="text" w:hAnchor="page" w:x="1551" w:y="647" w:anchorLock="1"/>
            <w:overflowPunct w:val="0"/>
            <w:jc w:val="center"/>
            <w:textAlignment w:val="baseline"/>
            <w:rPr>
              <w:b/>
              <w:szCs w:val="24"/>
              <w:lang w:eastAsia="lt-LT"/>
            </w:rPr>
          </w:pPr>
          <w:r>
            <w:rPr>
              <w:b/>
              <w:szCs w:val="24"/>
              <w:lang w:eastAsia="lt-LT"/>
            </w:rPr>
            <w:t xml:space="preserve">LIETUVOS RESPUBLIKOS ŽEMĖS ŪKIO MINISTERIJOS </w:t>
          </w:r>
        </w:p>
        <w:p w14:paraId="2AD5BAF7" w14:textId="77777777">
          <w:pPr>
            <w:framePr w:w="9921" w:h="754" w:hSpace="181" w:wrap="notBeside" w:vAnchor="text" w:hAnchor="page" w:x="1551" w:y="647" w:anchorLock="1"/>
            <w:overflowPunct w:val="0"/>
            <w:jc w:val="center"/>
            <w:textAlignment w:val="baseline"/>
            <w:rPr>
              <w:b/>
              <w:sz w:val="26"/>
              <w:szCs w:val="26"/>
              <w:lang w:val="en-GB" w:eastAsia="lt-LT"/>
            </w:rPr>
          </w:pPr>
          <w:r>
            <w:rPr>
              <w:b/>
              <w:sz w:val="26"/>
              <w:szCs w:val="26"/>
              <w:lang w:val="en-GB" w:eastAsia="lt-LT"/>
            </w:rPr>
            <w:t>EUROPOS SĄJUNGOS REIKALŲ IR PARAMOS POLITIKOS DEPARTAMENTAS</w:t>
          </w:r>
        </w:p>
        <w:p w14:paraId="618881A9" w14:textId="54641E16">
          <w:pPr>
            <w:framePr w:w="9921" w:h="754" w:hSpace="181" w:wrap="notBeside" w:vAnchor="text" w:hAnchor="page" w:x="1551" w:y="647" w:anchorLock="1"/>
            <w:overflowPunct w:val="0"/>
            <w:jc w:val="center"/>
            <w:textAlignment w:val="baseline"/>
            <w:rPr>
              <w:b/>
              <w:szCs w:val="24"/>
              <w:lang w:eastAsia="lt-LT"/>
            </w:rPr>
          </w:pPr>
        </w:p>
        <w:p w14:paraId="1FE30610" w14:textId="77777777">
          <w:pPr>
            <w:framePr w:w="9921" w:h="754" w:hSpace="181" w:wrap="notBeside" w:vAnchor="text" w:hAnchor="page" w:x="1551" w:y="647" w:anchorLock="1"/>
            <w:overflowPunct w:val="0"/>
            <w:jc w:val="center"/>
            <w:textAlignment w:val="baseline"/>
            <w:rPr>
              <w:b/>
              <w:szCs w:val="24"/>
              <w:lang w:eastAsia="lt-LT"/>
            </w:rPr>
          </w:pPr>
        </w:p>
        <w:p w14:paraId="3A927F9C" w14:textId="77777777">
          <w:pPr>
            <w:overflowPunct w:val="0"/>
            <w:jc w:val="both"/>
            <w:textAlignment w:val="baseline"/>
            <w:rPr>
              <w:lang w:eastAsia="lt-LT"/>
            </w:rPr>
          </w:pPr>
        </w:p>
        <w:p w14:paraId="2136653B" w14:textId="642898B0">
          <w:pPr>
            <w:framePr w:w="9185" w:h="1077" w:hSpace="181" w:wrap="notBeside" w:vAnchor="text" w:hAnchor="page" w:x="2169" w:y="1099"/>
            <w:overflowPunct w:val="0"/>
            <w:jc w:val="center"/>
            <w:textAlignment w:val="baseline"/>
            <w:rPr>
              <w:b/>
              <w:lang w:eastAsia="lt-LT"/>
            </w:rPr>
          </w:pPr>
          <w:r>
            <w:rPr>
              <w:b/>
              <w:lang w:eastAsia="lt-LT"/>
            </w:rPr>
            <w:t xml:space="preserve">AIŠKINAMASIS RAŠTAS </w:t>
          </w:r>
        </w:p>
        <w:p w14:paraId="146CD697" w14:textId="77777777">
          <w:pPr>
            <w:framePr w:w="9185" w:h="1077" w:hSpace="181" w:wrap="notBeside" w:vAnchor="text" w:hAnchor="page" w:x="2169" w:y="1099"/>
            <w:overflowPunct w:val="0"/>
            <w:jc w:val="center"/>
            <w:textAlignment w:val="baseline"/>
            <w:rPr>
              <w:b/>
              <w:szCs w:val="24"/>
              <w:lang w:eastAsia="lt-LT"/>
            </w:rPr>
          </w:pPr>
          <w:r>
            <w:rPr>
              <w:b/>
              <w:bCs/>
              <w:szCs w:val="24"/>
              <w:lang w:eastAsia="lt-LT"/>
            </w:rPr>
            <w:t xml:space="preserve">DĖL LIETUVOS ŽEMĖS ŪKIO IR KAIMO PLĖTROS 2023–2027 METŲ STRATEGINIO PLANO INTERVENCINĖS PRIEMONĖS </w:t>
          </w:r>
          <w:r>
            <w:rPr>
              <w:b/>
              <w:szCs w:val="24"/>
              <w:lang w:eastAsia="lt-LT"/>
            </w:rPr>
            <w:t>„NYKSTANČIŲ LIETUVOS SENŲJŲ VEISLIŲ GYVULIŲ IR NAMINIŲ PAUKŠČIŲ IŠSAUGOJIMAS“ ĮGYVENDINIMO TAISYKLIŲ PATVIRTINIMO</w:t>
          </w:r>
        </w:p>
        <w:p w14:paraId="347C6035" w14:textId="77777777">
          <w:pPr>
            <w:framePr w:w="9185" w:h="1077" w:hSpace="181" w:wrap="notBeside" w:vAnchor="text" w:hAnchor="page" w:x="2169" w:y="1099"/>
            <w:overflowPunct w:val="0"/>
            <w:jc w:val="center"/>
            <w:textAlignment w:val="baseline"/>
            <w:rPr>
              <w:b/>
              <w:bCs/>
              <w:color w:val="000000"/>
              <w:szCs w:val="24"/>
              <w:lang w:eastAsia="lt-LT"/>
            </w:rPr>
          </w:pPr>
        </w:p>
        <w:p w14:paraId="7FF8AC0A" w14:textId="6F53AA42">
          <w:pPr>
            <w:framePr w:w="9185" w:h="1077" w:hSpace="181" w:wrap="notBeside" w:vAnchor="text" w:hAnchor="page" w:x="2169" w:y="1099"/>
            <w:overflowPunct w:val="0"/>
            <w:spacing w:line="360" w:lineRule="auto"/>
            <w:textAlignment w:val="baseline"/>
            <w:rPr>
              <w:sz w:val="20"/>
              <w:lang w:eastAsia="lt-LT"/>
            </w:rPr>
          </w:pPr>
          <w:r>
            <w:rPr>
              <w:rFonts w:ascii="TimesLT" w:hAnsi="TimesLT"/>
              <w:sz w:val="20"/>
              <w:lang w:val="en-US"/>
            </w:rPr>
            <mc:AlternateContent>
              <mc:Choice Requires="wps">
                <w:drawing>
                  <wp:anchor distT="0" distB="0" distL="114300" distR="114300" simplePos="0" relativeHeight="251657216" behindDoc="0" locked="0" layoutInCell="1" allowOverlap="1" wp14:anchorId="12E45432" wp14:editId="5C7EAE85">
                    <wp:simplePos x="0" y="0"/>
                    <wp:positionH relativeFrom="column">
                      <wp:posOffset>1583690</wp:posOffset>
                    </wp:positionH>
                    <wp:positionV relativeFrom="paragraph">
                      <wp:posOffset>131445</wp:posOffset>
                    </wp:positionV>
                    <wp:extent cx="1143000" cy="200025"/>
                    <wp:effectExtent l="0" t="0" r="0" b="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200025"/>
                            </a:xfrm>
                            <a:prstGeom prst="rect">
                              <a:avLst/>
                            </a:prstGeom>
                            <a:solidFill>
                              <a:srgbClr val="FFFFFF"/>
                            </a:solidFill>
                            <a:ln w="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426576B" w14:textId="2BFFB37B">
                                <w:pPr>
                                  <w:overflowPunct w:val="0"/>
                                  <w:textAlignment w:val="baseline"/>
                                  <w:rPr>
                                    <w:lang w:val="en-US" w:eastAsia="lt-LT"/>
                                  </w:rPr>
                                </w:pPr>
                                <w:r>
                                  <w:rPr>
                                    <w:lang w:eastAsia="lt-LT"/>
                                  </w:rPr>
                                  <w:t>202</w:t>
                                </w:r>
                                <w:r>
                                  <w:rPr>
                                    <w:lang w:val="en-US" w:eastAsia="lt-LT"/>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E45432" id="Rectangle 2" o:spid="_x0000_s1026" style="position:absolute;margin-left:124.7pt;margin-top:10.35pt;width:90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mn4FqgIAAIIFAAAOAAAAZHJzL2Uyb0RvYy54bWysVN9v0zAQfkfif7D83iXpj7VETae2axHS gImBeHZtJ7Fw7GC7TQbif+fsNFlhL2iilaI7+/z5u7vPt7xpK4lO3FihVYaTqxgjrqhmQhUZ/vJ5 P1pgZB1RjEiteIYfucU3q9evlk2d8rEutWTcIABRNm3qDJfO1WkUWVryitgrXXMFm7k2FXHgmiJi hjSAXsloHMfXUaMNq42m3FpYve028Srg5zmn7mOeW+6QzDBwc+Frwvfgv9FqSdLCkLoU9EyDvIBF RYSCSweoW+IIOhrxDKoS1Girc3dFdRXpPBeUhxwgmyT+K5uHktQ85ALFsfVQJvv/YOmH071BgmV4 gpEiFbToExSNqEJyNPblaWqbQtRDfW98gra+0/SbRUpvS4jia2N0U3LCgFTi46M/DnjHwlF0aN5r Bujk6HSoVJubygNCDVAbGvI4NIS3DlFYTJLpJI6hbxT2oN3xeBauIGl/ujbWveW6Qt7IsAHuAZ2c 7qzzbEjahwT2Wgq2F1IGxxSHrTToREAc+/A7o9vLMKlQ45m99HwlHEhciirDC0gB0gmi8zXbKRZs R4TsbOArlb+JB/F2SYDXOjDDOpQmCOvnej+L59PJYjSfzyaj6WQXjzaL/Xa03ibX1/PdZrvZJb88 62SaloIxrnYB0/Y6T6b/pqPzi+sUOih9IOhZ6SPk+FCyBjHh+zCZvRknGBx4auN5lzUisoAZQZ3B yGj3VbgyCHyo7WU7FrH/n9sxoId+XlwcPcuti2ihVFDJvmpBkl6FnZpde2ih7F6aB80eQZxAx7Pw gwyMUpsfGDUwFDJsvx+J4RjJdwoE7idIb5jeOPQGURSOZthh1Jlb102aY21EUQJyEkSk9BoeQS6C Pp9YAGXvwEMP5M9DyU+SSz9EPY3O1W8AAAD//wMAUEsDBBQABgAIAAAAIQAoA8cD3wAAAAkBAAAP AAAAZHJzL2Rvd25yZXYueG1sTI89T8MwEIZ3JP6DdUhs1MYKFEKcCiExINGBpEJic+MjTojPaey2 4d/jTmW7j0fvPVesZjewA06h86TgdiGAITXedNQq2NSvNw/AQtRk9OAJFfxigFV5eVHo3PgjfeCh ii1LIRRyrcDGOOach8ai02HhR6S0+/aT0zG1U8vNpI8p3A1cCnHPne4oXbB6xBeLzU+1dwr63fpr LTbvfV0tbfP2ueu9c7VS11fz8xOwiHM8w3DST+pQJqet35MJbFAgs8csoakQS2AJyORpsFVwJyXw suD/Pyj/AAAA//8DAFBLAQItABQABgAIAAAAIQC2gziS/gAAAOEBAAATAAAAAAAAAAAAAAAAAAAA AABbQ29udGVudF9UeXBlc10ueG1sUEsBAi0AFAAGAAgAAAAhADj9If/WAAAAlAEAAAsAAAAAAAAA AAAAAAAALwEAAF9yZWxzLy5yZWxzUEsBAi0AFAAGAAgAAAAhAN+afgWqAgAAggUAAA4AAAAAAAAA AAAAAAAALgIAAGRycy9lMm9Eb2MueG1sUEsBAi0AFAAGAAgAAAAhACgDxwPfAAAACQEAAA8AAAAA AAAAAAAAAAAABAUAAGRycy9kb3ducmV2LnhtbFBLBQYAAAAABAAEAPMAAAAQBgAAAAA= " strokecolor="white" strokeweight="0">
                    <v:textbox inset="0,0,0,0">
                      <w:txbxContent>
                        <w:p w14:paraId="7426576B" w14:textId="2BFFB37B">
                          <w:pPr>
                            <w:overflowPunct w:val="0"/>
                            <w:textAlignment w:val="baseline"/>
                            <w:rPr>
                              <w:rFonts w:ascii="Times New Roman" w:hAnsi="Times New Roman" w:eastAsia="Times New Roman" w:cs="Times New Roman"/>
                              <w:lang w:val="en-US" w:eastAsia="lt-LT"/>
                            </w:rPr>
                          </w:pPr>
                          <w:r>
                            <w:rPr>
                              <w:rFonts w:ascii="Times New Roman" w:hAnsi="Times New Roman" w:eastAsia="Times New Roman" w:cs="Times New Roman"/>
                              <w:lang w:eastAsia="lt-LT"/>
                            </w:rPr>
                            <w:t>202</w:t>
                          </w:r>
                          <w:r>
                            <w:rPr>
                              <w:rFonts w:ascii="Times New Roman" w:hAnsi="Times New Roman" w:eastAsia="Times New Roman" w:cs="Times New Roman"/>
                              <w:lang w:val="en-US" w:eastAsia="lt-LT"/>
                            </w:rPr>
                            <w:t>3-</w:t>
                          </w:r>
                        </w:p>
                      </w:txbxContent>
                    </v:textbox>
                  </v:rect>
                </w:pict>
              </mc:Fallback>
            </mc:AlternateContent>
            <mc:AlternateContent>
              <mc:Choice Requires="wps">
                <w:drawing>
                  <wp:anchor distT="0" distB="0" distL="114300" distR="114300" simplePos="0" relativeHeight="251658240" behindDoc="0" locked="0" layoutInCell="1" allowOverlap="1" wp14:anchorId="02FA128A" wp14:editId="4EA5F307">
                    <wp:simplePos x="0" y="0"/>
                    <wp:positionH relativeFrom="column">
                      <wp:posOffset>3180080</wp:posOffset>
                    </wp:positionH>
                    <wp:positionV relativeFrom="paragraph">
                      <wp:posOffset>127635</wp:posOffset>
                    </wp:positionV>
                    <wp:extent cx="1028700" cy="196215"/>
                    <wp:effectExtent l="0" t="0" r="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196215"/>
                            </a:xfrm>
                            <a:prstGeom prst="rect">
                              <a:avLst/>
                            </a:prstGeom>
                            <a:solidFill>
                              <a:srgbClr val="FFFFFF"/>
                            </a:solidFill>
                            <a:ln w="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ACBFB4F" w14:textId="77777777">
                                <w:pPr>
                                  <w:overflowPunct w:val="0"/>
                                  <w:textAlignment w:val="baseline"/>
                                  <w:rPr>
                                    <w:szCs w:val="24"/>
                                    <w:lang w:eastAsia="lt-LT"/>
                                  </w:rPr>
                                </w:pPr>
                                <w:r>
                                  <w:rPr>
                                    <w:szCs w:val="24"/>
                                    <w:lang w:eastAsia="lt-LT"/>
                                  </w:rPr>
                                  <w:t>21D-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A128A" id="Rectangle 3" o:spid="_x0000_s1027" style="position:absolute;margin-left:250.4pt;margin-top:10.05pt;width:81pt;height:15.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zuWmrQIAAIkFAAAOAAAAZHJzL2Uyb0RvYy54bWysVG1v0zAQ/o7Ef7D8vctLXxctnbquRUgD Jgbis2s7jYVjB9ttsiH+O2enyQr7giYSKbqLz4+fu3t8V9dtJdGRGyu0ynFyEWPEFdVMqH2Ov37Z jhYYWUcUI1IrnuNHbvH18u2bq6bOeKpLLRk3CECUzZo6x6VzdRZFlpa8IvZC11zBYqFNRRy4Zh8x QxpAr2SUxvEsarRhtdGUWwt/b7tFvAz4RcGp+1QUljskcwzcXPia8N35b7S8ItnekLoU9ESDvIJF RYSCQweoW+IIOhjxAqoS1GirC3dBdRXpohCUhxwgmyT+K5uHktQ85ALFsfVQJvv/YOnH471BguU4 xUiRClr0GYpG1F5yNPblaWqbQdRDfW98gra+0/S7RUqvS4jiK2N0U3LCgFTi46M/NnjHwla0az5o Bujk4HSoVFuYygNCDVAbGvI4NIS3DlH4mcTpYh5D3yisJZezNJmGI0jW766Nde+4rpA3cmyAe0An xzvrPBuS9SGBvZaCbYWUwTH73VoadCQgjm14Tuj2PEwq1Hhmr91fCQcSl6LK8SL2jz+EZL5mG8WC 7YiQnQ18pfLLPIi3SwK81oEZ/kNpgrB+rrbTeD4ZL0bz+XQ8mow38ehmsV2PVutkNptvbtY3m+SX Z51MslIwxtUmYNpe58nk33R0unGdQgelDwQ9K32AHB9K1iAmfB/G08s0weDAVUuhgz5rROQeZgR1 BiOj3TfhyiDwobbn7VjE/j21Y0AP/Tw7OHqRWxfRQqmgkn3VgiS9Cjs1u3bXBskHvXqF7jR7BI0C K0/GzzMwSm2eMGpgNuTY/jgQwzGS7xXo3A+S3jC9sesNoihszbGDjIO5dt3AOdRG7EtAToKWlF7B XShEkOkzC2DuHbjvIYfTbPID5dwPUc8TdPkbAAD//wMAUEsDBBQABgAIAAAAIQBrSq7u3wAAAAkB AAAPAAAAZHJzL2Rvd25yZXYueG1sTI/NTsMwEITvSLyDtUjcqJ1IBBTiVBUSByR6IKmQuLnxkp/G 6zR22/D2LCc4zs5o5ttivbhRnHEOvScNyUqBQGq87anVsKtf7h5BhGjImtETavjGAOvy+qowufUX esdzFVvBJRRyo6GLccqlDE2HzoSVn5DY+/KzM5Hl3Eo7mwuXu1GmSmXSmZ54oTMTPnfYHKqT0zAc t59btXsb6uqha14/joN3rtb69mbZPIGIuMS/MPziMzqUzLT3J7JBjBrulWL0qCFVCQgOZFnKhz07 iQJZFvL/B+UPAAAA//8DAFBLAQItABQABgAIAAAAIQC2gziS/gAAAOEBAAATAAAAAAAAAAAAAAAA AAAAAABbQ29udGVudF9UeXBlc10ueG1sUEsBAi0AFAAGAAgAAAAhADj9If/WAAAAlAEAAAsAAAAA AAAAAAAAAAAALwEAAF9yZWxzLy5yZWxzUEsBAi0AFAAGAAgAAAAhAGbO5aatAgAAiQUAAA4AAAAA AAAAAAAAAAAALgIAAGRycy9lMm9Eb2MueG1sUEsBAi0AFAAGAAgAAAAhAGtKru7fAAAACQEAAA8A AAAAAAAAAAAAAAAABwUAAGRycy9kb3ducmV2LnhtbFBLBQYAAAAABAAEAPMAAAATBgAAAAA= " strokecolor="white" strokeweight="0">
                    <v:textbox inset="0,0,0,0">
                      <w:txbxContent>
                        <w:p w14:paraId="2ACBFB4F" w14:textId="77777777">
                          <w:pPr>
                            <w:overflowPunct w:val="0"/>
                            <w:textAlignment w:val="baseline"/>
                            <w:rPr>
                              <w:rFonts w:ascii="Times New Roman" w:hAnsi="Times New Roman" w:eastAsia="Times New Roman" w:cs="Times New Roman"/>
                              <w:szCs w:val="24"/>
                              <w:lang w:eastAsia="lt-LT"/>
                            </w:rPr>
                          </w:pPr>
                          <w:r>
                            <w:rPr>
                              <w:rFonts w:ascii="Times New Roman" w:hAnsi="Times New Roman" w:eastAsia="Times New Roman" w:cs="Times New Roman"/>
                              <w:szCs w:val="24"/>
                              <w:lang w:eastAsia="lt-LT"/>
                            </w:rPr>
                            <w:t>21D-</w:t>
                          </w:r>
                        </w:p>
                      </w:txbxContent>
                    </v:textbox>
                  </v:rect>
                </w:pict>
              </mc:Fallback>
            </mc:AlternateContent>
          </w:r>
        </w:p>
        <w:p w14:paraId="01ED02A8" w14:textId="77777777">
          <w:pPr>
            <w:framePr w:w="9185" w:h="1077" w:hSpace="181" w:wrap="notBeside" w:vAnchor="text" w:hAnchor="page" w:x="2169" w:y="1099"/>
            <w:overflowPunct w:val="0"/>
            <w:spacing w:line="360" w:lineRule="auto"/>
            <w:jc w:val="center"/>
            <w:textAlignment w:val="baseline"/>
            <w:rPr>
              <w:sz w:val="20"/>
              <w:lang w:eastAsia="lt-LT"/>
            </w:rPr>
          </w:pPr>
          <w:r>
            <w:rPr>
              <w:sz w:val="20"/>
              <w:lang w:eastAsia="lt-LT"/>
            </w:rPr>
            <w:t xml:space="preserve">____________________ </w:t>
          </w:r>
          <w:r>
            <w:rPr>
              <w:lang w:eastAsia="lt-LT"/>
            </w:rPr>
            <w:t xml:space="preserve">Nr. </w:t>
          </w:r>
          <w:r>
            <w:rPr>
              <w:sz w:val="20"/>
              <w:lang w:eastAsia="lt-LT"/>
            </w:rPr>
            <w:t>__________________</w:t>
          </w:r>
        </w:p>
        <w:p w14:paraId="7C8BA6CB" w14:textId="77777777">
          <w:pPr>
            <w:framePr w:w="9185" w:h="1077" w:hSpace="181" w:wrap="notBeside" w:vAnchor="text" w:hAnchor="page" w:x="2169" w:y="1099"/>
            <w:overflowPunct w:val="0"/>
            <w:spacing w:line="360" w:lineRule="auto"/>
            <w:jc w:val="center"/>
            <w:textAlignment w:val="baseline"/>
            <w:rPr>
              <w:lang w:eastAsia="lt-LT"/>
            </w:rPr>
          </w:pPr>
          <w:r>
            <w:rPr>
              <w:lang w:eastAsia="lt-LT"/>
            </w:rPr>
            <w:t>Vilnius</w:t>
          </w:r>
        </w:p>
        <w:p w14:paraId="148AA9B2" w14:textId="77777777">
          <w:pPr>
            <w:overflowPunct w:val="0"/>
            <w:jc w:val="both"/>
            <w:textAlignment w:val="baseline"/>
            <w:rPr>
              <w:lang w:eastAsia="lt-LT"/>
            </w:rPr>
          </w:pPr>
        </w:p>
        <w:p w14:paraId="0AB724F1" w14:textId="77777777">
          <w:pPr>
            <w:overflowPunct w:val="0"/>
            <w:spacing w:line="276" w:lineRule="auto"/>
            <w:jc w:val="both"/>
            <w:textAlignment w:val="baseline"/>
            <w:rPr>
              <w:szCs w:val="24"/>
              <w:lang w:eastAsia="lt-LT"/>
            </w:rPr>
          </w:pPr>
        </w:p>
        <w:sdt>
          <w:sdtPr>
            <w:alias w:val="1 p."/>
            <w:tag w:val="part_75459227679444bab04340c8ddf76c79"/>
            <w:lock w:val="sdtLocked"/>
            <w:richText/>
          </w:sdtPr>
          <w:sdtContent>
            <w:p w14:paraId="45F817A5" w14:textId="0E9D33E3">
              <w:pPr>
                <w:tabs>
                  <w:tab w:val="left" w:pos="851"/>
                </w:tabs>
                <w:spacing w:line="276" w:lineRule="auto"/>
                <w:ind w:firstLine="720"/>
                <w:jc w:val="both"/>
                <w:rPr>
                  <w:b/>
                  <w:bCs/>
                  <w:color w:val="000000"/>
                  <w:lang w:eastAsia="lt-LT"/>
                </w:rPr>
              </w:pPr>
              <w:sdt>
                <w:sdtPr>
                  <w:alias w:val="Numeris"/>
                  <w:tag w:val="nr_75459227679444bab04340c8ddf76c79"/>
                  <w:lock w:val="sdtLocked"/>
                  <w:richText/>
                </w:sdtPr>
                <w:sdtContent>
                  <w:r>
                    <w:rPr>
                      <w:b/>
                      <w:bCs/>
                      <w:color w:val="000000"/>
                      <w:lang w:eastAsia="lt-LT"/>
                    </w:rPr>
                    <w:t>1</w:t>
                  </w:r>
                </w:sdtContent>
              </w:sdt>
              <w:r>
                <w:rPr>
                  <w:b/>
                  <w:bCs/>
                  <w:color w:val="000000"/>
                  <w:lang w:eastAsia="lt-LT"/>
                </w:rPr>
                <w:t>.</w:t>
                <w:tab/>
                <w:t>Įsakymo projekto rengimą paskatinusios priežastys, įsakymo projekto tikslai ir uždaviniai.</w:t>
              </w:r>
            </w:p>
            <w:p w14:paraId="013260C3" w14:textId="46320C0B">
              <w:pPr>
                <w:spacing w:line="276" w:lineRule="auto"/>
                <w:ind w:firstLine="720"/>
                <w:jc w:val="both"/>
                <w:rPr>
                  <w:szCs w:val="24"/>
                </w:rPr>
              </w:pPr>
              <w:r>
                <w:rPr>
                  <w:szCs w:val="24"/>
                </w:rPr>
                <w:t xml:space="preserve">Įsakymo projektas parengtas siekiant įgyvendinti </w:t>
              </w:r>
              <w:r>
                <w:rPr>
                  <w:bCs/>
                  <w:szCs w:val="24"/>
                </w:rPr>
                <w:t xml:space="preserve">2021 m. gruodžio 2 d. Europos Parlamento ir Tarybos reglamentą </w:t>
              </w:r>
              <w:fldSimple w:instr="HYPERLINK http://eur-lex.europa.eu/legal-content/LIT/TXT/?uri=CELEX:32115R2021&amp;locale=lt \t _blank">
                <w:r>
                  <w:rPr>
                    <w:bCs/>
                    <w:szCs w:val="24"/>
                    <w:u w:val="single"/>
                    <w:color w:val="0000FF" w:themeColor="hyperlink"/>
                  </w:rPr>
                  <w:t>(ES) Nr. 2021/2115</w:t>
                </w:r>
              </w:fldSimple>
              <w:r>
                <w:rPr>
                  <w:bCs/>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bCs/>
                    <w:szCs w:val="24"/>
                    <w:u w:val="single"/>
                    <w:color w:val="0000FF" w:themeColor="hyperlink"/>
                  </w:rPr>
                  <w:t xml:space="preserve">(ES) Nr. </w:t>
                </w:r>
                <w:r>
                  <w:rPr>
                    <w:bCs/>
                    <w:szCs w:val="24"/>
                    <w:lang w:val="en-US"/>
                    <w:u w:val="single"/>
                    <w:color w:val="0000FF" w:themeColor="hyperlink"/>
                  </w:rPr>
                  <w:t>1305/2013</w:t>
                </w:r>
              </w:fldSimple>
              <w:r>
                <w:rPr>
                  <w:bCs/>
                  <w:szCs w:val="24"/>
                  <w:lang w:val="en-US"/>
                </w:rPr>
                <w:t xml:space="preserve"> ir </w:t>
              </w:r>
              <w:fldSimple w:instr="HYPERLINK http://eur-lex.europa.eu/legal-content/LIT/TXT/?uri=CELEX:32013R1307&amp;locale=lt \t _blank">
                <w:r>
                  <w:rPr>
                    <w:bCs/>
                    <w:szCs w:val="24"/>
                    <w:lang w:val="en-US"/>
                    <w:u w:val="single"/>
                    <w:color w:val="0000FF" w:themeColor="hyperlink"/>
                  </w:rPr>
                  <w:t>(ES) Nr. 1307/2013</w:t>
                </w:r>
              </w:fldSimple>
              <w:r>
                <w:rPr>
                  <w:bCs/>
                  <w:szCs w:val="24"/>
                  <w:lang w:val="en-US"/>
                </w:rPr>
                <w:t>,</w:t>
              </w:r>
              <w:r>
                <w:rPr>
                  <w:bCs/>
                  <w:szCs w:val="24"/>
                </w:rPr>
                <w:t xml:space="preserve"> ir vadovaujantis </w:t>
              </w:r>
              <w:r>
                <w:rPr>
                  <w:bCs/>
                </w:rPr>
                <w:t>2022 m. lapkričio 21 d. Komisijos įgyvendinimo sprendimu Nr. C(2022) 8272, kuriuo patvirtinamas Lietuvos 2023–2027 metų BŽŪP strateginis planas, pagal kurį teikiama iš Europos žemės ūkio garantijų fondo ir Europos žemės ūkio fondo kaimo plėtrai finansuojama Sąjungos parama,</w:t>
              </w:r>
              <w:r>
                <w:rPr>
                  <w:szCs w:val="24"/>
                </w:rPr>
                <w:t xml:space="preserve"> būtina patvirtinti 2023–2027 metų intervencinės priemonės „Nykstančių Lietuvos senųjų veislių gyvulių ir naminių paukščių išsaugojimas“ (</w:t>
              </w:r>
              <w:r>
                <w:rPr>
                  <w:bCs/>
                  <w:szCs w:val="24"/>
                </w:rPr>
                <w:t>toliau – Intervencinė priemonė)</w:t>
              </w:r>
              <w:r>
                <w:rPr>
                  <w:b/>
                  <w:szCs w:val="24"/>
                </w:rPr>
                <w:t xml:space="preserve"> </w:t>
              </w:r>
              <w:r>
                <w:rPr>
                  <w:szCs w:val="24"/>
                </w:rPr>
                <w:t xml:space="preserve">įgyvendinimo taisykles. </w:t>
              </w:r>
            </w:p>
            <w:p w14:paraId="28F67584" w14:textId="12070A98">
              <w:pPr>
                <w:spacing w:line="276" w:lineRule="auto"/>
                <w:ind w:firstLine="720"/>
                <w:jc w:val="both"/>
                <w:rPr>
                  <w:bCs/>
                  <w:color w:val="000000"/>
                  <w:szCs w:val="24"/>
                </w:rPr>
              </w:pPr>
              <w:r>
                <w:rPr>
                  <w:szCs w:val="24"/>
                </w:rPr>
                <w:t xml:space="preserve">Taisyklių projekto tikslas – nustatyti paramos pagal Intervencinę priemonę teikimo ir administravimo tvarką, kuria turi vadovautis </w:t>
              </w:r>
              <w:r>
                <w:rPr>
                  <w:bCs/>
                  <w:color w:val="000000"/>
                  <w:szCs w:val="24"/>
                </w:rPr>
                <w:t>pareiškėjai, rengdami ir teikdami paramos paraiškas, paramos gavėjai, įgyvendindami projektus, taip pat institucijos, atliekančios paramos paraiškų vertinimą, atranką ir projektų įgyvendinimo priežiūrą.</w:t>
              </w:r>
            </w:p>
            <w:p w14:paraId="0E7B3EA1" w14:textId="6C882A66">
              <w:pPr>
                <w:ind w:firstLine="720"/>
                <w:jc w:val="both"/>
                <w:rPr>
                  <w:bCs/>
                  <w:color w:val="000000"/>
                  <w:szCs w:val="24"/>
                </w:rPr>
              </w:pPr>
              <w:r>
                <w:rPr>
                  <w:bCs/>
                  <w:color w:val="000000"/>
                  <w:szCs w:val="24"/>
                </w:rPr>
                <w:t>Taisyklių projekte numatyti pagrindiniai tikslai ir poreikiai, kuriems skirta Intervencinė priemonė, paramos forma ir intensyvumas, remiamos veiklos, galimi pareiškėjai, tinkamumo sąlygos ir reikalavimai paramai gauti, kiti pareiškėjams, paramos gavėjams ir projektams taikomi reikalavimai.</w:t>
              </w:r>
            </w:p>
            <w:p w14:paraId="3ECF8ACF" w14:textId="1BE1E9DB">
              <w:pPr>
                <w:overflowPunct w:val="0"/>
                <w:ind w:firstLine="709"/>
                <w:jc w:val="both"/>
                <w:textAlignment w:val="baseline"/>
                <w:rPr>
                  <w:b/>
                  <w:szCs w:val="24"/>
                  <w:lang w:val="en-GB" w:eastAsia="lt-LT"/>
                </w:rPr>
              </w:pPr>
              <w:r>
                <w:rPr>
                  <w:bCs/>
                  <w:color w:val="000000"/>
                  <w:szCs w:val="24"/>
                  <w:lang w:eastAsia="lt-LT"/>
                </w:rPr>
                <w:t>Taisyklių projekto 22 punkto nuostatoje yra numatyta galimybė</w:t>
              </w:r>
              <w:r>
                <w:rPr>
                  <w:szCs w:val="24"/>
                  <w:lang w:eastAsia="lt-LT"/>
                </w:rPr>
                <w:t xml:space="preserve"> </w:t>
              </w:r>
              <w:r>
                <w:rPr>
                  <w:bCs/>
                  <w:color w:val="000000"/>
                  <w:szCs w:val="24"/>
                  <w:lang w:eastAsia="lt-LT"/>
                </w:rPr>
                <w:t xml:space="preserve">perskaičiuoti išmokas dėl galimo sutartinių gyvulių konvertavimo (toliau – SG) pakeitimo tais pačiais metais pateiktoms paraiškoms, kuris įvyko dėl techninės klaidos. Išmokų perskaičiavimai bus atliekami, pritarus Europos Komisijai, t. y. bus perskaičiuojami SG ir išmokos tais pačiais metais pateiktoms paraiškoms. </w:t>
              </w:r>
            </w:p>
          </w:sdtContent>
        </w:sdt>
        <w:sdt>
          <w:sdtPr>
            <w:alias w:val="2 p."/>
            <w:tag w:val="part_83c8605986064097afdd88cf5b97270f"/>
            <w:lock w:val="sdtLocked"/>
            <w:richText/>
          </w:sdtPr>
          <w:sdtContent>
            <w:p w14:paraId="608D6D8C" w14:textId="77777777">
              <w:pPr>
                <w:tabs>
                  <w:tab w:val="left" w:pos="851"/>
                </w:tabs>
                <w:spacing w:line="276" w:lineRule="auto"/>
                <w:ind w:firstLine="720"/>
                <w:jc w:val="both"/>
                <w:rPr>
                  <w:rFonts w:eastAsia="Calibri"/>
                  <w:b/>
                  <w:bCs/>
                  <w:szCs w:val="24"/>
                </w:rPr>
              </w:pPr>
              <w:sdt>
                <w:sdtPr>
                  <w:alias w:val="Numeris"/>
                  <w:tag w:val="nr_83c8605986064097afdd88cf5b97270f"/>
                  <w:lock w:val="sdtLocked"/>
                  <w:richText/>
                </w:sdtPr>
                <w:sdtContent>
                  <w:r>
                    <w:rPr>
                      <w:b/>
                      <w:bCs/>
                      <w:szCs w:val="24"/>
                      <w:lang w:eastAsia="lt-LT"/>
                    </w:rPr>
                    <w:t>2</w:t>
                  </w:r>
                </w:sdtContent>
              </w:sdt>
              <w:r>
                <w:rPr>
                  <w:b/>
                  <w:bCs/>
                  <w:szCs w:val="24"/>
                  <w:lang w:eastAsia="lt-LT"/>
                </w:rPr>
                <w:t xml:space="preserve">. </w:t>
              </w:r>
              <w:r>
                <w:rPr>
                  <w:rFonts w:eastAsia="Calibri"/>
                  <w:b/>
                  <w:bCs/>
                  <w:szCs w:val="24"/>
                </w:rPr>
                <w:t>Įsakymo projektui įgyvendinti reikalingi institucijų ir (ar) įstaigų informacinių sistemų pakeitimai</w:t>
              </w:r>
            </w:p>
            <w:p w14:paraId="2CB08C6C" w14:textId="77777777">
              <w:pPr>
                <w:overflowPunct w:val="0"/>
                <w:spacing w:line="276" w:lineRule="auto"/>
                <w:ind w:firstLine="720"/>
                <w:jc w:val="both"/>
                <w:textAlignment w:val="baseline"/>
                <w:rPr>
                  <w:rFonts w:eastAsia="Calibri"/>
                </w:rPr>
              </w:pPr>
              <w:r>
                <w:rPr>
                  <w:rFonts w:eastAsia="Calibri"/>
                </w:rPr>
                <w:t xml:space="preserve">Įsakymo projektui įgyvendinti papildomų lėšų nereikės. </w:t>
              </w:r>
            </w:p>
          </w:sdtContent>
        </w:sdt>
        <w:sdt>
          <w:sdtPr>
            <w:alias w:val="3 p."/>
            <w:tag w:val="part_5c46886de8ce4ff7bee1af82c03950aa"/>
            <w:lock w:val="sdtLocked"/>
            <w:richText/>
          </w:sdtPr>
          <w:sdtContent>
            <w:p w14:paraId="0C07C8AE" w14:textId="77777777">
              <w:pPr>
                <w:overflowPunct w:val="0"/>
                <w:spacing w:line="276" w:lineRule="auto"/>
                <w:ind w:firstLine="720"/>
                <w:jc w:val="both"/>
                <w:textAlignment w:val="baseline"/>
                <w:rPr>
                  <w:b/>
                  <w:bCs/>
                  <w:lang w:eastAsia="lt-LT"/>
                </w:rPr>
              </w:pPr>
              <w:sdt>
                <w:sdtPr>
                  <w:alias w:val="Numeris"/>
                  <w:tag w:val="nr_5c46886de8ce4ff7bee1af82c03950aa"/>
                  <w:lock w:val="sdtLocked"/>
                  <w:richText/>
                </w:sdtPr>
                <w:sdtContent>
                  <w:r>
                    <w:rPr>
                      <w:b/>
                      <w:bCs/>
                      <w:lang w:eastAsia="lt-LT"/>
                    </w:rPr>
                    <w:t>3</w:t>
                  </w:r>
                </w:sdtContent>
              </w:sdt>
              <w:r>
                <w:rPr>
                  <w:b/>
                  <w:bCs/>
                  <w:lang w:eastAsia="lt-LT"/>
                </w:rPr>
                <w:t xml:space="preserve">. Informacija dėl Įsakymo projekto skelbimo Lietuvos Respublikos Seimo kanceliarijos Teisės aktų informacinėje sistemoje (toliau – TAIS) </w:t>
              </w:r>
            </w:p>
            <w:p w14:paraId="29BFA46E" w14:textId="77777777">
              <w:pPr>
                <w:overflowPunct w:val="0"/>
                <w:spacing w:line="276" w:lineRule="auto"/>
                <w:ind w:firstLine="720"/>
                <w:jc w:val="both"/>
                <w:textAlignment w:val="baseline"/>
                <w:rPr>
                  <w:lang w:eastAsia="lt-LT"/>
                </w:rPr>
              </w:pPr>
              <w:r>
                <w:rPr>
                  <w:lang w:eastAsia="lt-LT"/>
                </w:rPr>
                <w:t>Įsakymo projektas bus skelbiamas Lietuvos Respublikos Seimo kanceliarijos teisės aktų informacinėje sistemoje. Pastabas ir pasiūlymus galima teikti per 10 darbo dienų nuo Įsakymo projekto paskelbimo.</w:t>
              </w:r>
            </w:p>
          </w:sdtContent>
        </w:sdt>
        <w:sdt>
          <w:sdtPr>
            <w:alias w:val="4 p."/>
            <w:tag w:val="part_118b1072deb9428ca284b7e4da381ed5"/>
            <w:lock w:val="sdtLocked"/>
            <w:richText/>
          </w:sdtPr>
          <w:sdtContent>
            <w:p w14:paraId="2214AB3C" w14:textId="6C5C3DE6">
              <w:pPr>
                <w:overflowPunct w:val="0"/>
                <w:spacing w:line="276" w:lineRule="auto"/>
                <w:ind w:firstLine="720"/>
                <w:jc w:val="both"/>
                <w:textAlignment w:val="baseline"/>
                <w:rPr>
                  <w:b/>
                  <w:bCs/>
                  <w:color w:val="000000"/>
                  <w:lang w:eastAsia="lt-LT"/>
                </w:rPr>
              </w:pPr>
              <w:sdt>
                <w:sdtPr>
                  <w:alias w:val="Numeris"/>
                  <w:tag w:val="nr_118b1072deb9428ca284b7e4da381ed5"/>
                  <w:lock w:val="sdtLocked"/>
                  <w:richText/>
                </w:sdtPr>
                <w:sdtContent>
                  <w:r>
                    <w:rPr>
                      <w:b/>
                      <w:bCs/>
                      <w:color w:val="000000"/>
                      <w:lang w:eastAsia="lt-LT"/>
                    </w:rPr>
                    <w:t>4</w:t>
                  </w:r>
                </w:sdtContent>
              </w:sdt>
              <w:r>
                <w:rPr>
                  <w:b/>
                  <w:bCs/>
                  <w:color w:val="000000"/>
                  <w:lang w:eastAsia="lt-LT"/>
                </w:rPr>
                <w:t xml:space="preserve">. Informacija dėl Įsakymo projekto derinimo su suinteresuotomis valstybės institucijomis ir (ar) įstaigomis </w:t>
              </w:r>
            </w:p>
            <w:p w14:paraId="4453226E" w14:textId="62B9E47E">
              <w:pPr>
                <w:overflowPunct w:val="0"/>
                <w:spacing w:line="276" w:lineRule="auto"/>
                <w:ind w:firstLine="720"/>
                <w:jc w:val="both"/>
                <w:textAlignment w:val="baseline"/>
                <w:rPr>
                  <w:color w:val="000000"/>
                  <w:szCs w:val="24"/>
                  <w:lang w:eastAsia="lt-LT"/>
                </w:rPr>
              </w:pPr>
              <w:r>
                <w:rPr>
                  <w:szCs w:val="24"/>
                  <w:lang w:eastAsia="lt-LT"/>
                </w:rPr>
                <w:t xml:space="preserve">Projektas </w:t>
              </w:r>
              <w:r>
                <w:rPr>
                  <w:color w:val="000000"/>
                  <w:szCs w:val="24"/>
                  <w:lang w:eastAsia="lt-LT"/>
                </w:rPr>
                <w:t xml:space="preserve">derinamas su </w:t>
              </w:r>
              <w:r>
                <w:rPr>
                  <w:szCs w:val="24"/>
                  <w:lang w:eastAsia="lt-LT"/>
                </w:rPr>
                <w:t xml:space="preserve">Nacionaline mokėjimo agentūra prie Žemės ūkio ministerijos, Valstybine maisto ir veterinarijos tarnyba, VĮ Žemės ūkio duomenų centru, asociacija „Lietuvos tamsioji bitė“  bei konsultuojamasi su visuomene.</w:t>
              </w:r>
            </w:p>
          </w:sdtContent>
        </w:sdt>
        <w:sdt>
          <w:sdtPr>
            <w:alias w:val="5 p."/>
            <w:tag w:val="part_975e3b1559574578aa8376941e3bf81a"/>
            <w:lock w:val="sdtLocked"/>
            <w:richText/>
          </w:sdtPr>
          <w:sdtContent>
            <w:p w14:paraId="43B21F5C" w14:textId="77777777">
              <w:pPr>
                <w:overflowPunct w:val="0"/>
                <w:spacing w:line="276" w:lineRule="auto"/>
                <w:ind w:firstLine="720"/>
                <w:jc w:val="both"/>
                <w:textAlignment w:val="baseline"/>
                <w:rPr>
                  <w:b/>
                  <w:bCs/>
                  <w:color w:val="000000"/>
                  <w:lang w:eastAsia="lt-LT"/>
                </w:rPr>
              </w:pPr>
              <w:sdt>
                <w:sdtPr>
                  <w:alias w:val="Numeris"/>
                  <w:tag w:val="nr_975e3b1559574578aa8376941e3bf81a"/>
                  <w:lock w:val="sdtLocked"/>
                  <w:richText/>
                </w:sdtPr>
                <w:sdtContent>
                  <w:r>
                    <w:rPr>
                      <w:b/>
                      <w:bCs/>
                      <w:color w:val="000000"/>
                      <w:lang w:eastAsia="lt-LT"/>
                    </w:rPr>
                    <w:t>5</w:t>
                  </w:r>
                </w:sdtContent>
              </w:sdt>
              <w:r>
                <w:rPr>
                  <w:b/>
                  <w:bCs/>
                  <w:color w:val="000000"/>
                  <w:lang w:eastAsia="lt-LT"/>
                </w:rPr>
                <w:t xml:space="preserve">. Informacija dėl Įsakymo projekto antikorupcinio vertinimo </w:t>
              </w:r>
            </w:p>
            <w:p w14:paraId="2F1A9F54" w14:textId="77777777">
              <w:pPr>
                <w:overflowPunct w:val="0"/>
                <w:spacing w:line="276" w:lineRule="auto"/>
                <w:ind w:firstLine="720"/>
                <w:jc w:val="both"/>
                <w:textAlignment w:val="baseline"/>
                <w:rPr>
                  <w:szCs w:val="24"/>
                  <w:lang w:eastAsia="lt-LT"/>
                </w:rPr>
              </w:pPr>
              <w:r>
                <w:rPr>
                  <w:szCs w:val="24"/>
                  <w:lang w:eastAsia="lt-LT"/>
                </w:rPr>
                <w:t xml:space="preserve">Projekto antikorupcinis vertinimas atliekamas. Parengta teisės akto projekto antikorupcinė vertinimo pažyma. </w:t>
              </w:r>
            </w:p>
          </w:sdtContent>
        </w:sdt>
        <w:sdt>
          <w:sdtPr>
            <w:alias w:val="6 p."/>
            <w:tag w:val="part_b305bf55fe2b4348be1604d482ac8fef"/>
            <w:lock w:val="sdtLocked"/>
            <w:richText/>
          </w:sdtPr>
          <w:sdtContent>
            <w:p w14:paraId="31DE5C90" w14:textId="22A3A71B">
              <w:pPr>
                <w:overflowPunct w:val="0"/>
                <w:spacing w:line="276" w:lineRule="auto"/>
                <w:ind w:firstLine="720"/>
                <w:jc w:val="both"/>
                <w:textAlignment w:val="baseline"/>
                <w:rPr>
                  <w:b/>
                  <w:bCs/>
                  <w:color w:val="000000"/>
                  <w:lang w:eastAsia="lt-LT"/>
                </w:rPr>
              </w:pPr>
              <w:sdt>
                <w:sdtPr>
                  <w:alias w:val="Numeris"/>
                  <w:tag w:val="nr_b305bf55fe2b4348be1604d482ac8fef"/>
                  <w:lock w:val="sdtLocked"/>
                  <w:richText/>
                </w:sdtPr>
                <w:sdtContent>
                  <w:r>
                    <w:rPr>
                      <w:b/>
                      <w:bCs/>
                      <w:color w:val="000000"/>
                      <w:lang w:eastAsia="lt-LT"/>
                    </w:rPr>
                    <w:t>6</w:t>
                  </w:r>
                </w:sdtContent>
              </w:sdt>
              <w:r>
                <w:rPr>
                  <w:b/>
                  <w:bCs/>
                  <w:color w:val="000000"/>
                  <w:lang w:eastAsia="lt-LT"/>
                </w:rPr>
                <w:t>. Informacija dėl ūkio subjektams sukeliamų prisitaikymo prie reguliavimo išlaidų vertinimo, numatomo teisinio reguliavimo poveikio vertinimo, Įsakymo projekto, perkeliančio ir (ar) įgyvendinančio Europos Sąjungos direktyvų ar kitų Europos Sąjungos teisės aktų nuostatų atitikties</w:t>
              </w:r>
            </w:p>
            <w:p w14:paraId="5DC10AE8" w14:textId="2702924C">
              <w:pPr>
                <w:overflowPunct w:val="0"/>
                <w:ind w:firstLine="567"/>
                <w:jc w:val="both"/>
                <w:textAlignment w:val="baseline"/>
                <w:rPr>
                  <w:color w:val="000000"/>
                  <w:lang w:eastAsia="lt-LT"/>
                </w:rPr>
              </w:pPr>
              <w:r>
                <w:rPr>
                  <w:color w:val="000000"/>
                  <w:szCs w:val="24"/>
                  <w:lang w:eastAsia="lt-LT"/>
                </w:rPr>
                <w:t xml:space="preserve">Prisitaikymo prie reguliavimo išlaidų vertinimas ir numatomo teisinio reguliavimo poveikio vertinimas neatliekamas. </w:t>
              </w:r>
              <w:r>
                <w:rPr>
                  <w:color w:val="000000"/>
                  <w:lang w:eastAsia="lt-LT"/>
                </w:rPr>
                <w:t>Įsakymo projektu yra įgyvendinamos pirmiau išdėstytų Europos Sąjungos teisės aktų nuostatos.</w:t>
              </w:r>
            </w:p>
          </w:sdtContent>
        </w:sdt>
        <w:sdt>
          <w:sdtPr>
            <w:alias w:val="7 p."/>
            <w:tag w:val="part_cb36e443d91c42ed92c37ef049e255c6"/>
            <w:lock w:val="sdtLocked"/>
            <w:richText/>
          </w:sdtPr>
          <w:sdtContent>
            <w:p w14:paraId="075CA800" w14:textId="77777777">
              <w:pPr>
                <w:overflowPunct w:val="0"/>
                <w:spacing w:line="276" w:lineRule="auto"/>
                <w:ind w:firstLine="720"/>
                <w:jc w:val="both"/>
                <w:textAlignment w:val="baseline"/>
                <w:rPr>
                  <w:b/>
                  <w:bCs/>
                  <w:color w:val="000000"/>
                  <w:lang w:eastAsia="lt-LT"/>
                </w:rPr>
              </w:pPr>
              <w:sdt>
                <w:sdtPr>
                  <w:alias w:val="Numeris"/>
                  <w:tag w:val="nr_cb36e443d91c42ed92c37ef049e255c6"/>
                  <w:lock w:val="sdtLocked"/>
                  <w:richText/>
                </w:sdtPr>
                <w:sdtContent>
                  <w:r>
                    <w:rPr>
                      <w:b/>
                      <w:bCs/>
                      <w:color w:val="000000"/>
                      <w:lang w:eastAsia="lt-LT"/>
                    </w:rPr>
                    <w:t>7</w:t>
                  </w:r>
                </w:sdtContent>
              </w:sdt>
              <w:r>
                <w:rPr>
                  <w:b/>
                  <w:bCs/>
                  <w:color w:val="000000"/>
                  <w:lang w:eastAsia="lt-LT"/>
                </w:rPr>
                <w:t>. Kita svarbi informacija</w:t>
              </w:r>
            </w:p>
            <w:p w14:paraId="6CFD5D99" w14:textId="3BC8A245">
              <w:pPr>
                <w:overflowPunct w:val="0"/>
                <w:spacing w:line="276" w:lineRule="auto"/>
                <w:ind w:firstLine="720"/>
                <w:jc w:val="both"/>
                <w:textAlignment w:val="baseline"/>
                <w:rPr>
                  <w:szCs w:val="24"/>
                  <w:lang w:eastAsia="lt-LT"/>
                </w:rPr>
              </w:pPr>
              <w:r>
                <w:rPr>
                  <w:szCs w:val="24"/>
                  <w:lang w:eastAsia="lt-LT"/>
                </w:rPr>
                <w:t>Nėra.</w:t>
              </w:r>
            </w:p>
            <w:p w14:paraId="080B99C5" w14:textId="7572DB17">
              <w:pPr>
                <w:overflowPunct w:val="0"/>
                <w:spacing w:line="276" w:lineRule="auto"/>
                <w:ind w:firstLine="720"/>
                <w:jc w:val="both"/>
                <w:textAlignment w:val="baseline"/>
                <w:rPr>
                  <w:szCs w:val="24"/>
                  <w:lang w:eastAsia="lt-LT"/>
                </w:rPr>
              </w:pPr>
              <w:r>
                <w:rPr>
                  <w:szCs w:val="24"/>
                  <w:lang w:eastAsia="lt-LT"/>
                </w:rPr>
                <w:t>PRIDEDAMA:</w:t>
              </w:r>
            </w:p>
          </w:sdtContent>
        </w:sdt>
        <w:sdt>
          <w:sdtPr>
            <w:alias w:val="1 p."/>
            <w:tag w:val="part_a1e0e4a825f445bd9c0034e5fc98055b"/>
            <w:lock w:val="sdtLocked"/>
            <w:richText/>
          </w:sdtPr>
          <w:sdtContent>
            <w:p w14:paraId="4016DE9A" w14:textId="74630BAC">
              <w:pPr>
                <w:tabs>
                  <w:tab w:val="left" w:pos="1134"/>
                </w:tabs>
                <w:overflowPunct w:val="0"/>
                <w:spacing w:line="276" w:lineRule="auto"/>
                <w:ind w:left="1130" w:hanging="410"/>
                <w:jc w:val="both"/>
                <w:textAlignment w:val="baseline"/>
                <w:rPr>
                  <w:lang w:eastAsia="lt-LT"/>
                </w:rPr>
              </w:pPr>
              <w:sdt>
                <w:sdtPr>
                  <w:alias w:val="Numeris"/>
                  <w:tag w:val="nr_a1e0e4a825f445bd9c0034e5fc98055b"/>
                  <w:lock w:val="sdtLocked"/>
                  <w:richText/>
                </w:sdtPr>
                <w:sdtContent>
                  <w:r>
                    <w:rPr>
                      <w:lang w:eastAsia="lt-LT"/>
                    </w:rPr>
                    <w:t>1</w:t>
                  </w:r>
                </w:sdtContent>
              </w:sdt>
              <w:r>
                <w:rPr>
                  <w:lang w:eastAsia="lt-LT"/>
                </w:rPr>
                <w:t>.</w:t>
                <w:tab/>
                <w:t>Įsakymo projektas, 14 lapų.</w:t>
              </w:r>
            </w:p>
          </w:sdtContent>
        </w:sdt>
        <w:sdt>
          <w:sdtPr>
            <w:alias w:val="2 p."/>
            <w:tag w:val="part_01043877b30f498c8e6d0e6724bb4309"/>
            <w:lock w:val="sdtLocked"/>
            <w:richText/>
          </w:sdtPr>
          <w:sdtContent>
            <w:p w14:paraId="40949DCC" w14:textId="566EA89E">
              <w:pPr>
                <w:tabs>
                  <w:tab w:val="left" w:pos="1134"/>
                </w:tabs>
                <w:overflowPunct w:val="0"/>
                <w:spacing w:line="276" w:lineRule="auto"/>
                <w:ind w:left="1130" w:hanging="410"/>
                <w:jc w:val="both"/>
                <w:textAlignment w:val="baseline"/>
                <w:rPr>
                  <w:lang w:eastAsia="lt-LT"/>
                </w:rPr>
              </w:pPr>
              <w:sdt>
                <w:sdtPr>
                  <w:alias w:val="Numeris"/>
                  <w:tag w:val="nr_01043877b30f498c8e6d0e6724bb4309"/>
                  <w:lock w:val="sdtLocked"/>
                  <w:richText/>
                </w:sdtPr>
                <w:sdtContent>
                  <w:r>
                    <w:rPr>
                      <w:lang w:eastAsia="lt-LT"/>
                    </w:rPr>
                    <w:t>2</w:t>
                  </w:r>
                </w:sdtContent>
              </w:sdt>
              <w:r>
                <w:rPr>
                  <w:lang w:eastAsia="lt-LT"/>
                </w:rPr>
                <w:t>.</w:t>
                <w:tab/>
                <w:t>Priedai, iš viso 4 lapai.</w:t>
              </w:r>
            </w:p>
          </w:sdtContent>
        </w:sdt>
        <w:sdt>
          <w:sdtPr>
            <w:alias w:val="3 p."/>
            <w:tag w:val="part_93ac304f3b2e49d78b1b1202707a7692"/>
            <w:lock w:val="sdtLocked"/>
            <w:richText/>
          </w:sdtPr>
          <w:sdtContent>
            <w:p w14:paraId="48669116" w14:textId="7F971FE4">
              <w:pPr>
                <w:tabs>
                  <w:tab w:val="left" w:pos="1134"/>
                </w:tabs>
                <w:overflowPunct w:val="0"/>
                <w:spacing w:line="276" w:lineRule="auto"/>
                <w:ind w:firstLine="720"/>
                <w:jc w:val="both"/>
                <w:textAlignment w:val="baseline"/>
                <w:rPr>
                  <w:lang w:eastAsia="lt-LT"/>
                </w:rPr>
              </w:pPr>
              <w:sdt>
                <w:sdtPr>
                  <w:alias w:val="Numeris"/>
                  <w:tag w:val="nr_93ac304f3b2e49d78b1b1202707a7692"/>
                  <w:lock w:val="sdtLocked"/>
                  <w:richText/>
                </w:sdtPr>
                <w:sdtContent>
                  <w:r>
                    <w:rPr>
                      <w:szCs w:val="24"/>
                      <w:lang w:eastAsia="lt-LT"/>
                    </w:rPr>
                    <w:t>3</w:t>
                  </w:r>
                </w:sdtContent>
              </w:sdt>
              <w:r>
                <w:rPr>
                  <w:szCs w:val="24"/>
                  <w:lang w:eastAsia="lt-LT"/>
                </w:rPr>
                <w:t>.</w:t>
                <w:tab/>
              </w:r>
              <w:r>
                <w:rPr>
                  <w:lang w:eastAsia="lt-LT"/>
                </w:rPr>
                <w:t xml:space="preserve">Teisės akto antikorupcinis vertinimas, 7 lapai. </w:t>
              </w:r>
            </w:p>
            <w:p w14:paraId="1409AF41" w14:textId="558ED352">
              <w:pPr>
                <w:overflowPunct w:val="0"/>
                <w:spacing w:line="276" w:lineRule="auto"/>
                <w:textAlignment w:val="baseline"/>
                <w:rPr>
                  <w:lang w:eastAsia="lt-LT"/>
                </w:rPr>
              </w:pPr>
            </w:p>
            <w:p w14:paraId="634DD81D" w14:textId="77777777">
              <w:pPr>
                <w:overflowPunct w:val="0"/>
                <w:spacing w:line="276" w:lineRule="auto"/>
                <w:textAlignment w:val="baseline"/>
                <w:rPr>
                  <w:lang w:eastAsia="lt-LT"/>
                </w:rPr>
              </w:pPr>
            </w:p>
          </w:sdtContent>
        </w:sdt>
        <w:sdt>
          <w:sdtPr>
            <w:alias w:val="signatura"/>
            <w:tag w:val="part_4c9547a4fe39489a86416e3574be37cc"/>
            <w:lock w:val="sdtLocked"/>
            <w:richText/>
          </w:sdtPr>
          <w:sdtContent>
            <w:p w14:paraId="2A139A56" w14:textId="69FBE33F">
              <w:pPr>
                <w:overflowPunct w:val="0"/>
                <w:spacing w:line="276" w:lineRule="auto"/>
                <w:textAlignment w:val="baseline"/>
                <w:rPr>
                  <w:lang w:eastAsia="lt-LT"/>
                </w:rPr>
              </w:pPr>
              <w:r>
                <w:rPr>
                  <w:lang w:eastAsia="lt-LT"/>
                </w:rPr>
                <w:t xml:space="preserve">Direktorė </w:t>
                <w:tab/>
                <w:tab/>
                <w:tab/>
                <w:tab/>
                <w:tab/>
                <w:tab/>
                <w:tab/>
                <w:tab/>
                <w:tab/>
                <w:t xml:space="preserve">           Jurgita Stakėnienė</w:t>
              </w:r>
            </w:p>
            <w:p w14:paraId="605F5FAE" w14:textId="70F4FDA4">
              <w:pPr>
                <w:overflowPunct w:val="0"/>
                <w:textAlignment w:val="baseline"/>
                <w:rPr>
                  <w:szCs w:val="24"/>
                  <w:lang w:eastAsia="lt-LT"/>
                </w:rPr>
              </w:pPr>
            </w:p>
            <w:p w14:paraId="01B37119" w14:textId="5C066A94">
              <w:pPr>
                <w:overflowPunct w:val="0"/>
                <w:textAlignment w:val="baseline"/>
                <w:rPr>
                  <w:szCs w:val="24"/>
                  <w:lang w:eastAsia="lt-LT"/>
                </w:rPr>
              </w:pPr>
            </w:p>
            <w:p w14:paraId="7D3386D5" w14:textId="3CC88CC5">
              <w:pPr>
                <w:overflowPunct w:val="0"/>
                <w:textAlignment w:val="baseline"/>
                <w:rPr>
                  <w:szCs w:val="24"/>
                  <w:lang w:eastAsia="lt-LT"/>
                </w:rPr>
              </w:pPr>
            </w:p>
            <w:p w14:paraId="74CD30EA" w14:textId="7EDA688E">
              <w:pPr>
                <w:overflowPunct w:val="0"/>
                <w:textAlignment w:val="baseline"/>
                <w:rPr>
                  <w:szCs w:val="24"/>
                  <w:lang w:eastAsia="lt-LT"/>
                </w:rPr>
              </w:pPr>
            </w:p>
            <w:p w14:paraId="1BEA10FD" w14:textId="7D9A880F">
              <w:pPr>
                <w:overflowPunct w:val="0"/>
                <w:textAlignment w:val="baseline"/>
                <w:rPr>
                  <w:szCs w:val="24"/>
                  <w:lang w:eastAsia="lt-LT"/>
                </w:rPr>
              </w:pPr>
            </w:p>
            <w:p w14:paraId="2C629299" w14:textId="5C9EC7D4">
              <w:pPr>
                <w:overflowPunct w:val="0"/>
                <w:textAlignment w:val="baseline"/>
                <w:rPr>
                  <w:szCs w:val="24"/>
                  <w:lang w:eastAsia="lt-LT"/>
                </w:rPr>
              </w:pPr>
            </w:p>
            <w:p w14:paraId="5264FE76" w14:textId="0782C4AB">
              <w:pPr>
                <w:overflowPunct w:val="0"/>
                <w:textAlignment w:val="baseline"/>
                <w:rPr>
                  <w:szCs w:val="24"/>
                  <w:lang w:eastAsia="lt-LT"/>
                </w:rPr>
              </w:pPr>
            </w:p>
            <w:p w14:paraId="3EBF98C1" w14:textId="57540CA3">
              <w:pPr>
                <w:overflowPunct w:val="0"/>
                <w:textAlignment w:val="baseline"/>
                <w:rPr>
                  <w:szCs w:val="24"/>
                  <w:lang w:eastAsia="lt-LT"/>
                </w:rPr>
              </w:pPr>
            </w:p>
            <w:p w14:paraId="4E75B1F7" w14:textId="14392806">
              <w:pPr>
                <w:overflowPunct w:val="0"/>
                <w:textAlignment w:val="baseline"/>
                <w:rPr>
                  <w:szCs w:val="24"/>
                  <w:lang w:eastAsia="lt-LT"/>
                </w:rPr>
              </w:pPr>
            </w:p>
            <w:p w14:paraId="17A42AC7" w14:textId="1009E12C">
              <w:pPr>
                <w:overflowPunct w:val="0"/>
                <w:textAlignment w:val="baseline"/>
                <w:rPr>
                  <w:szCs w:val="24"/>
                  <w:lang w:eastAsia="lt-LT"/>
                </w:rPr>
              </w:pPr>
            </w:p>
            <w:p w14:paraId="66101665" w14:textId="2DF722F5">
              <w:pPr>
                <w:overflowPunct w:val="0"/>
                <w:textAlignment w:val="baseline"/>
                <w:rPr>
                  <w:szCs w:val="24"/>
                  <w:lang w:eastAsia="lt-LT"/>
                </w:rPr>
              </w:pPr>
            </w:p>
            <w:p w14:paraId="7D04E7D8" w14:textId="54591FE6">
              <w:pPr>
                <w:overflowPunct w:val="0"/>
                <w:textAlignment w:val="baseline"/>
                <w:rPr>
                  <w:szCs w:val="24"/>
                  <w:lang w:eastAsia="lt-LT"/>
                </w:rPr>
              </w:pPr>
            </w:p>
            <w:p w14:paraId="7A299A03" w14:textId="59A270D4">
              <w:pPr>
                <w:overflowPunct w:val="0"/>
                <w:textAlignment w:val="baseline"/>
                <w:rPr>
                  <w:szCs w:val="24"/>
                  <w:lang w:eastAsia="lt-LT"/>
                </w:rPr>
              </w:pPr>
            </w:p>
            <w:p w14:paraId="47CF62EF" w14:textId="3ABDF8F4">
              <w:pPr>
                <w:overflowPunct w:val="0"/>
                <w:textAlignment w:val="baseline"/>
                <w:rPr>
                  <w:szCs w:val="24"/>
                  <w:lang w:eastAsia="lt-LT"/>
                </w:rPr>
              </w:pPr>
            </w:p>
            <w:p w14:paraId="25048D0C" w14:textId="0963B1C5">
              <w:pPr>
                <w:overflowPunct w:val="0"/>
                <w:textAlignment w:val="baseline"/>
                <w:rPr>
                  <w:szCs w:val="24"/>
                  <w:lang w:eastAsia="lt-LT"/>
                </w:rPr>
              </w:pPr>
            </w:p>
            <w:p w14:paraId="50A79627" w14:textId="4386C06E">
              <w:pPr>
                <w:overflowPunct w:val="0"/>
                <w:textAlignment w:val="baseline"/>
                <w:rPr>
                  <w:szCs w:val="24"/>
                  <w:lang w:eastAsia="lt-LT"/>
                </w:rPr>
              </w:pPr>
            </w:p>
            <w:p w14:paraId="23911940" w14:textId="732DD76B">
              <w:pPr>
                <w:overflowPunct w:val="0"/>
                <w:textAlignment w:val="baseline"/>
                <w:rPr>
                  <w:szCs w:val="24"/>
                  <w:lang w:eastAsia="lt-LT"/>
                </w:rPr>
              </w:pPr>
            </w:p>
            <w:p w14:paraId="40AE12FD" w14:textId="7F5C79E6">
              <w:pPr>
                <w:overflowPunct w:val="0"/>
                <w:textAlignment w:val="baseline"/>
                <w:rPr>
                  <w:szCs w:val="24"/>
                  <w:lang w:eastAsia="lt-LT"/>
                </w:rPr>
              </w:pPr>
            </w:p>
            <w:p w14:paraId="4C840712" w14:textId="77777777">
              <w:pPr>
                <w:overflowPunct w:val="0"/>
                <w:textAlignment w:val="baseline"/>
                <w:rPr>
                  <w:color w:val="000000"/>
                  <w:lang w:eastAsia="lt-LT"/>
                </w:rPr>
              </w:pPr>
            </w:p>
            <w:p w14:paraId="05E1C474" w14:textId="77777777">
              <w:pPr>
                <w:overflowPunct w:val="0"/>
                <w:textAlignment w:val="baseline"/>
                <w:rPr>
                  <w:color w:val="000000"/>
                  <w:lang w:eastAsia="lt-LT"/>
                </w:rPr>
              </w:pPr>
            </w:p>
            <w:p w14:paraId="0F4B3F2B" w14:textId="0010217F">
              <w:pPr>
                <w:overflowPunct w:val="0"/>
                <w:textAlignment w:val="baseline"/>
                <w:rPr>
                  <w:szCs w:val="24"/>
                  <w:lang w:eastAsia="lt-LT"/>
                </w:rPr>
              </w:pPr>
              <w:r>
                <w:rPr>
                  <w:color w:val="000000"/>
                  <w:lang w:eastAsia="lt-LT"/>
                </w:rPr>
                <w:t xml:space="preserve">Agnė Prakapienė, </w:t>
              </w:r>
              <w:r>
                <w:rPr>
                  <w:bCs/>
                  <w:szCs w:val="24"/>
                  <w:lang w:val="en-GB" w:eastAsia="lt-LT"/>
                </w:rPr>
                <w:t>tel.</w:t>
              </w:r>
              <w:r>
                <w:rPr>
                  <w:szCs w:val="24"/>
                  <w:lang w:val="en-GB" w:eastAsia="lt-LT"/>
                </w:rPr>
                <w:t xml:space="preserve"> 8 655 20 488</w:t>
              </w:r>
              <w:r>
                <w:rPr>
                  <w:bCs/>
                  <w:lang w:val="en-GB" w:eastAsia="lt-LT"/>
                </w:rPr>
                <w:t xml:space="preserve">, el. p. </w:t>
              </w:r>
              <w:r>
                <w:rPr>
                  <w:bCs/>
                  <w:color w:val="0000FF"/>
                  <w:u w:val="single"/>
                  <w:lang w:eastAsia="lt-LT"/>
                </w:rPr>
                <w:t>agne.prakapiene@zum.lt</w:t>
              </w:r>
              <w:r>
                <w:rPr>
                  <w:szCs w:val="24"/>
                  <w:lang w:eastAsia="lt-LT"/>
                </w:rPr>
                <w:t xml:space="preserve">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pgMar w:top="851" w:right="567" w:bottom="851"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7DEA4C" w14:textId="77777777">
      <w:pPr>
        <w:overflowPunct w:val="0"/>
        <w:textAlignment w:val="baseline"/>
        <w:rPr>
          <w:lang w:val="en-GB" w:eastAsia="lt-LT"/>
        </w:rPr>
      </w:pPr>
      <w:r>
        <w:rPr>
          <w:lang w:val="en-GB" w:eastAsia="lt-LT"/>
        </w:rPr>
        <w:separator/>
      </w:r>
    </w:p>
  </w:endnote>
  <w:endnote w:type="continuationSeparator" w:id="0">
    <w:p w14:paraId="4FD0678B" w14:textId="77777777">
      <w:pPr>
        <w:overflowPunct w:val="0"/>
        <w:textAlignment w:val="baseline"/>
        <w:rPr>
          <w:lang w:val="en-GB" w:eastAsia="lt-LT"/>
        </w:rPr>
      </w:pPr>
      <w:r>
        <w:rPr>
          <w:lang w:val="en-GB"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CAE65" w14:textId="77777777">
    <w:pPr>
      <w:tabs>
        <w:tab w:val="center" w:pos="4153"/>
        <w:tab w:val="right" w:pos="8306"/>
      </w:tabs>
      <w:overflowPunct w:val="0"/>
      <w:textAlignment w:val="baseline"/>
      <w:rPr>
        <w:lang w:val="en-GB"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AD551" w14:textId="77777777">
    <w:pPr>
      <w:tabs>
        <w:tab w:val="center" w:pos="4153"/>
        <w:tab w:val="right" w:pos="8306"/>
      </w:tabs>
      <w:overflowPunct w:val="0"/>
      <w:textAlignment w:val="baseline"/>
      <w:rPr>
        <w:lang w:val="en-GB"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53B531" w14:textId="77777777">
    <w:pPr>
      <w:tabs>
        <w:tab w:val="center" w:pos="4153"/>
        <w:tab w:val="right" w:pos="8306"/>
      </w:tabs>
      <w:overflowPunct w:val="0"/>
      <w:textAlignment w:val="baseline"/>
      <w:rPr>
        <w:lang w:val="en-GB"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032191" w14:textId="77777777">
      <w:pPr>
        <w:overflowPunct w:val="0"/>
        <w:textAlignment w:val="baseline"/>
        <w:rPr>
          <w:lang w:val="en-GB" w:eastAsia="lt-LT"/>
        </w:rPr>
      </w:pPr>
      <w:r>
        <w:rPr>
          <w:lang w:val="en-GB" w:eastAsia="lt-LT"/>
        </w:rPr>
        <w:separator/>
      </w:r>
    </w:p>
  </w:footnote>
  <w:footnote w:type="continuationSeparator" w:id="0">
    <w:p w14:paraId="25C1F7E2" w14:textId="77777777">
      <w:pPr>
        <w:overflowPunct w:val="0"/>
        <w:textAlignment w:val="baseline"/>
        <w:rPr>
          <w:lang w:val="en-GB" w:eastAsia="lt-LT"/>
        </w:rPr>
      </w:pPr>
      <w:r>
        <w:rPr>
          <w:lang w:val="en-GB"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D320D" w14:textId="77777777">
    <w:pPr>
      <w:framePr w:wrap="auto" w:vAnchor="text" w:hAnchor="margin" w:xAlign="center" w:y="1"/>
      <w:tabs>
        <w:tab w:val="center" w:pos="4153"/>
        <w:tab w:val="right" w:pos="8306"/>
      </w:tabs>
      <w:overflowPunct w:val="0"/>
      <w:textAlignment w:val="baseline"/>
      <w:rPr>
        <w:lang w:val="en-GB" w:eastAsia="lt-LT"/>
      </w:rPr>
    </w:pPr>
    <w:r>
      <w:rPr>
        <w:lang w:val="en-GB" w:eastAsia="lt-LT"/>
      </w:rPr>
      <w:fldChar w:fldCharType="begin"/>
    </w:r>
    <w:r>
      <w:rPr>
        <w:lang w:val="en-GB" w:eastAsia="lt-LT"/>
      </w:rPr>
      <w:instrText xml:space="preserve">PAGE  </w:instrText>
    </w:r>
    <w:r>
      <w:rPr>
        <w:lang w:val="en-GB" w:eastAsia="lt-LT"/>
      </w:rPr>
      <w:fldChar w:fldCharType="end"/>
    </w:r>
  </w:p>
  <w:p w14:paraId="42C5D525" w14:textId="77777777">
    <w:pPr>
      <w:tabs>
        <w:tab w:val="center" w:pos="4153"/>
        <w:tab w:val="right" w:pos="8306"/>
      </w:tabs>
      <w:overflowPunct w:val="0"/>
      <w:textAlignment w:val="baseline"/>
      <w:rPr>
        <w:lang w:val="en-GB"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0EF8B4" w14:textId="77777777">
    <w:pPr>
      <w:framePr w:wrap="auto" w:vAnchor="text" w:hAnchor="margin" w:xAlign="center" w:y="1"/>
      <w:tabs>
        <w:tab w:val="center" w:pos="4153"/>
        <w:tab w:val="right" w:pos="8306"/>
      </w:tabs>
      <w:overflowPunct w:val="0"/>
      <w:textAlignment w:val="baseline"/>
      <w:rPr>
        <w:lang w:val="en-GB" w:eastAsia="lt-LT"/>
      </w:rPr>
    </w:pPr>
    <w:r>
      <w:rPr>
        <w:lang w:val="en-GB" w:eastAsia="lt-LT"/>
      </w:rPr>
      <w:fldChar w:fldCharType="begin"/>
    </w:r>
    <w:r>
      <w:rPr>
        <w:lang w:val="en-GB" w:eastAsia="lt-LT"/>
      </w:rPr>
      <w:instrText xml:space="preserve">PAGE  </w:instrText>
    </w:r>
    <w:r>
      <w:rPr>
        <w:lang w:val="en-GB" w:eastAsia="lt-LT"/>
      </w:rPr>
      <w:fldChar w:fldCharType="separate"/>
    </w:r>
    <w:r>
      <w:rPr>
        <w:lang w:val="en-GB" w:eastAsia="lt-LT"/>
      </w:rPr>
      <w:t>2</w:t>
    </w:r>
    <w:r>
      <w:rPr>
        <w:lang w:val="en-GB" w:eastAsia="lt-LT"/>
      </w:rPr>
      <w:fldChar w:fldCharType="end"/>
    </w:r>
  </w:p>
  <w:p w14:paraId="0667D1FC" w14:textId="77777777">
    <w:pPr>
      <w:tabs>
        <w:tab w:val="center" w:pos="4153"/>
        <w:tab w:val="right" w:pos="8306"/>
      </w:tabs>
      <w:overflowPunct w:val="0"/>
      <w:textAlignment w:val="baseline"/>
      <w:rPr>
        <w:lang w:val="en-GB"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2A447F" w14:textId="77777777">
    <w:pPr>
      <w:tabs>
        <w:tab w:val="center" w:pos="4153"/>
        <w:tab w:val="right" w:pos="8306"/>
      </w:tabs>
      <w:overflowPunct w:val="0"/>
      <w:textAlignment w:val="baseline"/>
      <w:rPr>
        <w:lang w:val="en-GB"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06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8BCAF5"/>
  <w15:chartTrackingRefBased/>
  <w15:docId w15:val="{E6D14831-F005-4418-AEA9-5C96B60133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44728749">
      <w:bodyDiv w:val="1"/>
      <w:marLeft w:val="0"/>
      <w:marRight w:val="0"/>
      <w:marTop w:val="0"/>
      <w:marBottom w:val="0"/>
      <w:divBdr>
        <w:top w:val="none" w:sz="0" w:space="0" w:color="auto"/>
        <w:left w:val="none" w:sz="0" w:space="0" w:color="auto"/>
        <w:bottom w:val="none" w:sz="0" w:space="0" w:color="auto"/>
        <w:right w:val="none" w:sz="0" w:space="0" w:color="auto"/>
      </w:divBdr>
    </w:div>
    <w:div w:id="1176923438">
      <w:bodyDiv w:val="1"/>
      <w:marLeft w:val="0"/>
      <w:marRight w:val="0"/>
      <w:marTop w:val="0"/>
      <w:marBottom w:val="0"/>
      <w:divBdr>
        <w:top w:val="none" w:sz="0" w:space="0" w:color="auto"/>
        <w:left w:val="none" w:sz="0" w:space="0" w:color="auto"/>
        <w:bottom w:val="none" w:sz="0" w:space="0" w:color="auto"/>
        <w:right w:val="none" w:sz="0" w:space="0" w:color="auto"/>
      </w:divBdr>
    </w:div>
    <w:div w:id="1311403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6212afed07140238c90cc3f428bcc34" PartId="1beabd268667498f89c1713c59c81730">
    <Part Type="punktas" Nr="1" Abbr="1 p." DocPartId="2169f1429d974ef7b838c86b1e004fab" PartId="75459227679444bab04340c8ddf76c79"/>
    <Part Type="punktas" Nr="2" Abbr="2 p." DocPartId="f511826eedc64affaa831c647f47c224" PartId="83c8605986064097afdd88cf5b97270f"/>
    <Part Type="punktas" Nr="3" Abbr="3 p." DocPartId="f9cf27014d5841aa998ab58697ec7312" PartId="5c46886de8ce4ff7bee1af82c03950aa"/>
    <Part Type="punktas" Nr="4" Abbr="4 p." DocPartId="f9f09667ade1439da00c7ffe59a216b5" PartId="118b1072deb9428ca284b7e4da381ed5"/>
    <Part Type="punktas" Nr="5" Abbr="5 p." DocPartId="8dc9baa63e394886b830757311056c4e" PartId="975e3b1559574578aa8376941e3bf81a"/>
    <Part Type="punktas" Nr="6" Abbr="6 p." DocPartId="7d06d6e501a3446cbeae82b557d53536" PartId="b305bf55fe2b4348be1604d482ac8fef"/>
    <Part Type="punktas" Nr="7" Abbr="7 p." DocPartId="03f49ba3672443eeb4695317b87e5cdb" PartId="cb36e443d91c42ed92c37ef049e255c6"/>
    <Part Type="punktas" Nr="1" Abbr="1 p." Notes="Numeris ne iš eilės. Trūksta dalių? [DocDalys]" DocPartId="c6c91f903b8b49888150f7ec3ee3940f" PartId="a1e0e4a825f445bd9c0034e5fc98055b"/>
    <Part Type="punktas" Nr="2" Abbr="2 p." DocPartId="b057f1a862f94ac49954a892445b2202" PartId="01043877b30f498c8e6d0e6724bb4309"/>
    <Part Type="punktas" Nr="3" Abbr="3 p." DocPartId="a2b39ee95efd418aa620c647c0a1f4e9" PartId="93ac304f3b2e49d78b1b1202707a7692"/>
    <Part Type="signatura" DocPartId="6a8818282b154ecab275e06299e70ee7" PartId="4c9547a4fe39489a86416e3574be37cc"/>
  </Part>
</Parts>
</file>

<file path=customXml/itemProps1.xml><?xml version="1.0" encoding="utf-8"?>
<ds:datastoreItem xmlns:ds="http://schemas.openxmlformats.org/officeDocument/2006/customXml" ds:itemID="{0DAE1CEF-A98B-4BE0-8032-2D0DA646F8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521</Words>
  <Characters>3760</Characters>
  <Application>Microsoft Office Word</Application>
  <DocSecurity>4</DocSecurity>
  <Lines>101</Lines>
  <Paragraphs>33</Paragraphs>
  <ScaleCrop>false</ScaleCrop>
  <HeadingPairs>
    <vt:vector size="2" baseType="variant">
      <vt:variant>
        <vt:lpstr>Pavadinimas</vt:lpstr>
      </vt:variant>
      <vt:variant>
        <vt:i4>1</vt:i4>
      </vt:variant>
    </vt:vector>
  </HeadingPairs>
  <TitlesOfParts>
    <vt:vector size="1" baseType="lpstr">
      <vt:lpstr>é</vt:lpstr>
    </vt:vector>
  </TitlesOfParts>
  <Company>ZUM</Company>
  <LinksUpToDate>false</LinksUpToDate>
  <CharactersWithSpaces>4248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2023-03-21T12:24:00Z</dcterms:created>
  <dc:creator>Vida Kučinskienė</dc:creator>
  <dc:description>Dokumentas koreguotas UAB Fotonija 'Korektoriumi' v. 1.1 2001.05.18 15:24:17_x000d_Dokumentas koreguotas UAB Fotonija 'Korektoriumi' v. 1.1 2001.05.21 11:01:19</dc:description>
  <lastModifiedBy>adlibuser</lastModifiedBy>
  <lastPrinted>2017-06-05T13:42:00Z</lastPrinted>
  <dcterms:modified xsi:type="dcterms:W3CDTF">2023-03-21T12:24:00Z</dcterms:modified>
  <revision>2</revision>
  <dc:title>é</dc:title>
</coreProperties>
</file>