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2 pr."/>
        <w:tag w:val="part_710e72d5755347229588587b22436ba3"/>
        <w:lock w:val="sdtLocked"/>
        <w:richText/>
      </w:sdtPr>
      <w:sdtContent>
        <w:p w14:paraId="2498FB2A" w14:textId="77777777">
          <w:pPr>
            <w:tabs>
              <w:tab w:val="center" w:pos="4819"/>
              <w:tab w:val="right" w:pos="9638"/>
            </w:tabs>
            <w:suppressAutoHyphens/>
            <w:rPr>
              <w:szCs w:val="24"/>
              <w:lang w:eastAsia="ar-SA"/>
            </w:rPr>
          </w:pPr>
        </w:p>
        <w:p w14:paraId="74D4F38F" w14:textId="77640E3F">
          <w:pPr>
            <w:suppressAutoHyphens/>
            <w:ind w:left="5103" w:firstLine="806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Šiaulių miesto savivaldybės tarybos</w:t>
          </w:r>
        </w:p>
        <w:p w14:paraId="7F099096" w14:textId="77777777">
          <w:pPr>
            <w:tabs>
              <w:tab w:val="left" w:pos="5954"/>
            </w:tabs>
            <w:suppressAutoHyphens/>
            <w:ind w:left="5103" w:firstLine="806"/>
            <w:rPr>
              <w:b/>
              <w:bCs/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2024 m.           d. sprendimo Nr. T-</w:t>
          </w:r>
        </w:p>
        <w:p w14:paraId="5A1495F2" w14:textId="795FE5C8">
          <w:pPr>
            <w:tabs>
              <w:tab w:val="left" w:pos="5954"/>
            </w:tabs>
            <w:suppressAutoHyphens/>
            <w:ind w:left="5103" w:firstLine="806"/>
            <w:rPr>
              <w:b/>
              <w:bCs/>
              <w:szCs w:val="24"/>
              <w:lang w:eastAsia="ar-SA"/>
            </w:rPr>
          </w:pPr>
          <w:sdt>
            <w:sdtPr>
              <w:alias w:val="Numeris"/>
              <w:tag w:val="nr_710e72d5755347229588587b22436ba3"/>
              <w:lock w:val="sdtLocked"/>
              <w:richText/>
            </w:sdtPr>
            <w:sdtContent>
              <w:r>
                <w:rPr>
                  <w:szCs w:val="24"/>
                  <w:lang w:eastAsia="ar-SA"/>
                </w:rPr>
                <w:t>2</w:t>
              </w:r>
            </w:sdtContent>
          </w:sdt>
          <w:r>
            <w:rPr>
              <w:szCs w:val="24"/>
              <w:lang w:eastAsia="ar-SA"/>
            </w:rPr>
            <w:t xml:space="preserve"> priedas</w:t>
          </w:r>
        </w:p>
        <w:p w14:paraId="69D68E25" w14:textId="77777777">
          <w:pPr>
            <w:suppressAutoHyphens/>
            <w:jc w:val="right"/>
            <w:rPr>
              <w:b/>
              <w:szCs w:val="24"/>
              <w:lang w:eastAsia="ar-SA"/>
            </w:rPr>
          </w:pPr>
        </w:p>
        <w:p w14:paraId="7E19243D" w14:textId="762FD81F">
          <w:pPr>
            <w:suppressAutoHyphens/>
            <w:jc w:val="center"/>
            <w:textAlignment w:val="center"/>
            <w:rPr>
              <w:b/>
              <w:szCs w:val="24"/>
              <w:lang w:eastAsia="ar-SA"/>
            </w:rPr>
          </w:pPr>
          <w:sdt>
            <w:sdtPr>
              <w:alias w:val="Pavadinimas"/>
              <w:tag w:val="title_710e72d5755347229588587b22436ba3"/>
              <w:lock w:val="sdtLocked"/>
              <w:richText/>
            </w:sdtPr>
            <w:sdtContent>
              <w:r>
                <w:rPr>
                  <w:b/>
                  <w:szCs w:val="24"/>
                  <w:lang w:eastAsia="ar-SA"/>
                </w:rPr>
                <w:t xml:space="preserve">LENGVATOS, TAIKOMOS GYVENTOJAMS, ĮSIGYJANTIEMS VERSLO LIUDIJIMUS   </w:t>
              </w:r>
            </w:sdtContent>
          </w:sdt>
        </w:p>
        <w:p w14:paraId="259025A2" w14:textId="77777777">
          <w:pPr>
            <w:suppressAutoHyphens/>
            <w:ind w:firstLine="567"/>
            <w:jc w:val="both"/>
            <w:rPr>
              <w:szCs w:val="24"/>
              <w:lang w:eastAsia="ar-SA"/>
            </w:rPr>
          </w:pPr>
        </w:p>
        <w:p w14:paraId="260079DE" w14:textId="3B8696C8">
          <w:pPr>
            <w:suppressAutoHyphens/>
            <w:ind w:firstLine="993"/>
            <w:jc w:val="both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Lengvatų, kurios gali būti taikomos verslo liudijimus įsigyjantiems asmenims, rūšys ir dydžiai:</w:t>
          </w:r>
        </w:p>
        <w:p w14:paraId="35AB199A" w14:textId="77777777">
          <w:pPr>
            <w:suppressAutoHyphens/>
            <w:ind w:firstLine="567"/>
            <w:jc w:val="both"/>
            <w:rPr>
              <w:szCs w:val="24"/>
              <w:lang w:eastAsia="ar-SA"/>
            </w:rPr>
          </w:pPr>
        </w:p>
        <w:tbl>
          <w:tblPr>
            <w:tblW w:w="9590" w:type="dxa"/>
            <w:tblInd w:w="44" w:type="dxa"/>
            <w:tblLayout w:type="fixed"/>
            <w:tblCellMar>
              <w:left w:w="28" w:type="dxa"/>
              <w:right w:w="28" w:type="dxa"/>
            </w:tblCellMar>
            <w:tblLook w:val="0000" w:firstRow="0" w:lastRow="0" w:firstColumn="0" w:lastColumn="0" w:noHBand="0" w:noVBand="0"/>
          </w:tblPr>
          <w:tblGrid>
            <w:gridCol w:w="944"/>
            <w:gridCol w:w="5244"/>
            <w:gridCol w:w="1701"/>
            <w:gridCol w:w="1701"/>
          </w:tblGrid>
          <w:tr w14:paraId="6D6E1F82" w14:textId="6E4938E6">
            <w:trPr>
              <w:trHeight w:val="597"/>
              <w:tblHeader/>
            </w:trPr>
            <w:tc>
              <w:tcPr>
                <w:tcW w:w="9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</w:tcPr>
              <w:p w14:paraId="446E149E" w14:textId="475C0398">
                <w:pPr>
                  <w:suppressAutoHyphens/>
                  <w:snapToGrid w:val="0"/>
                  <w:jc w:val="center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Kodas</w:t>
                </w:r>
              </w:p>
            </w:tc>
            <w:tc>
              <w:tcPr>
                <w:tcW w:w="52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</w:tcPr>
              <w:p w14:paraId="4E19BBA7" w14:textId="77777777">
                <w:pPr>
                  <w:suppressAutoHyphens/>
                  <w:jc w:val="center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Verslo liudijimus įsigyjantys asmenys, kuriems taikomos lengvatos</w:t>
                </w:r>
              </w:p>
            </w:tc>
            <w:tc>
              <w:tcPr>
                <w:tcW w:w="170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</w:tcPr>
              <w:p w14:paraId="4C40CFBB" w14:textId="77777777">
                <w:pPr>
                  <w:suppressAutoHyphens/>
                  <w:jc w:val="center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Lengvatos dydis (proc.)</w:t>
                </w:r>
              </w:p>
            </w:tc>
            <w:tc>
              <w:tcPr>
                <w:tcW w:w="170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0A18B7C9" w14:textId="42208D08">
                <w:pPr>
                  <w:suppressAutoHyphens/>
                  <w:jc w:val="center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Lengvatos dydis (proc.), kai verslo liudijime yra įrašytų kitų, neturinčių teisės į lengvatą, asmenų </w:t>
                </w:r>
              </w:p>
            </w:tc>
          </w:tr>
          <w:tr w14:paraId="734E5113" w14:textId="714F409B">
            <w:tc>
              <w:tcPr>
                <w:tcW w:w="9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</w:tcPr>
              <w:p w14:paraId="34BBB19E" w14:textId="77777777">
                <w:pPr>
                  <w:suppressAutoHyphens/>
                  <w:jc w:val="center"/>
                  <w:rPr>
                    <w:b/>
                    <w:sz w:val="22"/>
                    <w:szCs w:val="22"/>
                    <w:lang w:eastAsia="ar-SA"/>
                  </w:rPr>
                </w:pPr>
                <w:r>
                  <w:rPr>
                    <w:b/>
                    <w:sz w:val="22"/>
                    <w:szCs w:val="22"/>
                    <w:lang w:eastAsia="ar-SA"/>
                  </w:rPr>
                  <w:t>101</w:t>
                </w:r>
              </w:p>
            </w:tc>
            <w:tc>
              <w:tcPr>
                <w:tcW w:w="52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</w:tcPr>
              <w:p w14:paraId="1F99C9C0" w14:textId="77777777">
                <w:pPr>
                  <w:suppressAutoHyphens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Gyventojai, sulaukę senatvės pensijos amžiaus</w:t>
                </w:r>
              </w:p>
            </w:tc>
            <w:tc>
              <w:tcPr>
                <w:tcW w:w="170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</w:tcPr>
              <w:p w14:paraId="69DD8BEF" w14:textId="77777777">
                <w:pPr>
                  <w:suppressAutoHyphens/>
                  <w:jc w:val="center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60</w:t>
                </w:r>
              </w:p>
            </w:tc>
            <w:tc>
              <w:tcPr>
                <w:tcW w:w="170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086E690E" w14:textId="15DE4EB1">
                <w:pPr>
                  <w:suppressAutoHyphens/>
                  <w:jc w:val="center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0</w:t>
                </w:r>
              </w:p>
            </w:tc>
          </w:tr>
          <w:tr w14:paraId="4EA23C94" w14:textId="0EC1038C">
            <w:tc>
              <w:tcPr>
                <w:tcW w:w="944" w:type="dxa"/>
                <w:tcBorders>
                  <w:top w:val="single" w:sz="4" w:space="0" w:color="000000"/>
                  <w:left w:val="single" w:sz="4" w:space="0" w:color="000000"/>
                </w:tcBorders>
                <w:shd w:val="clear" w:color="auto" w:fill="auto"/>
              </w:tcPr>
              <w:p w14:paraId="1E892C68" w14:textId="77777777">
                <w:pPr>
                  <w:suppressAutoHyphens/>
                  <w:jc w:val="center"/>
                  <w:rPr>
                    <w:b/>
                    <w:sz w:val="22"/>
                    <w:szCs w:val="22"/>
                    <w:lang w:eastAsia="ar-SA"/>
                  </w:rPr>
                </w:pPr>
                <w:r>
                  <w:rPr>
                    <w:b/>
                    <w:sz w:val="22"/>
                    <w:szCs w:val="22"/>
                    <w:lang w:eastAsia="ar-SA"/>
                  </w:rPr>
                  <w:t>102</w:t>
                </w:r>
              </w:p>
            </w:tc>
            <w:tc>
              <w:tcPr>
                <w:tcW w:w="52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</w:tcPr>
              <w:p w14:paraId="0F7957D8" w14:textId="7B1C6726">
                <w:pPr>
                  <w:suppressAutoHyphens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Bedarbiai, įregistruoti užimtumo tarnyboje  </w:t>
                </w:r>
              </w:p>
            </w:tc>
            <w:tc>
              <w:tcPr>
                <w:tcW w:w="170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</w:tcPr>
              <w:p w14:paraId="3D2BA693" w14:textId="42412C73">
                <w:pPr>
                  <w:suppressAutoHyphens/>
                  <w:jc w:val="center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50  </w:t>
                </w:r>
              </w:p>
            </w:tc>
            <w:tc>
              <w:tcPr>
                <w:tcW w:w="170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1DB1D3F3" w14:textId="0C7D86DD">
                <w:pPr>
                  <w:suppressAutoHyphens/>
                  <w:jc w:val="center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0</w:t>
                </w:r>
              </w:p>
            </w:tc>
          </w:tr>
          <w:tr w14:paraId="06549226" w14:textId="7DD45DD1">
            <w:tc>
              <w:tcPr>
                <w:tcW w:w="9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</w:tcPr>
              <w:p w14:paraId="40FAD82D" w14:textId="77777777">
                <w:pPr>
                  <w:suppressAutoHyphens/>
                  <w:jc w:val="center"/>
                  <w:rPr>
                    <w:b/>
                    <w:sz w:val="22"/>
                    <w:szCs w:val="22"/>
                    <w:lang w:eastAsia="ar-SA"/>
                  </w:rPr>
                </w:pPr>
                <w:r>
                  <w:rPr>
                    <w:b/>
                    <w:sz w:val="22"/>
                    <w:szCs w:val="22"/>
                    <w:lang w:eastAsia="ar-SA"/>
                  </w:rPr>
                  <w:t>103</w:t>
                </w:r>
              </w:p>
            </w:tc>
            <w:tc>
              <w:tcPr>
                <w:tcW w:w="52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</w:tcPr>
              <w:p w14:paraId="72440B17" w14:textId="468EFEFB">
                <w:pPr>
                  <w:suppressAutoHyphens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Tėvas (motina, įtėvis, įmotė), auginantis tris ir daugiau vaikų (įvaikių) iki 18 metų ir (arba) vyresnių, jeigu jie mokosi bendrojo ugdymo mokyklose arba studijuoja nuolatine studijų forma</w:t>
                </w:r>
              </w:p>
            </w:tc>
            <w:tc>
              <w:tcPr>
                <w:tcW w:w="170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</w:tcPr>
              <w:p w14:paraId="376A5BE8" w14:textId="77777777">
                <w:pPr>
                  <w:suppressAutoHyphens/>
                  <w:jc w:val="center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50</w:t>
                </w:r>
              </w:p>
            </w:tc>
            <w:tc>
              <w:tcPr>
                <w:tcW w:w="170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72010DD" w14:textId="3D4E2222">
                <w:pPr>
                  <w:suppressAutoHyphens/>
                  <w:jc w:val="center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0</w:t>
                </w:r>
              </w:p>
            </w:tc>
          </w:tr>
          <w:tr w14:paraId="2651210A" w14:textId="0433C488">
            <w:tc>
              <w:tcPr>
                <w:tcW w:w="9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</w:tcPr>
              <w:p w14:paraId="75777E7D" w14:textId="77777777">
                <w:pPr>
                  <w:suppressAutoHyphens/>
                  <w:jc w:val="center"/>
                  <w:rPr>
                    <w:b/>
                    <w:sz w:val="22"/>
                    <w:szCs w:val="22"/>
                    <w:lang w:eastAsia="ar-SA"/>
                  </w:rPr>
                </w:pPr>
                <w:r>
                  <w:rPr>
                    <w:b/>
                    <w:sz w:val="22"/>
                    <w:szCs w:val="22"/>
                    <w:lang w:eastAsia="ar-SA"/>
                  </w:rPr>
                  <w:t>104</w:t>
                </w:r>
              </w:p>
            </w:tc>
            <w:tc>
              <w:tcPr>
                <w:tcW w:w="52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</w:tcPr>
              <w:p w14:paraId="043C7494" w14:textId="0A362EE3">
                <w:pPr>
                  <w:suppressAutoHyphens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Tėvas (motina, įtėvis, įmotė), vienas auginantis vaiką (įvaikį) iki 18 metų arba vyresnį, jeigu jis mokosi bendrojo ugdymo mokykloje arba studijuoja nuolatine  studijų forma</w:t>
                </w:r>
              </w:p>
            </w:tc>
            <w:tc>
              <w:tcPr>
                <w:tcW w:w="170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</w:tcPr>
              <w:p w14:paraId="1E510C49" w14:textId="77777777">
                <w:pPr>
                  <w:suppressAutoHyphens/>
                  <w:jc w:val="center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50</w:t>
                </w:r>
              </w:p>
            </w:tc>
            <w:tc>
              <w:tcPr>
                <w:tcW w:w="170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1074B81" w14:textId="79803A5B">
                <w:pPr>
                  <w:suppressAutoHyphens/>
                  <w:jc w:val="center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0</w:t>
                </w:r>
              </w:p>
            </w:tc>
          </w:tr>
          <w:tr w14:paraId="51E7E89C" w14:textId="1FE87340">
            <w:tc>
              <w:tcPr>
                <w:tcW w:w="9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</w:tcPr>
              <w:p w14:paraId="116D5247" w14:textId="77777777">
                <w:pPr>
                  <w:suppressAutoHyphens/>
                  <w:jc w:val="center"/>
                  <w:rPr>
                    <w:b/>
                    <w:sz w:val="22"/>
                    <w:szCs w:val="22"/>
                    <w:lang w:eastAsia="ar-SA"/>
                  </w:rPr>
                </w:pPr>
                <w:r>
                  <w:rPr>
                    <w:b/>
                    <w:sz w:val="22"/>
                    <w:szCs w:val="22"/>
                    <w:lang w:eastAsia="ar-SA"/>
                  </w:rPr>
                  <w:t>105</w:t>
                </w:r>
              </w:p>
            </w:tc>
            <w:tc>
              <w:tcPr>
                <w:tcW w:w="52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</w:tcPr>
              <w:p w14:paraId="29FA38DF" w14:textId="76B5BB1B">
                <w:pPr>
                  <w:suppressAutoHyphens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Tėvas (motina, įtėvis, įmotė), auginantis vaiką (įvaikį) su negalia iki 18 metų arba vyresnį vaiką (įvaikį) su negalia, kuriam nustatytas specialusis nuolatinės slaugos poreikis</w:t>
                </w:r>
              </w:p>
            </w:tc>
            <w:tc>
              <w:tcPr>
                <w:tcW w:w="170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</w:tcPr>
              <w:p w14:paraId="7F649CFF" w14:textId="4E9EEC55">
                <w:pPr>
                  <w:suppressAutoHyphens/>
                  <w:jc w:val="center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color w:val="000000"/>
                    <w:sz w:val="22"/>
                    <w:szCs w:val="22"/>
                    <w:lang w:eastAsia="ar-SA"/>
                  </w:rPr>
                  <w:t>70</w:t>
                </w:r>
              </w:p>
            </w:tc>
            <w:tc>
              <w:tcPr>
                <w:tcW w:w="170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339A1A7E" w14:textId="474BA441">
                <w:pPr>
                  <w:suppressAutoHyphens/>
                  <w:jc w:val="center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0</w:t>
                </w:r>
              </w:p>
            </w:tc>
          </w:tr>
          <w:tr w14:paraId="37A9C8B7" w14:textId="39F72F1D">
            <w:tc>
              <w:tcPr>
                <w:tcW w:w="9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</w:tcPr>
              <w:p w14:paraId="48D379D2" w14:textId="77777777">
                <w:pPr>
                  <w:suppressAutoHyphens/>
                  <w:jc w:val="center"/>
                  <w:rPr>
                    <w:b/>
                    <w:sz w:val="22"/>
                    <w:szCs w:val="22"/>
                    <w:lang w:eastAsia="ar-SA"/>
                  </w:rPr>
                </w:pPr>
                <w:r>
                  <w:rPr>
                    <w:b/>
                    <w:sz w:val="22"/>
                    <w:szCs w:val="22"/>
                    <w:lang w:eastAsia="ar-SA"/>
                  </w:rPr>
                  <w:t>106</w:t>
                </w:r>
              </w:p>
            </w:tc>
            <w:tc>
              <w:tcPr>
                <w:tcW w:w="52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</w:tcPr>
              <w:p w14:paraId="73F53C43" w14:textId="08726047">
                <w:pPr>
                  <w:suppressAutoHyphens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Mokinys arba studentas, kuris mokosi bendrojo ugdymo mokykloje,  įgyja pirminį profesinį mokymą ir (arba) studijuoja nuolatine studijų forma</w:t>
                </w:r>
              </w:p>
            </w:tc>
            <w:tc>
              <w:tcPr>
                <w:tcW w:w="170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</w:tcPr>
              <w:p w14:paraId="2215C16A" w14:textId="77777777">
                <w:pPr>
                  <w:suppressAutoHyphens/>
                  <w:jc w:val="center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100</w:t>
                </w:r>
              </w:p>
            </w:tc>
            <w:tc>
              <w:tcPr>
                <w:tcW w:w="170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5AD72F1F" w14:textId="3BE91A5F">
                <w:pPr>
                  <w:suppressAutoHyphens/>
                  <w:jc w:val="center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0</w:t>
                </w:r>
              </w:p>
            </w:tc>
          </w:tr>
          <w:tr w14:paraId="5896CB71" w14:textId="0C378BF6">
            <w:tc>
              <w:tcPr>
                <w:tcW w:w="9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</w:tcPr>
              <w:p w14:paraId="0785D9B8" w14:textId="77777777">
                <w:pPr>
                  <w:suppressAutoHyphens/>
                  <w:jc w:val="center"/>
                  <w:rPr>
                    <w:b/>
                    <w:sz w:val="22"/>
                    <w:szCs w:val="22"/>
                    <w:lang w:eastAsia="ar-SA"/>
                  </w:rPr>
                </w:pPr>
                <w:r>
                  <w:rPr>
                    <w:b/>
                    <w:sz w:val="22"/>
                    <w:szCs w:val="22"/>
                    <w:lang w:eastAsia="ar-SA"/>
                  </w:rPr>
                  <w:t>107</w:t>
                </w:r>
              </w:p>
            </w:tc>
            <w:tc>
              <w:tcPr>
                <w:tcW w:w="52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</w:tcPr>
              <w:p w14:paraId="34FE1507" w14:textId="77777777">
                <w:pPr>
                  <w:suppressAutoHyphens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Asmenys, turintys tradicinio amatininko statusą, kai įsigyja verslo liudijimą savo tradiciniam amatui</w:t>
                </w:r>
              </w:p>
            </w:tc>
            <w:tc>
              <w:tcPr>
                <w:tcW w:w="170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</w:tcPr>
              <w:p w14:paraId="12797554" w14:textId="77777777">
                <w:pPr>
                  <w:suppressAutoHyphens/>
                  <w:jc w:val="center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50</w:t>
                </w:r>
              </w:p>
            </w:tc>
            <w:tc>
              <w:tcPr>
                <w:tcW w:w="170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4A010BB9" w14:textId="78A5704C">
                <w:pPr>
                  <w:suppressAutoHyphens/>
                  <w:jc w:val="center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0</w:t>
                </w:r>
              </w:p>
            </w:tc>
          </w:tr>
          <w:tr w14:paraId="165143C9" w14:textId="252B8A41">
            <w:trPr>
              <w:trHeight w:val="778"/>
            </w:trPr>
            <w:tc>
              <w:tcPr>
                <w:tcW w:w="9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</w:tcPr>
              <w:p w14:paraId="2C07832C" w14:textId="77777777">
                <w:pPr>
                  <w:suppressAutoHyphens/>
                  <w:jc w:val="center"/>
                  <w:rPr>
                    <w:b/>
                    <w:sz w:val="22"/>
                    <w:szCs w:val="22"/>
                    <w:lang w:eastAsia="ar-SA"/>
                  </w:rPr>
                </w:pPr>
                <w:r>
                  <w:rPr>
                    <w:b/>
                    <w:sz w:val="22"/>
                    <w:szCs w:val="22"/>
                    <w:lang w:eastAsia="ar-SA"/>
                  </w:rPr>
                  <w:t>109</w:t>
                </w:r>
              </w:p>
            </w:tc>
            <w:tc>
              <w:tcPr>
                <w:tcW w:w="52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</w:tcPr>
              <w:p w14:paraId="4711FB97" w14:textId="21B517D9">
                <w:pPr>
                  <w:suppressAutoHyphens/>
                  <w:rPr>
                    <w:strike/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Asmenys su negalia, kuriems nustatytas 0–25 procentų dalyvumo lygis ir (arba) sunkaus neįgalumo lygis</w:t>
                </w:r>
              </w:p>
            </w:tc>
            <w:tc>
              <w:tcPr>
                <w:tcW w:w="170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</w:tcPr>
              <w:p w14:paraId="17EDBBFB" w14:textId="77777777">
                <w:pPr>
                  <w:suppressAutoHyphens/>
                  <w:jc w:val="center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100</w:t>
                </w:r>
              </w:p>
            </w:tc>
            <w:tc>
              <w:tcPr>
                <w:tcW w:w="170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1263B57C" w14:textId="7DD1FFE1">
                <w:pPr>
                  <w:suppressAutoHyphens/>
                  <w:jc w:val="center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0</w:t>
                </w:r>
              </w:p>
            </w:tc>
          </w:tr>
          <w:tr w14:paraId="471DB40A" w14:textId="16360FAB">
            <w:tc>
              <w:tcPr>
                <w:tcW w:w="9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</w:tcPr>
              <w:p w14:paraId="46A220F4" w14:textId="77777777">
                <w:pPr>
                  <w:suppressAutoHyphens/>
                  <w:jc w:val="center"/>
                  <w:rPr>
                    <w:b/>
                    <w:sz w:val="22"/>
                    <w:szCs w:val="22"/>
                    <w:lang w:eastAsia="ar-SA"/>
                  </w:rPr>
                </w:pPr>
                <w:r>
                  <w:rPr>
                    <w:b/>
                    <w:sz w:val="22"/>
                    <w:szCs w:val="22"/>
                    <w:lang w:eastAsia="ar-SA"/>
                  </w:rPr>
                  <w:t>110</w:t>
                </w:r>
              </w:p>
            </w:tc>
            <w:tc>
              <w:tcPr>
                <w:tcW w:w="52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</w:tcPr>
              <w:p w14:paraId="6D2A6050" w14:textId="0BE93A84">
                <w:pPr>
                  <w:suppressAutoHyphens/>
                  <w:rPr>
                    <w:strike/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Asmenys su negalia, kuriems nustatytas 30–40 procentų  dalyvumo lygis ir (arba) vidutinio neįgalumo lygis</w:t>
                </w:r>
              </w:p>
            </w:tc>
            <w:tc>
              <w:tcPr>
                <w:tcW w:w="170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</w:tcPr>
              <w:p w14:paraId="0DBDD83F" w14:textId="77777777">
                <w:pPr>
                  <w:suppressAutoHyphens/>
                  <w:jc w:val="center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60</w:t>
                </w:r>
              </w:p>
            </w:tc>
            <w:tc>
              <w:tcPr>
                <w:tcW w:w="170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 w14:paraId="3303E0BF" w14:textId="7C5246B5">
                <w:pPr>
                  <w:suppressAutoHyphens/>
                  <w:jc w:val="center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0</w:t>
                </w:r>
              </w:p>
            </w:tc>
          </w:tr>
          <w:tr w14:paraId="0D7827BD" w14:textId="36D1E01F">
            <w:trPr>
              <w:trHeight w:val="685"/>
            </w:trPr>
            <w:tc>
              <w:tcPr>
                <w:tcW w:w="9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auto"/>
                </w:tcBorders>
                <w:shd w:val="clear" w:color="auto" w:fill="auto"/>
              </w:tcPr>
              <w:p w14:paraId="5990C497" w14:textId="77777777">
                <w:pPr>
                  <w:suppressAutoHyphens/>
                  <w:jc w:val="center"/>
                  <w:rPr>
                    <w:b/>
                    <w:bCs/>
                    <w:szCs w:val="24"/>
                    <w:lang w:eastAsia="ar-SA"/>
                  </w:rPr>
                </w:pPr>
                <w:r>
                  <w:rPr>
                    <w:b/>
                    <w:bCs/>
                    <w:szCs w:val="24"/>
                    <w:lang w:eastAsia="ar-SA"/>
                  </w:rPr>
                  <w:t>111</w:t>
                </w:r>
              </w:p>
            </w:tc>
            <w:tc>
              <w:tcPr>
                <w:tcW w:w="52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auto"/>
                </w:tcBorders>
                <w:shd w:val="clear" w:color="auto" w:fill="auto"/>
              </w:tcPr>
              <w:p w14:paraId="350A998A" w14:textId="2A5EA4E9">
                <w:pPr>
                  <w:suppressAutoHyphens/>
                  <w:rPr>
                    <w:strike/>
                    <w:szCs w:val="24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Asmenys su negalia</w:t>
                </w:r>
                <w:r>
                  <w:rPr>
                    <w:szCs w:val="24"/>
                    <w:lang w:eastAsia="ar-SA"/>
                  </w:rPr>
                  <w:t xml:space="preserve">, kuriems nustatytas 45–55 procentų dalyvumo </w:t>
                </w:r>
                <w:r>
                  <w:rPr>
                    <w:sz w:val="22"/>
                    <w:szCs w:val="22"/>
                    <w:lang w:eastAsia="ar-SA"/>
                  </w:rPr>
                  <w:t>ir (arba)</w:t>
                </w:r>
                <w:r>
                  <w:rPr>
                    <w:szCs w:val="24"/>
                    <w:lang w:eastAsia="ar-SA"/>
                  </w:rPr>
                  <w:t xml:space="preserve"> lengvo neįgalumo lygis</w:t>
                </w:r>
              </w:p>
            </w:tc>
            <w:tc>
              <w:tcPr>
                <w:tcW w:w="170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auto"/>
                  <w:right w:val="single" w:sz="4" w:space="0" w:color="000000"/>
                </w:tcBorders>
                <w:shd w:val="clear" w:color="auto" w:fill="auto"/>
              </w:tcPr>
              <w:p w14:paraId="72B10E22" w14:textId="77777777">
                <w:pPr>
                  <w:suppressAutoHyphens/>
                  <w:jc w:val="center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60</w:t>
                </w:r>
              </w:p>
            </w:tc>
            <w:tc>
              <w:tcPr>
                <w:tcW w:w="170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auto"/>
                  <w:right w:val="single" w:sz="4" w:space="0" w:color="000000"/>
                </w:tcBorders>
              </w:tcPr>
              <w:p w14:paraId="2C8FCBD8" w14:textId="7B6F8436">
                <w:pPr>
                  <w:suppressAutoHyphens/>
                  <w:jc w:val="center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0</w:t>
                </w:r>
              </w:p>
            </w:tc>
          </w:tr>
          <w:tr w14:paraId="27E22488" w14:textId="77777777">
            <w:trPr>
              <w:trHeight w:val="685"/>
            </w:trPr>
            <w:tc>
              <w:tcPr>
                <w:tcW w:w="9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auto"/>
                </w:tcBorders>
                <w:shd w:val="clear" w:color="auto" w:fill="auto"/>
              </w:tcPr>
              <w:p w14:paraId="036A8F5A" w14:textId="09B019E4">
                <w:pPr>
                  <w:suppressAutoHyphens/>
                  <w:jc w:val="center"/>
                  <w:rPr>
                    <w:b/>
                    <w:bCs/>
                    <w:szCs w:val="24"/>
                    <w:lang w:eastAsia="ar-SA"/>
                  </w:rPr>
                </w:pPr>
                <w:r>
                  <w:rPr>
                    <w:b/>
                    <w:bCs/>
                    <w:szCs w:val="24"/>
                    <w:lang w:eastAsia="ar-SA"/>
                  </w:rPr>
                  <w:t>112</w:t>
                </w:r>
              </w:p>
            </w:tc>
            <w:tc>
              <w:tcPr>
                <w:tcW w:w="52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auto"/>
                </w:tcBorders>
                <w:shd w:val="clear" w:color="auto" w:fill="auto"/>
              </w:tcPr>
              <w:p w14:paraId="2A0A14C9" w14:textId="44D41313">
                <w:pPr>
                  <w:suppressAutoHyphens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Bedarbiai, kuriems suteiktas ilgalaikių bedarbių statusas Užimtumo tarnyboje</w:t>
                </w:r>
              </w:p>
            </w:tc>
            <w:tc>
              <w:tcPr>
                <w:tcW w:w="170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auto"/>
                  <w:right w:val="single" w:sz="4" w:space="0" w:color="000000"/>
                </w:tcBorders>
                <w:shd w:val="clear" w:color="auto" w:fill="auto"/>
              </w:tcPr>
              <w:p w14:paraId="5FCC397C" w14:textId="3C49B89D">
                <w:pPr>
                  <w:suppressAutoHyphens/>
                  <w:jc w:val="center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70</w:t>
                </w:r>
              </w:p>
            </w:tc>
            <w:tc>
              <w:tcPr>
                <w:tcW w:w="170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auto"/>
                  <w:right w:val="single" w:sz="4" w:space="0" w:color="000000"/>
                </w:tcBorders>
              </w:tcPr>
              <w:p w14:paraId="38C63B6A" w14:textId="00301291">
                <w:pPr>
                  <w:suppressAutoHyphens/>
                  <w:jc w:val="center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0</w:t>
                </w:r>
              </w:p>
            </w:tc>
          </w:tr>
          <w:tr w14:paraId="07C0E421" w14:textId="238BFB5B">
            <w:tc>
              <w:tcPr>
                <w:tcW w:w="94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</w:tcBorders>
                <w:shd w:val="clear" w:color="auto" w:fill="auto"/>
              </w:tcPr>
              <w:p w14:paraId="55993B07" w14:textId="0D769274">
                <w:pPr>
                  <w:suppressAutoHyphens/>
                  <w:jc w:val="center"/>
                  <w:rPr>
                    <w:b/>
                    <w:strike/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5244" w:type="dxa"/>
                <w:tcBorders>
                  <w:top w:val="single" w:sz="4" w:space="0" w:color="auto"/>
                  <w:left w:val="single" w:sz="4" w:space="0" w:color="000000"/>
                  <w:bottom w:val="single" w:sz="4" w:space="0" w:color="auto"/>
                </w:tcBorders>
                <w:shd w:val="clear" w:color="auto" w:fill="auto"/>
              </w:tcPr>
              <w:p w14:paraId="727A4C50" w14:textId="75CF3A34">
                <w:pPr>
                  <w:suppressAutoHyphens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Gyventojai, į Lietuvą grįžę per paskutinius 12 mėnesių skaičiuojant nuo verslo liudijimo įsigijimo dienos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000000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58CE91EC" w14:textId="565FD800">
                <w:pPr>
                  <w:suppressAutoHyphens/>
                  <w:jc w:val="center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75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000000"/>
                  <w:bottom w:val="single" w:sz="4" w:space="0" w:color="auto"/>
                  <w:right w:val="single" w:sz="4" w:space="0" w:color="auto"/>
                </w:tcBorders>
              </w:tcPr>
              <w:p w14:paraId="4C369C63" w14:textId="4F44FD65">
                <w:pPr>
                  <w:suppressAutoHyphens/>
                  <w:jc w:val="center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0</w:t>
                </w:r>
              </w:p>
            </w:tc>
          </w:tr>
          <w:tr w14:paraId="0CE10380" w14:textId="661A62FF">
            <w:tc>
              <w:tcPr>
                <w:tcW w:w="94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</w:tcBorders>
                <w:shd w:val="clear" w:color="auto" w:fill="auto"/>
              </w:tcPr>
              <w:p w14:paraId="0DFC6DDB" w14:textId="18DD1DF8">
                <w:pPr>
                  <w:suppressAutoHyphens/>
                  <w:jc w:val="center"/>
                  <w:rPr>
                    <w:b/>
                    <w:strike/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5244" w:type="dxa"/>
                <w:tcBorders>
                  <w:top w:val="single" w:sz="4" w:space="0" w:color="auto"/>
                  <w:left w:val="single" w:sz="4" w:space="0" w:color="000000"/>
                  <w:bottom w:val="single" w:sz="4" w:space="0" w:color="auto"/>
                </w:tcBorders>
                <w:shd w:val="clear" w:color="auto" w:fill="auto"/>
              </w:tcPr>
              <w:p w14:paraId="280F0FF3" w14:textId="77777777">
                <w:pPr>
                  <w:suppressAutoHyphens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Asmenys iki 29 metų amžiaus, kurie gyvenamąją vietą yra deklaravę Šiaulių miesto savivaldybėje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000000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64E3A941" w14:textId="501A2DA7">
                <w:pPr>
                  <w:suppressAutoHyphens/>
                  <w:jc w:val="center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50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000000"/>
                  <w:bottom w:val="single" w:sz="4" w:space="0" w:color="auto"/>
                  <w:right w:val="single" w:sz="4" w:space="0" w:color="auto"/>
                </w:tcBorders>
              </w:tcPr>
              <w:p w14:paraId="1D54B318" w14:textId="24B9F8CA">
                <w:pPr>
                  <w:suppressAutoHyphens/>
                  <w:jc w:val="center"/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0</w:t>
                </w:r>
              </w:p>
            </w:tc>
          </w:tr>
        </w:tbl>
        <w:p w14:paraId="7263B483" w14:textId="517629A1">
          <w:pPr>
            <w:suppressAutoHyphens/>
            <w:ind w:firstLine="720"/>
            <w:jc w:val="both"/>
            <w:rPr>
              <w:b/>
              <w:szCs w:val="24"/>
              <w:highlight w:val="yellow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 xml:space="preserve">Pastaba. </w:t>
          </w:r>
          <w:r>
            <w:rPr>
              <w:i/>
              <w:szCs w:val="24"/>
              <w:lang w:eastAsia="ar-SA"/>
            </w:rPr>
            <w:t>Gyventojui, patenkančiam į kelias šiame sąraše nurodytų asmenų grupes, taikoma viena jo pasirinkta lengvata.</w:t>
          </w:r>
        </w:p>
        <w:p w14:paraId="02FE8D96" w14:textId="77777777">
          <w:pPr>
            <w:suppressAutoHyphens/>
            <w:jc w:val="both"/>
            <w:rPr>
              <w:szCs w:val="24"/>
              <w:lang w:eastAsia="ar-SA"/>
            </w:rPr>
          </w:pPr>
        </w:p>
        <w:p w14:paraId="461B0C2B" w14:textId="720BCB94">
          <w:pPr>
            <w:tabs>
              <w:tab w:val="left" w:pos="825"/>
            </w:tabs>
            <w:suppressAutoHyphens/>
            <w:jc w:val="center"/>
            <w:rPr>
              <w:b/>
              <w:bCs/>
              <w:sz w:val="22"/>
              <w:szCs w:val="22"/>
              <w:lang w:eastAsia="ar-SA"/>
            </w:rPr>
          </w:pPr>
          <w:r>
            <w:rPr>
              <w:sz w:val="22"/>
              <w:szCs w:val="22"/>
              <w:lang w:eastAsia="ar-SA"/>
            </w:rPr>
            <w:t>_____________</w:t>
          </w:r>
        </w:p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9B2E1BF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endnote>
  <w:endnote w:type="continuationSeparator" w:id="0">
    <w:p w14:paraId="59DDAC95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DA265E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D3D8AF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6DAF9E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988D0FE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footnote>
  <w:footnote w:type="continuationSeparator" w:id="0">
    <w:p w14:paraId="7742137C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FF31A2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CA7F86" w14:textId="657BBB53">
    <w:pPr>
      <w:tabs>
        <w:tab w:val="center" w:pos="4819"/>
        <w:tab w:val="right" w:pos="9638"/>
      </w:tabs>
      <w:suppressAutoHyphens/>
      <w:jc w:val="center"/>
      <w:rPr>
        <w:szCs w:val="24"/>
        <w:lang w:eastAsia="ar-SA"/>
      </w:rPr>
    </w:pPr>
    <w:r>
      <w:rPr>
        <w:szCs w:val="24"/>
        <w:lang w:eastAsia="ar-SA"/>
      </w:rPr>
      <w:fldChar w:fldCharType="begin"/>
    </w:r>
    <w:r>
      <w:rPr>
        <w:szCs w:val="24"/>
        <w:lang w:eastAsia="ar-SA"/>
      </w:rPr>
      <w:instrText>PAGE   \* MERGEFORMAT</w:instrText>
    </w:r>
    <w:r>
      <w:rPr>
        <w:szCs w:val="24"/>
        <w:lang w:eastAsia="ar-SA"/>
      </w:rPr>
      <w:fldChar w:fldCharType="separate"/>
    </w:r>
    <w:r>
      <w:rPr>
        <w:szCs w:val="24"/>
        <w:lang w:eastAsia="ar-SA"/>
      </w:rPr>
      <w:t>2</w:t>
    </w:r>
    <w:r>
      <w:rPr>
        <w:szCs w:val="24"/>
        <w:lang w:eastAsia="ar-SA"/>
      </w:rPr>
      <w:fldChar w:fldCharType="end"/>
    </w:r>
  </w:p>
  <w:p w14:paraId="70F5919C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886C32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1298"/>
  <w:hyphenationZone w:val="396"/>
  <w:doNotHyphenateCaps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24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3C8F8E01"/>
  <w15:chartTrackingRefBased/>
  <w15:docId w15:val="{E274389B-1023-4C84-9491-489C741E606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2" Abbr="2 pr." Title="LENGVATOS, TAIKOMOS GYVENTOJAMS, ĮSIGYJANTIEMS VERSLO LIUDIJIMUS" DocPartId="5e08695509be4d19a48c96d523d9f536" PartId="710e72d5755347229588587b22436ba3"/>
</Parts>
</file>

<file path=customXml/itemProps1.xml><?xml version="1.0" encoding="utf-8"?>
<ds:datastoreItem xmlns:ds="http://schemas.openxmlformats.org/officeDocument/2006/customXml" ds:itemID="{DD78B675-EECF-4298-81AD-30A26D509C4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306</Words>
  <Characters>1863</Characters>
  <Application>Microsoft Office Word</Application>
  <DocSecurity>4</DocSecurity>
  <Lines>98</Lines>
  <Paragraphs>72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PATVIRTINTA</vt:lpstr>
    </vt:vector>
  </TitlesOfParts>
  <Company/>
  <LinksUpToDate>false</LinksUpToDate>
  <CharactersWithSpaces>2097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2024-08-14T16:20:00Z</dcterms:created>
  <dc:creator>Saulius Starkus</dc:creator>
  <lastModifiedBy>adlibuser</lastModifiedBy>
  <lastPrinted>2024-07-19T08:03:00Z</lastPrinted>
  <dcterms:modified xsi:type="dcterms:W3CDTF">2024-08-14T16:20:00Z</dcterms:modified>
  <revision>2</revision>
  <dc:title>PATVIRTINTA</dc:title>
</coreProperties>
</file>